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83-0751369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11099 North Torrey Pines Road, Suite 150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La Jolla,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92037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BOLD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June 22, 2026, Boundless Bio, Inc., a Delaware corporation (Boundless Bio), entered into an Agreement and Plan of Merger and Reorganization (the Merger Agreement) with Serapha Bio, Inc., a Delaware corporation (Serapha), and Boulder Merger Sub Corp., a Delaware corporation and wholly owned subsidiary of Boundless Bio (Merger Sub). Upon the terms and subject to the satisfaction of the conditions described in the Merger Agreement, Merger Sub will be merged with and into Serapha, with Serapha surviving as a wholly owned subsidiary of Boundless Bio (the Merger and, together with all of the other transactions contemplated by the Merger Agreement, the Contemplated Transactions). The Merger is intended to qualify for federal income tax purposes as a tax-free reorganization under the provisions of Section 368(a) of the Internal Revenue Code of 1986, as amended.</w:t>
      </w:r>
    </w:p>
    <w:p>
      <w:pPr>
        <w:spacing w:after="0" w:line="189"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effective time of the Merger (the Effective Time), each then-outstanding share of common stock or preferred stock of Serapha (including any shares of capital stock issued pursuant to the Pre-Closing Financing (as defined below)) outstanding immediately prior to the Effective Time (each such share, a Serapha Share) (excluding any share described in clause (b) below) will be converted into the right to receive a number of shares of Boundless Bio common stock, par value $0.0001 per share (Boundless Bio Common Stock), calculated in accordance with the exchange ratio as set forth in the Merger Agreement (the Exchange Ratio). Each then-outstanding option to purchase Serapha Shares will be converted into an option to purchase Boundless Bio Common Stock, and each then-outstanding warrant to purchase shares of Serapha capital stock (including any pre-funded warrants issued pursuant to the Pre-Closing Financing) will be converted into a warrant to purchase shares of Boundless Bio Common Stock, in each case subject to adjustment as set forth in the Merger Agreement. Each option to purchase Boundless Bio Common Stock outstanding immediately prior to the Effective Time with an exercise price greater than $8.00 will be cancelled for no consideration.</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Exchange Ratio formula in the Merger Agreement, upon the Closing (as defined in the Merger Agreement), on a pro forma basis and based upon the number of shares of Boundless Bio Common Stock expected to be issued in the Merger (including following the consummation of the Pre-Closing Financing and Serapha’s Series A preferred financing), pre-Merger equityholders of Serapha are expected to own approximately 96.31% of the combined company and pre-Merger equityholders of Boundless Bio are expected to own approximately 3.69% of the combined company, in each case, calculated on a fully diluted basis. The percentage of the combined company that each party’s equityholders will own following the Closing is subject to certain adjustments as described in the Merger Agreement, including the final amount of the Boundless Bio Net Cash at Closing. Prior to the Closing, Boundless Bio may declare a cash dividend (the Pre-Closing Dividend) to holders of Boundless Bio Common Stock outstanding prior to the Effective Time up to an amount equal to the aggregate of Boundless Bio’s reasonable, good faith approximation of the amount by which Boundless Bio Net Cash will exceed $0, subject to the terms of the Merger Agreement.</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the parties regarding their respective businesses. The Merger Agreement also contains certain covenants made by each of Boundless Bio and Serapha,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 Boundless Bio will prepare and file a registration statement on Form S-4, which will contain a proxy statement and prospectus, to register the shares issued pursuant to the Merger Agreement (the Form S-4) and will seek the approval of Boundless Bio’s stockholders of, among other matters, (i) the issuance of the shares of Boundless Bio Common Stock pursuant to the Merger and the change of control of Boundless Bio resulting from the Merger, (ii) a reverse stock split of Boundless Bio Common Stock at a ratio to be mutually agreed upon by Boundless Bio and Serapha and (iii) an increase in the number of authorized shares of Boundless Bio Common Stock to a number determined by Serapha (the Boundless Bio Stockholder Matters).</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Closing is subject to certain closing conditions, including: (i) the approval by the Boundless Bio stockholders of the Boundless Bio Stockholder Matters; (ii) approval by the requisite Serapha stockholders of the adoption and approval of the Merger Agreement and the Contemplated Transactions; (iii) the existing shares of Boundless Bio Common Stock having been continually listed on the Nasdaq Stock Market (Nasdaq) and Nasdaq’s</w:t>
      </w:r>
    </w:p>
    <w:p>
      <w:pPr>
        <w:sectPr>
          <w:pgSz w:w="11900" w:h="16838" w:orient="portrait"/>
          <w:cols w:equalWidth="0" w:num="1">
            <w:col w:w="11000"/>
          </w:cols>
          <w:pgMar w:left="440" w:top="266" w:right="459" w:bottom="1440" w:gutter="0" w:footer="0" w:header="0"/>
        </w:sectPr>
      </w:pPr>
    </w:p>
    <w:bookmarkStart w:id="2" w:name="page3"/>
    <w:bookmarkEnd w:id="2"/>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initial listing application of shares of Boundless Bio Common Stock to be issued in the Merger; (iv) the Securities Purchase Agreement (as defined below) being in full force and effect with cash gross proceeds of not less than $200 million having been received by Serapha; (v) the effectiveness of the Form S-4; (vi) that certain Exclusive License Agreement, dated June 12, 2026, by and between Serapha and YolTech Therapeutics Co., Ltd. being in full force and effect; and (vii) no legal restraint.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Boundless Bio and Serapha, and no Boundless Bio material adverse effect or Serapha material adverse effect since the date of the Merger Agreement that is continuing, respectively.</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contains certain termination rights of each of Boundless Bio and Serapha. Upon termination of the Merger Agreement in certain circumstances, Serapha may be required to pay to Boundless Bio a termination fee of $1,000,000, including (i) where Serapha’s board of directors changes or withdraws its recommendation in favor of the Merger or recommends to enter into an alternative transaction or (ii) if (a) the Merger Agreement is terminated because Serapha (1) fails to obtain the requisite stockholder approval of the Merger Agreement and the Contemplated Transactions or (2) breaches the Merger Agreement, (b) an alternative acquisition proposal was announced or disclosed prior to obtaining Serapha’s stockholder approval, and (c) within 12 months of the termination of the Merger Agreement, Serapha enters into a definitive agreement with respect to an alternative transaction.</w:t>
      </w:r>
    </w:p>
    <w:p>
      <w:pPr>
        <w:spacing w:after="0" w:line="189" w:lineRule="exact"/>
        <w:rPr>
          <w:sz w:val="20"/>
          <w:szCs w:val="20"/>
          <w:color w:val="auto"/>
        </w:rPr>
      </w:pPr>
    </w:p>
    <w:p>
      <w:pPr>
        <w:ind w:left="4" w:right="220" w:firstLine="440"/>
        <w:spacing w:after="0" w:line="255" w:lineRule="auto"/>
        <w:rPr>
          <w:sz w:val="20"/>
          <w:szCs w:val="20"/>
          <w:color w:val="auto"/>
        </w:rPr>
      </w:pPr>
      <w:r>
        <w:rPr>
          <w:rFonts w:ascii="Times New Roman" w:cs="Times New Roman" w:eastAsia="Times New Roman" w:hAnsi="Times New Roman"/>
          <w:sz w:val="18"/>
          <w:szCs w:val="18"/>
          <w:color w:val="auto"/>
        </w:rPr>
        <w:t>Upon termination of the Merger Agreement in certain circumstances, a termination fee of $1,000,000 may be payable by Boundless Bio to Serapha if (i) the Merger Agreement is terminated because Boundless Bio fails to obtain the requisite stockholder approval of the Boundless Bio Stockholder Matters or a change by board of directors of Boundless Bio in its recommendation regarding the Merger or other Parent Triggering Event (as defined in the Merger Agreement) occurs, (ii) an alternative acquisition proposal was announced or disclosed prior to such termination, and</w:t>
      </w:r>
    </w:p>
    <w:p>
      <w:pPr>
        <w:spacing w:after="0" w:line="3" w:lineRule="exact"/>
        <w:rPr>
          <w:sz w:val="20"/>
          <w:szCs w:val="20"/>
          <w:color w:val="auto"/>
        </w:rPr>
      </w:pPr>
    </w:p>
    <w:p>
      <w:pPr>
        <w:ind w:left="4" w:right="500" w:hanging="4"/>
        <w:spacing w:after="0" w:line="260"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of the termination of the Merger Agreement, Boundless Bio enters into a definitive agreement with respect to an alternative transaction.</w:t>
      </w:r>
    </w:p>
    <w:p>
      <w:pPr>
        <w:spacing w:after="0" w:line="181"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transaction has received approval by the boards of directors of the parties and is expected to close in the fourth quarter of 2026, subject to certain closing conditions, including, among other things, approval by the stockholders of each company and the satisfaction of customary closing conditions.</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the board of directors of the combined company is expected to consist of a number of directors determined by Serapha, all of whom will be designated by Serapha, and the executive officers of the combined company will consist of officers determined by Serapha.</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Financing</w:t>
      </w:r>
    </w:p>
    <w:p>
      <w:pPr>
        <w:spacing w:after="0" w:line="12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and delivery of the Merger Agreement, certain institutional and accredited investors entered into a Series A stock purchase agreement with Serapha, pursuant to which such persons invested in a private placement of Serapha’s Series A preferred stock for an aggregate purchase price of approximately $138,000,000.</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institutional and accredited investors have also entered into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purchase agreement with Serapha (the Securities Purchase Agreement), pursuant to which such persons have agreed to purchase,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amounts set forth therein, pre-closing shares of Serapha capital stock (the PIPE Securities) for an aggregate purchase price of approximately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$92,000,000 in a private placement (the Pre-Closing Financing). The closing of the Pre-Closing Financing is conditioned on the satisfaction or waiver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conditions set forth in the Merger Agreement (in addition to other customary closing conditions) and is expected to occur substantially concurrently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the Closing of the Merger and prior to the Effective Time.</w:t>
      </w:r>
    </w:p>
    <w:p>
      <w:pPr>
        <w:sectPr>
          <w:pgSz w:w="11900" w:h="16838" w:orient="portrait"/>
          <w:cols w:equalWidth="0" w:num="1">
            <w:col w:w="11004"/>
          </w:cols>
          <w:pgMar w:left="436" w:top="270" w:right="459" w:bottom="1440" w:gutter="0" w:footer="0" w:header="0"/>
        </w:sectPr>
      </w:pPr>
    </w:p>
    <w:bookmarkStart w:id="3" w:name="page4"/>
    <w:bookmarkEnd w:id="3"/>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terms of the Securities Purchase Agreement, at closing of the Pre-Closing Financing, Serapha will enter into a Registration Rights Agreement (the Registration Rights Agreement) with the purchasers of the PIPE Securities, which will provide for the registration and resale of Boundless Bio Common Stock issuable in exchange for the PIPE Securities upon the Closing of the Merger, in accordance with the terms of the Registration Rights Agreement.</w:t>
      </w:r>
    </w:p>
    <w:p>
      <w:pPr>
        <w:spacing w:after="0" w:line="180"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Registration Rights Agreement do not purport to be complete and are qualified in their entirety by reference to the Securities Purchase Agreement, and the Registration Rights Agreement the forms of which are filed as Exhibits 10.3 and 10.4, respectively, to this Current Report on Form 8-K and are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and directors of Boundless Bio holding approximately 1.7% of the outstanding Boundless Bio capital stock entered into support agreements (the Boundless Bio Support Agreements) in favor of Serapha, providing among other things, that such officers and directors (x) will vote all of their shares of Boundless Bio capital stock, among other things: (i) in favor of approving the Contemplated Transactions, including the Boundless Bio Stockholder Matters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proposals or inquiries in their capacities as stockholders of Boundless Bio.</w:t>
      </w:r>
    </w:p>
    <w:p>
      <w:pPr>
        <w:spacing w:after="0" w:line="189"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of the Merger Agreement, certain officers, directors and stockholders of Serapha holding approximately 65% of the outstanding Serapha capital stock entered into support agreements (the Serapha Support Agreements and, together with Boundless Bio Support Agreements, the Support Agreements) in favor of Boundless Bio, providing among other things, that such executive officers, directors and stockholders</w:t>
      </w:r>
    </w:p>
    <w:p>
      <w:pPr>
        <w:spacing w:after="0" w:line="2" w:lineRule="exact"/>
        <w:rPr>
          <w:sz w:val="20"/>
          <w:szCs w:val="20"/>
          <w:color w:val="auto"/>
        </w:rPr>
      </w:pPr>
    </w:p>
    <w:p>
      <w:pPr>
        <w:ind w:left="4" w:right="40" w:hanging="4"/>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vote all of their shares of Serapha capital stock, among other things: (i) in favor of adopting the Merger Agreement and approving the Merger, the other Contemplated Transactions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proposals or inquiries in their capacities as stockholders of Serapha.</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Merger Agreement, the executive officers and directors of Serapha immediately prior to the Effective Time will enter into lock-up agreements, pursuant to which, subject to specified exceptions, such persons will be subject to certain restrictions on transfers of the shares of Boundless Bio Common Stock beneficially held by such persons or such persons’ family members (other than shares received as a result of the conversion of shares received in the Pre-Closing Financing) for the 180-day period following the Effective Time.</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foregoing descriptions of the Merger Agreement, the form of Boundless Bio Support Agreement and the form of the Serapha Support Agreement (collectively, the Agreements), are not complete and are qualified in their entirety by reference to those Agreements, which are filed as Exhibits 2.1, 10.1 and 10.2,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Boundless Bio and Serapha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On June 23, 2026, Boundless Bio, in connection with signing of the Merger Agreement, announced a workforce reduction of approximately 75% of Boundless Bio’s workforce. Boundless Bio expects to incur one-time</w:t>
      </w:r>
    </w:p>
    <w:p>
      <w:pPr>
        <w:sectPr>
          <w:pgSz w:w="11900" w:h="16838" w:orient="portrait"/>
          <w:cols w:equalWidth="0" w:num="1">
            <w:col w:w="11004"/>
          </w:cols>
          <w:pgMar w:left="436" w:top="270" w:right="45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of approximately $3.0 million to $5.0 million in connection with the workforce reduction primarily related to one-time termination benefits (some of which are contractual), including severance and healthcare related benefits. Boundless Bio estimates that the workforce reduction will be substantially completed in the third quarter of 2026 and that the majority of the related charges will be recognized in Boundless Bio’s third quarter financial results of operations.</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estimate of costs that Boundless Bio expects to incur and the timing thereof are subject to a number of assumptions, and actual results may differ materially. Boundless Bio may also incur additional costs not currently contemplated due to events that may occur as a result of, or that are associated with, the implementation of the workforce reduction.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225" w:lineRule="exact"/>
        <w:rPr>
          <w:sz w:val="20"/>
          <w:szCs w:val="20"/>
          <w:color w:val="auto"/>
        </w:rPr>
      </w:pPr>
    </w:p>
    <w:p>
      <w:pPr>
        <w:jc w:val="both"/>
        <w:ind w:right="100" w:firstLine="440"/>
        <w:spacing w:after="0" w:line="272" w:lineRule="auto"/>
        <w:rPr>
          <w:sz w:val="20"/>
          <w:szCs w:val="20"/>
          <w:color w:val="auto"/>
        </w:rPr>
      </w:pPr>
      <w:r>
        <w:rPr>
          <w:rFonts w:ascii="Times New Roman" w:cs="Times New Roman" w:eastAsia="Times New Roman" w:hAnsi="Times New Roman"/>
          <w:sz w:val="17"/>
          <w:szCs w:val="17"/>
          <w:color w:val="auto"/>
        </w:rPr>
        <w:t>The shares of Serapha capital stock to be issued in the Pre-Closing Financing will be issued in private placements exempt from registration under Section 4(a)(2) of the Securities Act of 1933, as amended (the Securities Act), and/or Regulation D promulgated thereunder, because the offer and sale of such securities does not involve a “public offering” as defined in Section 4(a)(2) of the Securities Act, and other applicable requirements were met.</w:t>
      </w:r>
    </w:p>
    <w:p>
      <w:pPr>
        <w:spacing w:after="0" w:line="2"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Neither this Current Report on Form 8-K nor any of the exhibits attached hereto is an offer to sell or the solicitation of an offer to buy the shares of Serapha capital stock or any other securities of Boundless Bio or Serapha.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Contemplated Transaction, effective July 1, 2026, Zachary D. Hornby will cease his role as President and Chief Executive Officer, and as a member of the board of directors of Boundless Bio. Furthermore, effective July 1, 2026, the board of directors of Boundless Bio reduced the size of the board of directors of Boundless Bio from five to four members to remove the vacancy on the board of directors of Boundless Bio created by Mr. Hornby’s resignation from the board of directors.</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Hornby’s departure, effective July 1, 2026, Jessica Oien, Boundless Bio’s Chief Legal Officer and Corporate Secretary, was appointed to serve as Boundless Bio’s President and “principal executive officer,” in addition to maintaining her current responsibilities as Chief Legal Officer and Corporate Secretary.</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full biography and other information with respect to Ms. Oien required by Item 5.02(c) of Form 8-K are included in Boundless Bio’s proxy statement on Schedule 14A for the 2026 annual meeting of stockholders filed with the SEC on April 28, 2026 under the headings “Executive Officers” and “Certain Relationships and Related Party Transactions,” and such biography and information are incorporated herein by reference.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Contemplated Transaction, effective July 1, 2026, Christian Hassig, Ph.D., will cease his role as Boundless Bio’s Chief Scientific Officer, and Robert Doebele, M.D., Ph.D., will also cease his role as Boundless Bio’s Chief Medical Officer.</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Agreements and Consulting Agreements with Mr. Hornby and Drs. Doebele and Hassig</w:t>
      </w:r>
    </w:p>
    <w:p>
      <w:pPr>
        <w:spacing w:after="0" w:line="121"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In connection with their departures, each of Mr. Hornby and Drs. Doebele and Hassig are expected to enter into a separation agreement with Boundless Bio, effective as of July 1, 2026 (the Separation Agreements). The Separation Agreements will contain a release of claims and will provide for the following severance benefits, subject to, among others, : (i) a lump sum cash severance payment in an amount representing nine months’ (twelve months’ for Mr. Hornby) base salary, (ii) subject to and conditioned upon the occurrence of the Merger, an additional true-up severance payment in an amount representing twelve months’ (eighteen months’ for Mr. Hornby) base salary plus 1.0 times (1.5 times for Mr. Hornby) their respective target bonuses for 2026 less the amount of cash severance previously paid, payable upon the closing of the Merger, and (iii) nine months (twelve months for Mr. Hornby) of COBRA premium payments (increased to twelve months (eighteen months for Mr. Hornby) in the event of the closing of the Merger).</w:t>
      </w:r>
    </w:p>
    <w:p>
      <w:pPr>
        <w:spacing w:after="0" w:line="17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each of Mr. Hornby and Drs. Doebele and Hassig entered into a consulting agreement with Boundless Bio, pursuant to which they will provide limited transitional services to Boundless 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Offer Letters with Ms. Oien and David Hinkle</w:t>
      </w:r>
    </w:p>
    <w:p>
      <w:pPr>
        <w:spacing w:after="0" w:line="121" w:lineRule="exact"/>
        <w:rPr>
          <w:sz w:val="20"/>
          <w:szCs w:val="20"/>
          <w:color w:val="auto"/>
        </w:rPr>
      </w:pPr>
    </w:p>
    <w:p>
      <w:pPr>
        <w:ind w:right="2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Merger, on June 22, 2026, each of Ms. Oien and David Hinkle entered into an amended and restated offer letter with Boundless Bio, to be effective as of July 1, 2026 (the A&amp;R Offer Letters). The A&amp;R Offer Letters provide for, among others, the following additional compensation: (i) in addition to receiving their current base salaries, additional monthly compensation of $50,000 for Ms. Oien and $25,000 for Mr. Hinkle, (ii) a transaction bonus accruing in the amount of $50,000 for Ms. Oien and $25,000 for Mr. Hinkle for each month of employment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July 1, 2026 (provided, that, the transaction bonuses will be capped at $500,000 for Ms. Oien and $250,000 for Mr. Hinkle), and (iii)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Oien, an additional one-time bonus of $50,000 in the event the Merger Agreement is terminated and Boundless Bio enters into a binding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new counterparty to effectuate a similar transaction. The transaction bonuses will be payable to Ms. Oien and Mr. Hinkle upon the closing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or, if earlier, upon a termination by Boundless Bio without cause, their resignation for good reason or their death or disability. Neither Ms. Oien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Mr. Hinkle will be eligible to earn any annual performance bonus for 2026 or thereafter. In addition, Ms. Oien and Mr. Hinkle remain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existing severance benefits under the Boundless Bio Severance and Change in Control Plan, which severance benefits will be paid upon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Merger, or if earlier, certain qualifying terminations or employment.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Outstanding Options; Extension of Post-Termination Exercise Period of Options; Acceleration of Premium End Date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signing of the Merger Agreement, all outstanding stock options to purchase shares of the Boundless Bio Common Stock (the Boundless Options) previously granted to Boundless Bio’s employees, executive officers, directors, and consultants under the 2024 Incentive Award Plan and 2018 Equity Incentive Plan became fully vested and exercisable immediately. In addition, the exercise period of all outstanding Boundless Options was extended to provide that such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With respect to any outstanding Boundless Options that were repriced by Boundless Bio effective August 19, 2024, the premium end date of the Boundless Options was accelerated to the date of the signing of the Merger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23, 2026, Boundless Bio and Serapha issued a joint press release announcing the entry into the Merger Agreement. The press release is furnished as Exhibit 99.1 to this Current Report on Form 8-K.</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June 23, 2026, Boundless Bio and Serapha released a pre-recorded call featuring representatives from both companies discussing the Contemplated Transactions. The pre-recorded call can be accessed by visiting www.boundlessbio.com. Furnished as Exhibit 99.2 hereto is the transcript of the pre-recorded call.</w:t>
      </w:r>
    </w:p>
    <w:p>
      <w:pPr>
        <w:sectPr>
          <w:pgSz w:w="11900" w:h="16838" w:orient="portrait"/>
          <w:cols w:equalWidth="0" w:num="1">
            <w:col w:w="11000"/>
          </w:cols>
          <w:pgMar w:left="440" w:top="266" w:right="459" w:bottom="1440" w:gutter="0" w:footer="0" w:header="0"/>
        </w:sectPr>
      </w:pPr>
    </w:p>
    <w:bookmarkStart w:id="6" w:name="page7"/>
    <w:bookmarkEnd w:id="6"/>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in this Item 7.01,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tcPr>
          <w:p>
            <w:pPr>
              <w:spacing w:after="0"/>
              <w:rPr>
                <w:sz w:val="13"/>
                <w:szCs w:val="13"/>
                <w:color w:val="auto"/>
              </w:rPr>
            </w:pPr>
          </w:p>
        </w:tc>
      </w:tr>
      <w:tr>
        <w:trPr>
          <w:trHeight w:val="204"/>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Agreement and Plan of Merger and Reorganization, dated June 22, 2026, by and among Boundless Bio, Inc., Boulder Merger Sub Corp.,</w:t>
            </w:r>
          </w:p>
        </w:tc>
      </w:tr>
      <w:tr>
        <w:trPr>
          <w:trHeight w:val="234"/>
        </w:trPr>
        <w:tc>
          <w:tcPr>
            <w:tcW w:w="780" w:type="dxa"/>
            <w:vAlign w:val="bottom"/>
          </w:tcPr>
          <w:p>
            <w:pPr>
              <w:spacing w:after="0"/>
              <w:rPr>
                <w:sz w:val="20"/>
                <w:szCs w:val="20"/>
                <w:color w:val="auto"/>
              </w:rPr>
            </w:pP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Serapha Bio, Inc.</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Boundless Bio Support Agreement.</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Serapha Support Agreement.</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Joint Press Release, dated June 23, 2026.</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Pre-Recorded Call Transcript, dated June 23, 2026.</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12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schedules and exhibits pursuant to Item 601(b)(2) of Regulation S-K. The Registrant agrees to furnish supplementally a copy of the omitted schedules and exhibits to the SEC upon request.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forward-looking statements include, but are not limited to, statements regarding the structure and intended tax treatment of the proposed Merger; expectations regarding the ownership structure of the combined company; the expected management team of the combined company; expectations regarding the structure, size, timing and completion of the Pre-Closing Financing and Nasdaq listing; the potential Pre-Closing Dividend; expectations regarding the clinical development of BBI-940;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Boundless Bio, Serapha or the Contemplated Transactions will be those that have been anticipated.</w:t>
      </w:r>
    </w:p>
    <w:p>
      <w:pPr>
        <w:spacing w:after="0" w:line="19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Boundless Bio’s and Serapha’s control. Boundless Bio’s actual results could differ materially from those stated or implied in forward-looking statements due to a number of factors, including but not limited to (i) the risk that the conditions to the Closing are not satisfied; (ii) uncertainties as to the timing of the consummation of the proposed Merger and the ability of each of Boundless Bio and Serapha to consummate the proposed Merger; (iii) risks related to Boundless Bio’s ability to manage its operating expenses and its expenses associated with the proposed Merger pending Closing; (iv) risks related to the failure or delay in obtaining required approvals from any governmental or regulatory entity necessary to consummate the proposed Merger, if applicable; (v) the risk that as a result of adjustments to the Exchange Ratio, Boundless Bio’s stockholders and Serapha’s stockholders could own more or less of the combined company than is currently anticipated; (vi) risks related to the</w:t>
      </w:r>
    </w:p>
    <w:p>
      <w:pPr>
        <w:sectPr>
          <w:pgSz w:w="11900" w:h="16838" w:orient="portrait"/>
          <w:cols w:equalWidth="0" w:num="1">
            <w:col w:w="11004"/>
          </w:cols>
          <w:pgMar w:left="436" w:top="270" w:right="4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price of Boundless Bio Common Stock relative to the value suggested by the Exchange Ratio and the anticipated cash dividend; (vii) unexpected costs, charges or expenses resulting from the proposed Contemplated Transactions; (viii) the risk that anticipated ownership percentages or cash dividend amount may change based on adjustments at or prior to closing; (ix) the risk that the Pre-Closing Financing is not consummated; (x) Serapha’s reliance on intellectual property rights under its license agreement with YolTech Therapeutics and risks related to the protection of intellectual property; and (xi) the potential for the occurrence of any event, change or other circumstance or condition that could give rise to the termination of the Merger Agreement and the other agreements entered into in connection therewith.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Boundless Bio’s Annual Report on Form 10-K for the year ended December 31, 2025 filed with the SEC, and in other filings that Boundless Bio makes and will make with the SEC in connection with the proposed Merger, including the Proxy Statement (as defined below). You should not place undue reliance on these forward-looking statements, which are made only as of the date hereof or as of the dates indicated in the forward-looking statements. Boundless 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Boundless Bio or Serapha.</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relates to the proposed Merger and other Contemplated Transactions involving Boundless Bio and Serapha and may be deemed to be solicitation material in respect of the proposed Merger and other Contemplated Transactions. In connection with the proposed Merger and other Contemplated Transactions, Boundless Bio will file relevant materials with the SEC, including the Form S-4 that will contain a proxy statement (the Proxy Statement) and prospectus. This communication is not a substitute for the Form S-4, the Proxy Statement or for any other document that Boundless Bio may file with the SEC and/or send to Boundless Bio’s stockholders in connection with the proposed Merger. Boundless Bio, Serapha, and their respective directors and certain of their executive officers may be considered participants in the solicitation of proxies from Boundless Bio’s stockholders with respect to the proposed Merger and other Contemplated Transactions under the rules of the SEC. Information about the directors and executive officers of Boundless Bio is set forth in its most recent definitive proxy statement filed with the SEC on April 28, 2026.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and otherwise in accordance with applicable law. BEFORE MAKING ANY VOTING DECISION, INVESTORS 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Form S-4, the Proxy Statement and other documents filed by Boundless Bio with the SEC through the website maintained by the SEC at http://www.sec.gov. Copies of the documents filed by Boundless Bio with the SEC will also be available free of charge on Boundless Bio’s website at investors.boundlessbio.com.</w:t>
      </w:r>
    </w:p>
    <w:p>
      <w:pPr>
        <w:sectPr>
          <w:pgSz w:w="11900" w:h="16838" w:orient="portrait"/>
          <w:cols w:equalWidth="0" w:num="1">
            <w:col w:w="10980"/>
          </w:cols>
          <w:pgMar w:left="440" w:top="266" w:right="479" w:bottom="1440" w:gutter="0" w:footer="0" w:header="0"/>
        </w:sectPr>
      </w:pPr>
    </w:p>
    <w:bookmarkStart w:id="9" w:name="page10"/>
    <w:bookmarkEnd w:id="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ectPr>
          <w:pgSz w:w="11900" w:h="16838" w:orient="portrait"/>
          <w:cols w:equalWidth="0" w:num="1">
            <w:col w:w="10700"/>
          </w:cols>
          <w:pgMar w:left="440" w:top="266" w:right="7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AGREEMENT AND PLAN OF MERGER AND REORGANIZATION</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BOULDER MERGER SUB CORP.;</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22, 2026</w:t>
      </w:r>
    </w:p>
    <w:p>
      <w:pPr>
        <w:sectPr>
          <w:pgSz w:w="11900" w:h="16838" w:orient="portrait"/>
          <w:cols w:equalWidth="0" w:num="1">
            <w:col w:w="10020"/>
          </w:cols>
          <w:pgMar w:left="1440" w:top="266" w:right="4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 and Interpretative 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Description of Transaction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Effective Time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Documents; Directors and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Company, Merger Sub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of the Company’s Transfer Books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Surrender of Company Capital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of Net Cash and Company Valuation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Intended Tax Treatment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 Leasehold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 Orders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Financial Advisors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Control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Parent Capital Stock</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Required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4.8</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Changes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4.9</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4.10</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to Assets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Property; Leasehold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 Orders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4.18</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4.19</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4.20</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Financial Advisors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 Issuance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Payments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Control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Certain Covenants of the Parties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 of Parent’s Business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and Investigation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Solicitation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Legacy Transaction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Additional Agreements of the Parties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Efforts; Regulatory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Options; Company Warrants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Benefits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Legends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 and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Certain Agreements and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16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SEC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Certain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Conditions Precedent to Obligations of Each Party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Restraints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 Approval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Additional Conditions Precedent to Obligations of Parent and Merger Sub</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Company Material Adverse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Investor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Additional Conditions Precedent to Obligation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Parent Material Adverse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 X. Termination</w:t>
            </w:r>
          </w:p>
        </w:tc>
        <w:tc>
          <w:tcPr>
            <w:tcW w:w="7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3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38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Termination 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3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11.2</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11.3</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11.4</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 Counterparts; Exchanges by Electronic Transmission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11.5</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Law; Jurisdiction; WAIVER OF RIGHT TO TRIAL BY JURY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11.6</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11.7</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11.8</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11.9</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11.10</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38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A-1</w:t>
      </w:r>
      <w:r>
        <w:rPr>
          <w:sz w:val="20"/>
          <w:szCs w:val="20"/>
          <w:color w:val="auto"/>
        </w:rPr>
        <w:tab/>
      </w:r>
      <w:r>
        <w:rPr>
          <w:rFonts w:ascii="Times New Roman" w:cs="Times New Roman" w:eastAsia="Times New Roman" w:hAnsi="Times New Roman"/>
          <w:sz w:val="17"/>
          <w:szCs w:val="17"/>
          <w:color w:val="auto"/>
        </w:rPr>
        <w:t>Form of Parent Stockholder Support Agreement</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A-2</w:t>
      </w:r>
      <w:r>
        <w:rPr>
          <w:sz w:val="20"/>
          <w:szCs w:val="20"/>
          <w:color w:val="auto"/>
        </w:rPr>
        <w:tab/>
      </w:r>
      <w:r>
        <w:rPr>
          <w:rFonts w:ascii="Times New Roman" w:cs="Times New Roman" w:eastAsia="Times New Roman" w:hAnsi="Times New Roman"/>
          <w:sz w:val="17"/>
          <w:szCs w:val="17"/>
          <w:color w:val="auto"/>
        </w:rPr>
        <w:t>Form of Company Stockholder Support Agreement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Lock-Up Agreement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Subscription Agreement</w:t>
      </w:r>
    </w:p>
    <w:p>
      <w:pPr>
        <w:spacing w:after="0" w:line="9" w:lineRule="exact"/>
        <w:rPr>
          <w:sz w:val="20"/>
          <w:szCs w:val="20"/>
          <w:color w:val="auto"/>
        </w:rPr>
      </w:pPr>
    </w:p>
    <w:p>
      <w:pPr>
        <w:ind w:left="1100" w:right="80" w:hanging="1106"/>
        <w:spacing w:after="0" w:line="250" w:lineRule="auto"/>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Certificate of Merger, including certificate of incorporation of the Surviving Corporation attached as Exhibit A thereto, incorporated by reference into this Agreement</w:t>
      </w:r>
    </w:p>
    <w:p>
      <w:pPr>
        <w:spacing w:after="0" w:line="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Company Stockholder Written Consent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378" w:right="5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 AND REORGANIZATION</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22, 2026,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ERAPHA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A. Parent and the Company intend to effect a merger of Merger Sub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become a wholly owned subsidiary of Parent.</w:t>
      </w:r>
    </w:p>
    <w:p>
      <w:pPr>
        <w:spacing w:after="0" w:line="17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B. The Parties intend that, (i) the Merger qualifies as a “reorganization” within the meaning of Section 368(a) of the Code, and/or a transfer within the meaning of Section 351(a) of the Code, and (ii) this Agreement will constitute, and is hereby adopted as, a plan of reorganization within the meaning of Treasury Regulations Sections 1.368-2(g) and 1.368-3(a).</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C. The Parent Board has (i) determined that the Contemplated Transactions are fair to, advisable and in the best interests of Parent and its stockholders, (ii) approved and declared advisable this Agreement and the Contemplated Transactions, including the issuance of shares of Parent Capital Stock to the stockholders of the Company pursuant to the terms of this Agreement and the constructive issuance by the Company of shares of Company Common Stock to stockholders of Parent (as reflected in Rule 145(a) of the Securities Act) (the “</w:t>
      </w:r>
      <w:r>
        <w:rPr>
          <w:rFonts w:ascii="Times New Roman" w:cs="Times New Roman" w:eastAsia="Times New Roman" w:hAnsi="Times New Roman"/>
          <w:sz w:val="18"/>
          <w:szCs w:val="18"/>
          <w:b w:val="1"/>
          <w:bCs w:val="1"/>
          <w:color w:val="auto"/>
        </w:rPr>
        <w:t>Constructive Issuance</w:t>
      </w:r>
      <w:r>
        <w:rPr>
          <w:rFonts w:ascii="Times New Roman" w:cs="Times New Roman" w:eastAsia="Times New Roman" w:hAnsi="Times New Roman"/>
          <w:sz w:val="18"/>
          <w:szCs w:val="18"/>
          <w:color w:val="auto"/>
        </w:rPr>
        <w:t>”) and (iii) determined to recommend, upon the terms and subject to the conditions set forth in this Agreement, that the stockholders of Parent vote to approve this Agreement and thereby approve the Parent Stockholder Matters, including the Contemplated Transactions.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Concurrently with the execution and delivery of this Agreement and as a condition and inducement to the Company’s willingness to enter into this Agreement, each of the officers and directors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Parent Disclosure Letter (solely in their capacity as stockholders of Parent) are executing support agreements in favor of the Company in substantially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Capital Stock in favor of the approval of this Agreement and thereby approve the Contemplated Transactions, and, if deemed necessary by Parent, an amendment to Parent’s certificate of incorporation to effect the Nasdaq Reverse Split and any other matters, and against any competing proposals.</w:t>
      </w:r>
    </w:p>
    <w:p>
      <w:pPr>
        <w:sectPr>
          <w:pgSz w:w="11900" w:h="16838" w:orient="portrait"/>
          <w:cols w:equalWidth="0" w:num="1">
            <w:col w:w="11020"/>
          </w:cols>
          <w:pgMar w:left="440" w:top="266" w:right="439" w:bottom="1440" w:gutter="0" w:footer="0" w:header="0"/>
        </w:sectPr>
      </w:pPr>
    </w:p>
    <w:bookmarkStart w:id="16" w:name="page17"/>
    <w:bookmarkEnd w:id="1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Concurrently with the execution and delivery of this Agreement and as a condition and inducement to Parent’s willingness to enter into this Agreement, each of the officers, directors and stockholders of the Company listed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 Stockholder 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spacing w:after="0" w:line="187"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H. Prior to the Effective Time, the officers and directors of the Company listed on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of the Company Disclosure Letter are executing lock-up agreements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Lock-Up Agreement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 It is expected that, within two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 Stockholder Written Consent</w:t>
      </w:r>
      <w:r>
        <w:rPr>
          <w:rFonts w:ascii="Times New Roman" w:cs="Times New Roman" w:eastAsia="Times New Roman" w:hAnsi="Times New Roman"/>
          <w:sz w:val="18"/>
          <w:szCs w:val="18"/>
          <w:color w:val="auto"/>
        </w:rPr>
        <w:t>”), in order to obtain the Required Company Stockholder Vote.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J. Concurrently with, or prior to, the execution and delivery of this Agreement, certain investors are executing and entering into a Series A Preferred Stock Purchase Agreement among the Company and the Persons named therein (as may be amended, restated and/or superseded from time to time, the “</w:t>
      </w:r>
      <w:r>
        <w:rPr>
          <w:rFonts w:ascii="Times New Roman" w:cs="Times New Roman" w:eastAsia="Times New Roman" w:hAnsi="Times New Roman"/>
          <w:sz w:val="18"/>
          <w:szCs w:val="18"/>
          <w:b w:val="1"/>
          <w:bCs w:val="1"/>
          <w:color w:val="auto"/>
        </w:rPr>
        <w:t>Series A Financing Agreement</w:t>
      </w:r>
      <w:r>
        <w:rPr>
          <w:rFonts w:ascii="Times New Roman" w:cs="Times New Roman" w:eastAsia="Times New Roman" w:hAnsi="Times New Roman"/>
          <w:sz w:val="18"/>
          <w:szCs w:val="18"/>
          <w:color w:val="auto"/>
        </w:rPr>
        <w:t>”), pursuant to which such Persons will invest in a private placement of the Company Preferred Stock (the “</w:t>
      </w:r>
      <w:r>
        <w:rPr>
          <w:rFonts w:ascii="Times New Roman" w:cs="Times New Roman" w:eastAsia="Times New Roman" w:hAnsi="Times New Roman"/>
          <w:sz w:val="18"/>
          <w:szCs w:val="18"/>
          <w:b w:val="1"/>
          <w:bCs w:val="1"/>
          <w:color w:val="auto"/>
        </w:rPr>
        <w:t>Series A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K. Concurrently with the execution and delivery of this Agreement, certain investors are executing and delivering a Securities Purchase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among the Company and the Persons named therein (including as may be amended, restated and/or superseded from time to time,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pursuant to which such Persons will agree to purchase, in the amounts set forth therein, shares of Company Capital Stock (the “</w:t>
      </w:r>
      <w:r>
        <w:rPr>
          <w:rFonts w:ascii="Times New Roman" w:cs="Times New Roman" w:eastAsia="Times New Roman" w:hAnsi="Times New Roman"/>
          <w:sz w:val="18"/>
          <w:szCs w:val="18"/>
          <w:b w:val="1"/>
          <w:bCs w:val="1"/>
          <w:color w:val="auto"/>
        </w:rPr>
        <w:t>Company Pre-Closing Financing</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intending to be legally bound,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INTERPRETATIVE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For purposes of this Agreement (including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containing terms not materially less restrictive in the aggregate to the counterparty thereto than the terms of the Confidentiality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7" w:name="page18"/>
    <w:bookmarkEnd w:id="1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7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Pre-Closing Tax Amount</w:t>
      </w:r>
      <w:r>
        <w:rPr>
          <w:rFonts w:ascii="Times New Roman" w:cs="Times New Roman" w:eastAsia="Times New Roman" w:hAnsi="Times New Roman"/>
          <w:sz w:val="18"/>
          <w:szCs w:val="18"/>
          <w:color w:val="auto"/>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in an amount not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it is at least “more likely than not” that such payments, carryovers, or carryforwards are available to reduce Taxes or taxable income, as applicable, for such period,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w:t>
      </w:r>
    </w:p>
    <w:p>
      <w:pPr>
        <w:spacing w:after="0" w:line="3" w:lineRule="exact"/>
        <w:rPr>
          <w:sz w:val="20"/>
          <w:szCs w:val="20"/>
          <w:color w:val="auto"/>
        </w:rPr>
      </w:pPr>
    </w:p>
    <w:p>
      <w:pPr>
        <w:ind w:left="4" w:right="40" w:hanging="4"/>
        <w:spacing w:after="0" w:line="265"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w:t>
      </w:r>
      <w:r>
        <w:rPr>
          <w:rFonts w:ascii="Times New Roman" w:cs="Times New Roman" w:eastAsia="Times New Roman" w:hAnsi="Times New Roman"/>
          <w:sz w:val="17"/>
          <w:szCs w:val="17"/>
          <w:u w:val="single" w:color="auto"/>
          <w:color w:val="auto"/>
        </w:rPr>
        <w:t>clause</w:t>
      </w:r>
    </w:p>
    <w:p>
      <w:pPr>
        <w:ind w:left="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182"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Inquiry</w:t>
      </w:r>
      <w:r>
        <w:rPr>
          <w:rFonts w:ascii="Times New Roman" w:cs="Times New Roman" w:eastAsia="Times New Roman" w:hAnsi="Times New Roman"/>
          <w:sz w:val="18"/>
          <w:szCs w:val="18"/>
          <w:color w:val="auto"/>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“Acquisition Inquiry” shall not include any inquiry, indication of interest or request for information relating to any Parent Legacy Transaction.</w:t>
      </w:r>
    </w:p>
    <w:p>
      <w:pPr>
        <w:spacing w:after="0" w:line="176"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“Acquisition Proposal” shall not include any offer or proposal relating to any Parent Legacy Transaction.</w:t>
      </w:r>
    </w:p>
    <w:p>
      <w:pPr>
        <w:spacing w:after="0" w:line="176"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any Parent Legacy Transaction, the Series A Financing, or the Company Pre-Closing Financing) involving:</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8" w:name="page19"/>
    <w:bookmarkEnd w:id="18"/>
    <w:p>
      <w:pPr>
        <w:ind w:right="60" w:firstLine="436"/>
        <w:spacing w:after="0" w:line="274" w:lineRule="auto"/>
        <w:tabs>
          <w:tab w:leader="none" w:pos="6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172" w:lineRule="exact"/>
        <w:rPr>
          <w:rFonts w:ascii="Times New Roman" w:cs="Times New Roman" w:eastAsia="Times New Roman" w:hAnsi="Times New Roman"/>
          <w:sz w:val="17"/>
          <w:szCs w:val="17"/>
          <w:color w:val="auto"/>
        </w:rPr>
      </w:pPr>
    </w:p>
    <w:p>
      <w:pPr>
        <w:ind w:right="80" w:firstLine="436"/>
        <w:spacing w:after="0" w:line="282"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given to such term in Rule 145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Affordable Care Act</w:t>
      </w:r>
      <w:r>
        <w:rPr>
          <w:rFonts w:ascii="Times New Roman" w:cs="Times New Roman" w:eastAsia="Times New Roman" w:hAnsi="Times New Roman"/>
          <w:sz w:val="18"/>
          <w:szCs w:val="18"/>
          <w:color w:val="auto"/>
        </w:rPr>
        <w:t>” means the Patient Protection and Affordable Care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means the anticipated Closing Date, as agreed upon by Parent and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day on which banks in the State of California or New York are authorized or obligated to be closed.</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Cancelled Parent Option</w:t>
      </w:r>
      <w:r>
        <w:rPr>
          <w:rFonts w:ascii="Times New Roman" w:cs="Times New Roman" w:eastAsia="Times New Roman" w:hAnsi="Times New Roman"/>
          <w:sz w:val="18"/>
          <w:szCs w:val="18"/>
          <w:color w:val="auto"/>
        </w:rPr>
        <w:t>” means each Parent Option with a per share exercise price greater than $8.00 (determined prior to any equitable adjustment to reflect the Parent Pre-Closing Dividend).</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Section 6 of Title I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Associate</w:t>
      </w:r>
      <w:r>
        <w:rPr>
          <w:rFonts w:ascii="Times New Roman" w:cs="Times New Roman" w:eastAsia="Times New Roman" w:hAnsi="Times New Roman"/>
          <w:sz w:val="18"/>
          <w:szCs w:val="18"/>
          <w:color w:val="auto"/>
        </w:rPr>
        <w:t>” means any current employee, independent contractor, officer or director of the Company or any of its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Capitalization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common stock, $0.0001 par value per share, of the Company.</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Contract</w:t>
      </w:r>
      <w:r>
        <w:rPr>
          <w:rFonts w:ascii="Times New Roman" w:cs="Times New Roman" w:eastAsia="Times New Roman" w:hAnsi="Times New Roman"/>
          <w:sz w:val="18"/>
          <w:szCs w:val="18"/>
          <w:color w:val="auto"/>
        </w:rPr>
        <w:t>”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9" w:name="page20"/>
    <w:bookmarkEnd w:id="19"/>
    <w:p>
      <w:pPr>
        <w:ind w:left="4"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Company Employee Plan</w:t>
      </w:r>
      <w:r>
        <w:rPr>
          <w:rFonts w:ascii="Times New Roman" w:cs="Times New Roman" w:eastAsia="Times New Roman" w:hAnsi="Times New Roman"/>
          <w:sz w:val="17"/>
          <w:szCs w:val="17"/>
          <w:color w:val="auto"/>
        </w:rPr>
        <w:t>” means any Employee Plan that the Company or any of its Subsidiaries (a) sponsors, maintains, administers, or contributes to, (b) may reasonably be expected to have any Liability, or (c) utilizes to provide benefits to or otherwise cover any current or former employee, officer, director or other service provider of the Company or any of its Subsidiaries (or their spouses, dependents, or beneficiaries), but excluding any Employee Plan in which the Company or any of its Subsidiaries participates that is sponsored by any professional employer organization.</w:t>
      </w:r>
    </w:p>
    <w:p>
      <w:pPr>
        <w:spacing w:after="0" w:line="161" w:lineRule="exact"/>
        <w:rPr>
          <w:sz w:val="20"/>
          <w:szCs w:val="20"/>
          <w:color w:val="auto"/>
        </w:rPr>
      </w:pPr>
    </w:p>
    <w:p>
      <w:pPr>
        <w:jc w:val="both"/>
        <w:ind w:left="4" w:right="9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3.5(a)(i)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Financial Advisors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Rights</w:t>
      </w:r>
      <w:r>
        <w:rPr>
          <w:rFonts w:ascii="Times New Roman" w:cs="Times New Roman" w:eastAsia="Times New Roman" w:hAnsi="Times New Roman"/>
          <w:sz w:val="18"/>
          <w:szCs w:val="18"/>
          <w:color w:val="auto"/>
        </w:rPr>
        <w:t>” means all Intellectual Property rights that are owned or purported to be owned by, assigned to, exclusively licensed to, or controlled by the Company or its Subsidiaries that are necessary for, or used or held for use in, the operation of the business of the Company and its Subsidiaries as presently conducted.</w:t>
      </w:r>
    </w:p>
    <w:p>
      <w:pPr>
        <w:spacing w:after="0" w:line="171"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Rights Agreement</w:t>
      </w:r>
      <w:r>
        <w:rPr>
          <w:rFonts w:ascii="Times New Roman" w:cs="Times New Roman" w:eastAsia="Times New Roman" w:hAnsi="Times New Roman"/>
          <w:sz w:val="18"/>
          <w:szCs w:val="18"/>
          <w:color w:val="auto"/>
        </w:rPr>
        <w:t>” means any Contract governing, related to or pertaining to any Company IP Rights other than any confidential information provided under confidentiality agreements.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Key Employee</w:t>
      </w:r>
      <w:r>
        <w:rPr>
          <w:rFonts w:ascii="Times New Roman" w:cs="Times New Roman" w:eastAsia="Times New Roman" w:hAnsi="Times New Roman"/>
          <w:sz w:val="18"/>
          <w:szCs w:val="18"/>
          <w:color w:val="auto"/>
        </w:rPr>
        <w:t>” means any executive officer of the Company or any of its Subsidiaries.</w:t>
      </w:r>
    </w:p>
    <w:p>
      <w:pPr>
        <w:spacing w:after="0" w:line="225"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Effects arising or resulting from the following, alone or in combination, shall not be taken into account in determining whether there has been a Company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the taking of any action, or the failure to take any action, by the Company that is expressly required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xml:space="preserve">”) or applicable Law or the interpretation thereof, (e) general economic or political conditions or conditions generally affecting the industries in which the Company and its Subsidiaries operate, or (f) any failure of the Company to meet any projections, business plans or forecasts (provided that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shall not prevent a determination that any change or effect underlying such failure to meet projections, business plans or forecasts has resulted in a Company Material Adverse Effect (to the extent such change or effect is not otherwise excluded from this definition of Company Material Adverse Effect)); except in each case with respect to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w:t>
      </w:r>
    </w:p>
    <w:p>
      <w:pPr>
        <w:ind w:left="4" w:right="280" w:hanging="4"/>
        <w:spacing w:after="0" w:line="260" w:lineRule="auto"/>
        <w:tabs>
          <w:tab w:leader="none" w:pos="229"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the extent disproportionately affecting the Company and its Subsidiaries, taken as a whole, relative to other similarly situated companies in the industries in which the Company and its Subsidiaries operate.</w:t>
      </w:r>
    </w:p>
    <w:p>
      <w:pPr>
        <w:spacing w:after="0" w:line="177"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Merger Shares</w:t>
      </w:r>
      <w:r>
        <w:rPr>
          <w:rFonts w:ascii="Times New Roman" w:cs="Times New Roman" w:eastAsia="Times New Roman" w:hAnsi="Times New Roman"/>
          <w:sz w:val="18"/>
          <w:szCs w:val="18"/>
          <w:color w:val="auto"/>
        </w:rPr>
        <w:t xml:space="preserve">” means the product determined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(a) the Post-Closing Parent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Company Allocation Percentage, in which:</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20" w:name="page21"/>
    <w:bookmarkEnd w:id="20"/>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Aggregate Valuation</w:t>
      </w:r>
      <w:r>
        <w:rPr>
          <w:rFonts w:ascii="Times New Roman" w:cs="Times New Roman" w:eastAsia="Times New Roman" w:hAnsi="Times New Roman"/>
          <w:sz w:val="18"/>
          <w:szCs w:val="18"/>
          <w:color w:val="auto"/>
        </w:rPr>
        <w:t xml:space="preserve">” means the sum of (i) the Company Valuation,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Parent Valuation.</w:t>
      </w:r>
    </w:p>
    <w:p>
      <w:pPr>
        <w:spacing w:after="0" w:line="225" w:lineRule="exact"/>
        <w:rPr>
          <w:rFonts w:ascii="Times New Roman" w:cs="Times New Roman" w:eastAsia="Times New Roman" w:hAnsi="Times New Roman"/>
          <w:sz w:val="18"/>
          <w:szCs w:val="18"/>
          <w:color w:val="auto"/>
        </w:rPr>
      </w:pPr>
    </w:p>
    <w:p>
      <w:pPr>
        <w:ind w:left="4" w:right="560" w:firstLine="436"/>
        <w:spacing w:after="0" w:line="286"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Allocation Percentage</w:t>
      </w:r>
      <w:r>
        <w:rPr>
          <w:rFonts w:ascii="Times New Roman" w:cs="Times New Roman" w:eastAsia="Times New Roman" w:hAnsi="Times New Roman"/>
          <w:sz w:val="18"/>
          <w:szCs w:val="18"/>
          <w:color w:val="auto"/>
        </w:rPr>
        <w:t xml:space="preserve">” means the quotient (expressed as a percentage and rounded to four decimal places)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the Company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Aggregate Valuation.</w:t>
      </w:r>
    </w:p>
    <w:p>
      <w:pPr>
        <w:spacing w:after="0" w:line="15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Value</w:t>
      </w:r>
      <w:r>
        <w:rPr>
          <w:rFonts w:ascii="Times New Roman" w:cs="Times New Roman" w:eastAsia="Times New Roman" w:hAnsi="Times New Roman"/>
          <w:sz w:val="18"/>
          <w:szCs w:val="18"/>
          <w:color w:val="auto"/>
        </w:rPr>
        <w:t>” means $73,700,000.</w:t>
      </w:r>
    </w:p>
    <w:p>
      <w:pPr>
        <w:spacing w:after="0" w:line="22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Outstanding Shares</w:t>
      </w:r>
      <w:r>
        <w:rPr>
          <w:rFonts w:ascii="Times New Roman" w:cs="Times New Roman" w:eastAsia="Times New Roman" w:hAnsi="Times New Roman"/>
          <w:sz w:val="18"/>
          <w:szCs w:val="18"/>
          <w:color w:val="auto"/>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the Series A Financing, Series A-1 Preferred Stock equal to the Company Series A-1 Preferred Stock Initial Amount or any additional Series A-1 Preferred Stock in excess of the Company Series A-1 Preferred Stock Remeasurement Maximum Amount), expressed on a fully diluted and as-converted-to-Company Common Stock basis assuming, without limitation or duplication, the exercise of all Company Options,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Outstanding Shares” shall exclude a number of Company Series A-1 Preferred Stock issued or issuable upon the exercise of the Yoltech Warrant equal to the Company Series A-1 Preferred Stock Remeasurement Maximum Amount.</w:t>
      </w:r>
    </w:p>
    <w:p>
      <w:pPr>
        <w:spacing w:after="0" w:line="18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Pre-Closing Financing Minimum Amount</w:t>
      </w:r>
      <w:r>
        <w:rPr>
          <w:rFonts w:ascii="Times New Roman" w:cs="Times New Roman" w:eastAsia="Times New Roman" w:hAnsi="Times New Roman"/>
          <w:sz w:val="18"/>
          <w:szCs w:val="18"/>
          <w:color w:val="auto"/>
        </w:rPr>
        <w:t>” means $200,000,000.</w:t>
      </w:r>
    </w:p>
    <w:p>
      <w:pPr>
        <w:spacing w:after="0" w:line="225" w:lineRule="exact"/>
        <w:rPr>
          <w:rFonts w:ascii="Times New Roman" w:cs="Times New Roman" w:eastAsia="Times New Roman" w:hAnsi="Times New Roman"/>
          <w:sz w:val="18"/>
          <w:szCs w:val="18"/>
          <w:color w:val="auto"/>
        </w:rPr>
      </w:pPr>
    </w:p>
    <w:p>
      <w:pPr>
        <w:ind w:left="4" w:firstLine="436"/>
        <w:spacing w:after="0" w:line="286" w:lineRule="auto"/>
        <w:tabs>
          <w:tab w:leader="none" w:pos="6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Pre-Closing Financing Proceeds</w:t>
      </w:r>
      <w:r>
        <w:rPr>
          <w:rFonts w:ascii="Times New Roman" w:cs="Times New Roman" w:eastAsia="Times New Roman" w:hAnsi="Times New Roman"/>
          <w:sz w:val="18"/>
          <w:szCs w:val="18"/>
          <w:color w:val="auto"/>
        </w:rPr>
        <w:t>” means the aggregate gross cash proceeds actually received by the Company from the Company Pre-Closing Financing.</w:t>
      </w:r>
    </w:p>
    <w:p>
      <w:pPr>
        <w:spacing w:after="0" w:line="154" w:lineRule="exact"/>
        <w:rPr>
          <w:rFonts w:ascii="Times New Roman" w:cs="Times New Roman" w:eastAsia="Times New Roman" w:hAnsi="Times New Roman"/>
          <w:sz w:val="18"/>
          <w:szCs w:val="18"/>
          <w:color w:val="auto"/>
        </w:rPr>
      </w:pPr>
    </w:p>
    <w:p>
      <w:pPr>
        <w:jc w:val="both"/>
        <w:ind w:left="4" w:right="100" w:firstLine="436"/>
        <w:spacing w:after="0" w:line="268"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 Initial Amount</w:t>
      </w:r>
      <w:r>
        <w:rPr>
          <w:rFonts w:ascii="Times New Roman" w:cs="Times New Roman" w:eastAsia="Times New Roman" w:hAnsi="Times New Roman"/>
          <w:sz w:val="18"/>
          <w:szCs w:val="18"/>
          <w:color w:val="auto"/>
        </w:rPr>
        <w:t>” means a number of shares of Company Series A-1 Preferred Stock underlying the Yoltech Warrant equal to up to 11,688,455 shares, representing the Share Number (as defined in the Yoltech Warrant) determined pursuant to the terms of the Yoltech Warrant in connection with the consummation of the Series A Financing.</w:t>
      </w:r>
    </w:p>
    <w:p>
      <w:pPr>
        <w:spacing w:after="0" w:line="170" w:lineRule="exact"/>
        <w:rPr>
          <w:rFonts w:ascii="Times New Roman" w:cs="Times New Roman" w:eastAsia="Times New Roman" w:hAnsi="Times New Roman"/>
          <w:sz w:val="18"/>
          <w:szCs w:val="18"/>
          <w:color w:val="auto"/>
        </w:rPr>
      </w:pPr>
    </w:p>
    <w:p>
      <w:pPr>
        <w:ind w:left="4" w:right="80" w:firstLine="436"/>
        <w:spacing w:after="0" w:line="262"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 Remeasurement Maximum Amount</w:t>
      </w:r>
      <w:r>
        <w:rPr>
          <w:rFonts w:ascii="Times New Roman" w:cs="Times New Roman" w:eastAsia="Times New Roman" w:hAnsi="Times New Roman"/>
          <w:sz w:val="18"/>
          <w:szCs w:val="18"/>
          <w:color w:val="auto"/>
        </w:rPr>
        <w:t>” means a number of shares of Company Series A-1 Preferred Stock underlying the Yoltech Warrant equal to up to 5,888,538 shares, representing the number of shares added to the Company Series A-1 Preferred Stock Initial Amount pursuant to the adjustment mechanics set forth in Section 1(b)(i) of the Yoltech Warrant in connection with the consummation of subsequent Remeasurement Events prior to the expiration of the Anti-Dilution Period (each as defined in the Yoltech Warrant).</w:t>
      </w:r>
    </w:p>
    <w:p>
      <w:pPr>
        <w:spacing w:after="0" w:line="17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Valuation</w:t>
      </w:r>
      <w:r>
        <w:rPr>
          <w:rFonts w:ascii="Times New Roman" w:cs="Times New Roman" w:eastAsia="Times New Roman" w:hAnsi="Times New Roman"/>
          <w:sz w:val="18"/>
          <w:szCs w:val="18"/>
          <w:color w:val="auto"/>
        </w:rPr>
        <w:t>” means the sum of the Company Equity Value plus the Company Pre-Closing Financing Proceeds.</w:t>
      </w:r>
    </w:p>
    <w:p>
      <w:pPr>
        <w:spacing w:after="0" w:line="225" w:lineRule="exact"/>
        <w:rPr>
          <w:rFonts w:ascii="Times New Roman" w:cs="Times New Roman" w:eastAsia="Times New Roman" w:hAnsi="Times New Roman"/>
          <w:sz w:val="18"/>
          <w:szCs w:val="18"/>
          <w:color w:val="auto"/>
        </w:rPr>
      </w:pPr>
    </w:p>
    <w:p>
      <w:pPr>
        <w:ind w:left="4" w:right="40" w:firstLine="436"/>
        <w:spacing w:after="0" w:line="286" w:lineRule="auto"/>
        <w:tabs>
          <w:tab w:leader="none" w:pos="65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xml:space="preserve">” means the ratio (rounded to four decimal places) equal to the quotient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(i) the Company Merger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Company Outstanding Shares.</w:t>
      </w:r>
    </w:p>
    <w:p>
      <w:pPr>
        <w:spacing w:after="0" w:line="15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Allocation Percentage</w:t>
      </w:r>
      <w:r>
        <w:rPr>
          <w:rFonts w:ascii="Times New Roman" w:cs="Times New Roman" w:eastAsia="Times New Roman" w:hAnsi="Times New Roman"/>
          <w:sz w:val="18"/>
          <w:szCs w:val="18"/>
          <w:color w:val="auto"/>
        </w:rPr>
        <w:t xml:space="preserve">” means the quotient (expressed as a percentage and rounded to four decimal places) determined by </w:t>
      </w:r>
      <w:r>
        <w:rPr>
          <w:rFonts w:ascii="Times New Roman" w:cs="Times New Roman" w:eastAsia="Times New Roman" w:hAnsi="Times New Roman"/>
          <w:sz w:val="18"/>
          <w:szCs w:val="18"/>
          <w:i w:val="1"/>
          <w:iCs w:val="1"/>
          <w:u w:val="single" w:color="auto"/>
          <w:color w:val="auto"/>
        </w:rPr>
        <w:t>dividing</w:t>
      </w:r>
    </w:p>
    <w:p>
      <w:pPr>
        <w:spacing w:after="0" w:line="3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Valuation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 Aggregate Valuation.</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21" w:name="page22"/>
    <w:bookmarkEnd w:id="21"/>
    <w:p>
      <w:pPr>
        <w:ind w:left="660" w:hanging="22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Equity Value</w:t>
      </w:r>
      <w:r>
        <w:rPr>
          <w:rFonts w:ascii="Times New Roman" w:cs="Times New Roman" w:eastAsia="Times New Roman" w:hAnsi="Times New Roman"/>
          <w:sz w:val="18"/>
          <w:szCs w:val="18"/>
          <w:color w:val="auto"/>
        </w:rPr>
        <w:t>” means $12,500,000.</w:t>
      </w:r>
    </w:p>
    <w:p>
      <w:pPr>
        <w:spacing w:after="0" w:line="225" w:lineRule="exact"/>
        <w:rPr>
          <w:rFonts w:ascii="Times New Roman" w:cs="Times New Roman" w:eastAsia="Times New Roman" w:hAnsi="Times New Roman"/>
          <w:sz w:val="18"/>
          <w:szCs w:val="18"/>
          <w:color w:val="auto"/>
        </w:rPr>
      </w:pPr>
    </w:p>
    <w:p>
      <w:pPr>
        <w:ind w:right="540" w:firstLine="436"/>
        <w:spacing w:after="0" w:line="286" w:lineRule="auto"/>
        <w:tabs>
          <w:tab w:leader="none" w:pos="7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Net Cash Deficiency</w:t>
      </w:r>
      <w:r>
        <w:rPr>
          <w:rFonts w:ascii="Times New Roman" w:cs="Times New Roman" w:eastAsia="Times New Roman" w:hAnsi="Times New Roman"/>
          <w:sz w:val="18"/>
          <w:szCs w:val="18"/>
          <w:color w:val="auto"/>
        </w:rPr>
        <w:t>” means, if Parent Net Cash is less than $0, then the amount, if any, that $0 exceeds the Parent Net Cash, calculated as of the Cash Determination Time.</w:t>
      </w:r>
    </w:p>
    <w:p>
      <w:pPr>
        <w:spacing w:after="0" w:line="154" w:lineRule="exact"/>
        <w:rPr>
          <w:rFonts w:ascii="Times New Roman" w:cs="Times New Roman" w:eastAsia="Times New Roman" w:hAnsi="Times New Roman"/>
          <w:sz w:val="18"/>
          <w:szCs w:val="18"/>
          <w:color w:val="auto"/>
        </w:rPr>
      </w:pPr>
    </w:p>
    <w:p>
      <w:pPr>
        <w:ind w:right="560" w:firstLine="436"/>
        <w:spacing w:after="0" w:line="28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Net Cash Surplus</w:t>
      </w:r>
      <w:r>
        <w:rPr>
          <w:rFonts w:ascii="Times New Roman" w:cs="Times New Roman" w:eastAsia="Times New Roman" w:hAnsi="Times New Roman"/>
          <w:sz w:val="18"/>
          <w:szCs w:val="18"/>
          <w:color w:val="auto"/>
        </w:rPr>
        <w:t>” means, if Parent Net Cash is greater than $0, then the amount, if any, that the Parent Net Cash exceeds $0, calculated as of the Cash Determination Time.</w:t>
      </w:r>
    </w:p>
    <w:p>
      <w:pPr>
        <w:spacing w:after="0" w:line="154"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Outstanding Shares</w:t>
      </w:r>
      <w:r>
        <w:rPr>
          <w:rFonts w:ascii="Times New Roman" w:cs="Times New Roman" w:eastAsia="Times New Roman" w:hAnsi="Times New Roman"/>
          <w:sz w:val="18"/>
          <w:szCs w:val="18"/>
          <w:color w:val="auto"/>
        </w:rPr>
        <w:t>” means, without duplication, (including, without limitation, the effects of the Nasdaq Reverse Split, if completed) the total number of shares of Parent Capital Stock outstanding immediately prior to the Effective Time expressed on a fully-diluted basis and as converted to Parent Common Stock basis and assuming, without limitation or duplication, the issuance of shares of Parent Common Stock in respect of all Continuing Parent Options, warrants or other rights or commitments to receive shares of Parent Common Stock or Parent Preferred Stock (or securities convertible or exercisable into shares of Parent Common Stock or Parent Preferred Stock, but excluding any Parent Capital Stock issuable in accordance herewith), whether conditional or unconditional, that are outstanding as of immediately prior to the Effective Time. Notwithstanding any of the foregoing, no Cancelled Parent Options shall be included in the total number of shares of Parent Common Stock outstanding for purposes of determining the Parent Outstanding Shares.</w:t>
      </w:r>
    </w:p>
    <w:p>
      <w:pPr>
        <w:spacing w:after="0" w:line="184" w:lineRule="exact"/>
        <w:rPr>
          <w:rFonts w:ascii="Times New Roman" w:cs="Times New Roman" w:eastAsia="Times New Roman" w:hAnsi="Times New Roman"/>
          <w:sz w:val="18"/>
          <w:szCs w:val="18"/>
          <w:color w:val="auto"/>
        </w:rPr>
      </w:pPr>
    </w:p>
    <w:p>
      <w:pPr>
        <w:jc w:val="both"/>
        <w:ind w:right="520" w:firstLine="436"/>
        <w:spacing w:after="0" w:line="26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Valuation</w:t>
      </w:r>
      <w:r>
        <w:rPr>
          <w:rFonts w:ascii="Times New Roman" w:cs="Times New Roman" w:eastAsia="Times New Roman" w:hAnsi="Times New Roman"/>
          <w:sz w:val="18"/>
          <w:szCs w:val="18"/>
          <w:color w:val="auto"/>
        </w:rPr>
        <w:t xml:space="preserve">” means (i) the Parent Equity Value,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the Parent Net Cash Deficiency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(iii) the Parent Net Cash Surplus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Parent Valuation exceed $15,000,000. For the avoidance of doubt, the Company Pre-Closing Financing Proceeds shall not be included in the calculation or determination of the Parent Valuation or any component thereof.</w:t>
      </w:r>
    </w:p>
    <w:p>
      <w:pPr>
        <w:spacing w:after="0" w:line="170" w:lineRule="exact"/>
        <w:rPr>
          <w:rFonts w:ascii="Times New Roman" w:cs="Times New Roman" w:eastAsia="Times New Roman" w:hAnsi="Times New Roman"/>
          <w:sz w:val="18"/>
          <w:szCs w:val="18"/>
          <w:color w:val="auto"/>
        </w:rPr>
      </w:pPr>
    </w:p>
    <w:p>
      <w:pPr>
        <w:ind w:right="460" w:firstLine="436"/>
        <w:spacing w:after="0" w:line="28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Parent Shares</w:t>
      </w:r>
      <w:r>
        <w:rPr>
          <w:rFonts w:ascii="Times New Roman" w:cs="Times New Roman" w:eastAsia="Times New Roman" w:hAnsi="Times New Roman"/>
          <w:sz w:val="18"/>
          <w:szCs w:val="18"/>
          <w:color w:val="auto"/>
        </w:rPr>
        <w:t xml:space="preserve">” means the quotient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(i) the Parent Outstanding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 Parent Allocation Percentage.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options or other rights to purchase shares of Company Capital Stock issued by the Company.</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means the shares of the Company’s capital stock designated as preferred stock, including the Company Series A Preferred Stock and the Company Series A-1 Preferred Stock.</w:t>
      </w:r>
    </w:p>
    <w:p>
      <w:pPr>
        <w:spacing w:after="0" w:line="15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 Preferred Stock</w:t>
      </w:r>
      <w:r>
        <w:rPr>
          <w:rFonts w:ascii="Times New Roman" w:cs="Times New Roman" w:eastAsia="Times New Roman" w:hAnsi="Times New Roman"/>
          <w:sz w:val="18"/>
          <w:szCs w:val="18"/>
          <w:color w:val="auto"/>
        </w:rPr>
        <w:t>” means a series of the Company’s preferred stock designated as Series A Preferred Stock, $0.00001 par value per share.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w:t>
      </w:r>
      <w:r>
        <w:rPr>
          <w:rFonts w:ascii="Times New Roman" w:cs="Times New Roman" w:eastAsia="Times New Roman" w:hAnsi="Times New Roman"/>
          <w:sz w:val="18"/>
          <w:szCs w:val="18"/>
          <w:color w:val="auto"/>
        </w:rPr>
        <w:t>” means a series of the Company’s preferred stock designated as Series A-1 Preferred Stock, $0.00001 par value per share.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any equity incentive plan or any other plan, program, agreement or arrangement providing for any equity or equity-based compensation for any Person that may be adopted by the Company from time to time following the date hereof.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2" w:name="page23"/>
    <w:bookmarkEnd w:id="22"/>
    <w:p>
      <w:pPr>
        <w:ind w:right="14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Company Triggering Event</w:t>
      </w:r>
      <w:r>
        <w:rPr>
          <w:rFonts w:ascii="Times New Roman" w:cs="Times New Roman" w:eastAsia="Times New Roman" w:hAnsi="Times New Roman"/>
          <w:sz w:val="17"/>
          <w:szCs w:val="17"/>
          <w:color w:val="auto"/>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means warrants to purchase shares of Company Capital Stock issued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mutual non-disclosure agreement dated as of May 14, 2026, between the Company and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means the Merger, the Constructive Issuance and the other transactions contemplated by this Agreement (other than any Parent Legacy Transaction and the Parent Charter Amendment), the Company Pre-Closing Financing and the Nasdaq Reverse Split (to the extent applicable and deemed necessary by Parent and the Company).</w:t>
      </w:r>
    </w:p>
    <w:p>
      <w:pPr>
        <w:spacing w:after="0" w:line="17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Parent Option</w:t>
      </w:r>
      <w:r>
        <w:rPr>
          <w:rFonts w:ascii="Times New Roman" w:cs="Times New Roman" w:eastAsia="Times New Roman" w:hAnsi="Times New Roman"/>
          <w:sz w:val="18"/>
          <w:szCs w:val="18"/>
          <w:color w:val="auto"/>
        </w:rPr>
        <w:t>” means each Parent Option outstanding immediately prior to the Effective Time that is not a Cancelled Parent Option.</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Delisting Event</w:t>
      </w:r>
      <w:r>
        <w:rPr>
          <w:rFonts w:ascii="Times New Roman" w:cs="Times New Roman" w:eastAsia="Times New Roman" w:hAnsi="Times New Roman"/>
          <w:sz w:val="18"/>
          <w:szCs w:val="18"/>
          <w:color w:val="auto"/>
        </w:rPr>
        <w:t>” means (i) the filing of a Form 25 with respect to the shares of Parent Common Stock by Parent or Nasdaq with the SEC, or (ii) any other cessation of listing of the Parent Common Stock on Nasdaq, whether or not a Form 25 has been filed yet.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(a) an “employee benefit plan” within the meaning of Section 3(3) of ERISA whether or not subject to ERISA; (b) other plan, program, policy or arrangement providing for stock options,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23" w:name="page24"/>
    <w:bookmarkEnd w:id="23"/>
    <w:p>
      <w:pPr>
        <w:ind w:left="4" w:right="18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9"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Entity, any other Person that would be treated as a single employer with such Entity or part of the same “controlled group” as such Entity under Sections 414(b), (c), (m) or (o) of the Code.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Excepted Contract</w:t>
      </w:r>
      <w:r>
        <w:rPr>
          <w:rFonts w:ascii="Times New Roman" w:cs="Times New Roman" w:eastAsia="Times New Roman" w:hAnsi="Times New Roman"/>
          <w:sz w:val="18"/>
          <w:szCs w:val="18"/>
          <w:color w:val="auto"/>
        </w:rPr>
        <w:t xml:space="preserve">” means any and all (a) non-exclusive licenses for generally unmodified and commercially available shrink-wrap, click wrap and off-the-shelf software, (b) Contracts that (i) have expired on their own terms and have no continuing obligations, rights or interests (other than obligations to maintain confidentiality in the ordinary course of business), (ii) have been assigned to a third party (and to which a Party is no longer a party and has no obligations, rights or interests (other than obligations to maintain confidentiality in the ordinary course of business)) or (iii) were terminated prior to the date hereof that do not have any continuing obligations, rights or interests (other than obligations to maintain confidentiality in the ordinary course of business), (c) non-disclosure agreements entered into (i) in the Ordinary Course of Business by a Party, as applicable or (ii) in connection with discussions, negotiations, and transactions related to this Agreement or any transactions that were evaluated or pursued as an alternative to the transactions contemplated hereby, in each case, unless such non-disclosure agreements contain provisions requiring disclosure under </w:t>
      </w:r>
      <w:r>
        <w:rPr>
          <w:rFonts w:ascii="Times New Roman" w:cs="Times New Roman" w:eastAsia="Times New Roman" w:hAnsi="Times New Roman"/>
          <w:sz w:val="18"/>
          <w:szCs w:val="18"/>
          <w:u w:val="single" w:color="auto"/>
          <w:color w:val="auto"/>
        </w:rPr>
        <w:t>Section 3.13(a)(ii)</w:t>
      </w:r>
      <w:r>
        <w:rPr>
          <w:rFonts w:ascii="Times New Roman" w:cs="Times New Roman" w:eastAsia="Times New Roman" w:hAnsi="Times New Roman"/>
          <w:sz w:val="18"/>
          <w:szCs w:val="18"/>
          <w:color w:val="auto"/>
        </w:rPr>
        <w:t>, (d) materials transfer agreements and clinical trial agreements entered into in the Ordinary Course of Business by a Party,</w:t>
      </w:r>
    </w:p>
    <w:p>
      <w:pPr>
        <w:spacing w:after="0" w:line="3" w:lineRule="exact"/>
        <w:rPr>
          <w:sz w:val="20"/>
          <w:szCs w:val="20"/>
          <w:color w:val="auto"/>
        </w:rPr>
      </w:pPr>
    </w:p>
    <w:p>
      <w:pPr>
        <w:ind w:left="4" w:hanging="4"/>
        <w:spacing w:after="0" w:line="255"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non-exclusive licensees that are (i) ancillary to a sale of products or services to customers or (ii) incidental to the provision of services from contract manufacturers, suppliers, distributors or other service providers, or (f) Contracts between a Party and its employees on such Party’s standard form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4" w:name="page25"/>
    <w:bookmarkEnd w:id="24"/>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1"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(b) trademarks, service marks, trade names, domain names, corporate names, brand names, URLs, trade dress, logos and other source identifiers, including registrations and applications for registration thereof and goodwill associated therewith,</w:t>
      </w:r>
    </w:p>
    <w:p>
      <w:pPr>
        <w:spacing w:after="0" w:line="3" w:lineRule="exact"/>
        <w:rPr>
          <w:sz w:val="20"/>
          <w:szCs w:val="20"/>
          <w:color w:val="auto"/>
        </w:rPr>
      </w:pPr>
    </w:p>
    <w:p>
      <w:pPr>
        <w:ind w:left="4" w:right="320" w:hanging="4"/>
        <w:spacing w:after="0" w:line="255"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 with respect to an individual, that such individual is actually aware of the relevant fact, and (b) with respect to any Person that is an Entity the Knowledge of any executive officer of such Person as of the date such knowledge is imputed.</w:t>
      </w:r>
    </w:p>
    <w:p>
      <w:pPr>
        <w:spacing w:after="0" w:line="155"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76" w:lineRule="exact"/>
        <w:rPr>
          <w:sz w:val="20"/>
          <w:szCs w:val="20"/>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spacing w:after="0" w:line="171" w:lineRule="exact"/>
        <w:rPr>
          <w:sz w:val="20"/>
          <w:szCs w:val="20"/>
          <w:color w:val="auto"/>
        </w:rPr>
      </w:pPr>
    </w:p>
    <w:p>
      <w:pPr>
        <w:ind w:left="4" w:right="5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means that certain Exclusive License Agreement, dated June 12, 2026, by and between the Company and YolTech Therapeutics Co., Ltd., as amended or modified from time to time, pursuant to which the Company acquires intellectual property rights related to YOLT-202.</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Board</w:t>
      </w:r>
      <w:r>
        <w:rPr>
          <w:rFonts w:ascii="Times New Roman" w:cs="Times New Roman" w:eastAsia="Times New Roman" w:hAnsi="Times New Roman"/>
          <w:sz w:val="18"/>
          <w:szCs w:val="18"/>
          <w:color w:val="auto"/>
        </w:rPr>
        <w:t>” means the board of directors of Merger Sub.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as defined in Section 3(37) or 4001(a)(3) of ERISA.</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 “multiple employer plan” within the meaning of Section 413(c) of the Code or Section 3(40)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Welfare Arrangement</w:t>
      </w:r>
      <w:r>
        <w:rPr>
          <w:rFonts w:ascii="Times New Roman" w:cs="Times New Roman" w:eastAsia="Times New Roman" w:hAnsi="Times New Roman"/>
          <w:sz w:val="18"/>
          <w:szCs w:val="18"/>
          <w:color w:val="auto"/>
        </w:rPr>
        <w:t>” means a “multiple employer welfare arrangement” within the meaning of Section 3(40) of ERISA.</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Reverse Split</w:t>
      </w:r>
      <w:r>
        <w:rPr>
          <w:rFonts w:ascii="Times New Roman" w:cs="Times New Roman" w:eastAsia="Times New Roman" w:hAnsi="Times New Roman"/>
          <w:sz w:val="18"/>
          <w:szCs w:val="18"/>
          <w:color w:val="auto"/>
        </w:rPr>
        <w:t>” means a reverse stock split of all outstanding shares of Parent Common Stock effected by Parent for the purpose of maintaining compliance with Nasdaq listing standards.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xml:space="preserve">” means, in the case of each of the Company and Parent, such actions taken in the ordinary course of its normal operations and consistent with its past practice or, with respect to the Company, the customary practices of a recently formed company at a similar stage of development, including adoption of a Company Employee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the Pre-Closing Period, the Ordinary Course of Business of Parent shall also include actions required to effect and effecting any Parent Legacy Transaction.</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Associate</w:t>
      </w:r>
      <w:r>
        <w:rPr>
          <w:rFonts w:ascii="Times New Roman" w:cs="Times New Roman" w:eastAsia="Times New Roman" w:hAnsi="Times New Roman"/>
          <w:sz w:val="18"/>
          <w:szCs w:val="18"/>
          <w:color w:val="auto"/>
        </w:rPr>
        <w:t>” means any current employee, independent contractor, officer or director of Parent or any of its Subsidiaries.</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Balance Sheet</w:t>
      </w:r>
      <w:r>
        <w:rPr>
          <w:rFonts w:ascii="Times New Roman" w:cs="Times New Roman" w:eastAsia="Times New Roman" w:hAnsi="Times New Roman"/>
          <w:sz w:val="18"/>
          <w:szCs w:val="18"/>
          <w:color w:val="auto"/>
        </w:rPr>
        <w:t>” means the audited balance sheet of Parent as of December 31, 2024, included in Parent’s Report on Form 10-K for the year ended December 31, 2024, as filed with the SEC.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means the board of directors of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 Stock</w:t>
      </w:r>
      <w:r>
        <w:rPr>
          <w:rFonts w:ascii="Times New Roman" w:cs="Times New Roman" w:eastAsia="Times New Roman" w:hAnsi="Times New Roman"/>
          <w:sz w:val="18"/>
          <w:szCs w:val="18"/>
          <w:color w:val="auto"/>
        </w:rPr>
        <w:t>” means the Parent Common Stock and the Parent Preferred Stock.</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Capitalization Representations</w:t>
      </w:r>
      <w:r>
        <w:rPr>
          <w:rFonts w:ascii="Times New Roman" w:cs="Times New Roman" w:eastAsia="Times New Roman" w:hAnsi="Times New Roman"/>
          <w:sz w:val="18"/>
          <w:szCs w:val="18"/>
          <w:color w:val="auto"/>
        </w:rPr>
        <w:t xml:space="preserve">” means the representations and warranties of Parent and Merger Sub set forth in </w:t>
      </w:r>
      <w:r>
        <w:rPr>
          <w:rFonts w:ascii="Times New Roman" w:cs="Times New Roman" w:eastAsia="Times New Roman" w:hAnsi="Times New Roman"/>
          <w:sz w:val="18"/>
          <w:szCs w:val="18"/>
          <w:u w:val="single" w:color="auto"/>
          <w:color w:val="auto"/>
        </w:rPr>
        <w:t>Sections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4.6(d)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means the common stock, $0.0001 par value per share, of Parent.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Contract</w:t>
      </w:r>
      <w:r>
        <w:rPr>
          <w:rFonts w:ascii="Times New Roman" w:cs="Times New Roman" w:eastAsia="Times New Roman" w:hAnsi="Times New Roman"/>
          <w:sz w:val="18"/>
          <w:szCs w:val="18"/>
          <w:color w:val="auto"/>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6" w:name="page27"/>
    <w:bookmarkEnd w:id="2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Employee Plan</w:t>
      </w:r>
      <w:r>
        <w:rPr>
          <w:rFonts w:ascii="Times New Roman" w:cs="Times New Roman" w:eastAsia="Times New Roman" w:hAnsi="Times New Roman"/>
          <w:sz w:val="18"/>
          <w:szCs w:val="18"/>
          <w:color w:val="auto"/>
        </w:rPr>
        <w:t>” means any Employee Plan that Parent or any of its Subsidiaries (a) sponsors, maintains, administers, or contributes to,</w:t>
      </w:r>
    </w:p>
    <w:p>
      <w:pPr>
        <w:spacing w:after="0" w:line="31" w:lineRule="exact"/>
        <w:rPr>
          <w:sz w:val="20"/>
          <w:szCs w:val="20"/>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reasonably be expected to have any Liability, or (c) utilizes to provide benefits to or otherwise cover any current or former employee, officer,</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ESPP</w:t>
      </w:r>
      <w:r>
        <w:rPr>
          <w:rFonts w:ascii="Times New Roman" w:cs="Times New Roman" w:eastAsia="Times New Roman" w:hAnsi="Times New Roman"/>
          <w:sz w:val="18"/>
          <w:szCs w:val="18"/>
          <w:color w:val="auto"/>
        </w:rPr>
        <w:t>” means the Parent 2024 Employee Stock Purchase Plan.</w:t>
      </w:r>
    </w:p>
    <w:p>
      <w:pPr>
        <w:spacing w:after="0" w:line="225" w:lineRule="exact"/>
        <w:rPr>
          <w:sz w:val="20"/>
          <w:szCs w:val="20"/>
          <w:color w:val="auto"/>
        </w:rPr>
      </w:pPr>
    </w:p>
    <w:p>
      <w:pPr>
        <w:ind w:left="4"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and Merger Sub set forth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4.5(a)(i)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Financial Advisors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IP Rights Agreement</w:t>
      </w:r>
      <w:r>
        <w:rPr>
          <w:rFonts w:ascii="Times New Roman" w:cs="Times New Roman" w:eastAsia="Times New Roman" w:hAnsi="Times New Roman"/>
          <w:sz w:val="18"/>
          <w:szCs w:val="18"/>
          <w:color w:val="auto"/>
        </w:rPr>
        <w:t>” means any Contract governing, related or pertaining to any Parent IP Rights that are exclusively in-licensed or out-licensed by Parent.</w:t>
      </w:r>
    </w:p>
    <w:p>
      <w:pPr>
        <w:spacing w:after="0" w:line="15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IP Rights</w:t>
      </w:r>
      <w:r>
        <w:rPr>
          <w:rFonts w:ascii="Times New Roman" w:cs="Times New Roman" w:eastAsia="Times New Roman" w:hAnsi="Times New Roman"/>
          <w:sz w:val="18"/>
          <w:szCs w:val="18"/>
          <w:color w:val="auto"/>
        </w:rPr>
        <w:t>” means all Intellectual Property owned, licensed or controlled by Parent that is necessary for, or used or held for use in, the operation of the business of Parent.</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Key Employee</w:t>
      </w:r>
      <w:r>
        <w:rPr>
          <w:rFonts w:ascii="Times New Roman" w:cs="Times New Roman" w:eastAsia="Times New Roman" w:hAnsi="Times New Roman"/>
          <w:sz w:val="18"/>
          <w:szCs w:val="18"/>
          <w:color w:val="auto"/>
        </w:rPr>
        <w:t>” means (i) an executive officer of Parent; and (ii) any employee of Parent that reports directly to the Parent Board or to an executive officer of Parent.</w:t>
      </w:r>
    </w:p>
    <w:p>
      <w:pPr>
        <w:spacing w:after="0" w:line="15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Legacy Business</w:t>
      </w:r>
      <w:r>
        <w:rPr>
          <w:rFonts w:ascii="Times New Roman" w:cs="Times New Roman" w:eastAsia="Times New Roman" w:hAnsi="Times New Roman"/>
          <w:sz w:val="18"/>
          <w:szCs w:val="18"/>
          <w:color w:val="auto"/>
        </w:rPr>
        <w:t xml:space="preserve">” means the business of Parent as conducted at any time prior to the date of this Agreement, including but not limited to business related to the assets listed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Parent Disclosure Letter.</w:t>
      </w:r>
    </w:p>
    <w:p>
      <w:pPr>
        <w:spacing w:after="0" w:line="155"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or resulting from the following, alone or in combination, shall not be taken into account in determining whether there has been a Parent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is expressly required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and its Subsidiaries operate or (g) any failure of Parent to meet any projections, business plans or forecasts (provided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prevent a determination that any change or effect underlying such failure to meet projections, business plans or forecasts has resulted in a Parent Material Adverse Effect (to the extent such change or effect is not otherwise excluded from this definition of Parent Material Adverse Effect)); except, in each case with respect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to the extent materially and disproportionately affecting Parent and its Subsidiaries, taken as a whole, relative to other similarly situated companies in the industries in which Parent or any of its Subsidiaries operate. Notwithstanding the above, a Delisting Event shall constitute a Parent Material Adverse Effect, provided that the Company has not refused or unreasonably delayed its consent to reasonable actions by Parent to maintain the listing of Parent Common Stock on Nasdaq.</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7" w:name="page28"/>
    <w:bookmarkEnd w:id="27"/>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Net Cash</w:t>
      </w:r>
      <w:r>
        <w:rPr>
          <w:rFonts w:ascii="Times New Roman" w:cs="Times New Roman" w:eastAsia="Times New Roman" w:hAnsi="Times New Roman"/>
          <w:sz w:val="18"/>
          <w:szCs w:val="18"/>
          <w:color w:val="auto"/>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the Parent Legacy Transaction prior to the Calculation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prepaid expenses, accounts, interests, other receivables and deposits (excluding, for the avoidance of doubt, any Tax refunds) set forth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Parent Disclosure Letter,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aggregate amount (without duplication) of all fees and expenses incurred by Parent prior to the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 connection with the printing, mailing and distribution of the Proxy Statement and any amendments and supplements thereto; (iv)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(v) the costs associated with obtaining the “D&amp;O tail policy”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each case, to the extent unpaid as of the Effective Time; and (vi) the dividend of any excess Parent Net Cash (to the extent declared and unpaid) and all costs and expenses associated therewith,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all remaining rent payments and fees and expenses associated with terminating the Parent Real Estate Leases,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the Accrued Pre-Closing Tax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(g) all costs and expenses relating to the winding down of the Parent Legacy Business, including the sale, license or other disposition of any or all of the Parent Legacy Business to the extent unpaid as of the Closing (including, without limitation, the Post-Closing Welfare Plan Continuation Expense,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(h) to the extent not declared and paid prior to delivery of the Parent Net Cash Schedule and without double-counting, the Parent Pre-Closing Dividend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$500,000 for each month, or portion thereof, after November 22, 2026 by which Closing is delayed primarily as a result of the Company’s failure to provide Company Required S-4 Information, which amount shall begin accruing on November 23,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portion of the fees and expenses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have been paid by Parent prior to the Effective Time in an amount greater than Parent’s share of such fee and expense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then (x) such portion in excess of Parent’s shares of such fee and expense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not be deducted by reason of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and (y) such portion shall be added to the calculation of Parent Net Cash. For avoidance of doubt, the calculation of Parent Net Cash may result in a number below $0.</w:t>
      </w:r>
    </w:p>
    <w:p>
      <w:pPr>
        <w:spacing w:after="0" w:line="20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Options</w:t>
      </w:r>
      <w:r>
        <w:rPr>
          <w:rFonts w:ascii="Times New Roman" w:cs="Times New Roman" w:eastAsia="Times New Roman" w:hAnsi="Times New Roman"/>
          <w:sz w:val="18"/>
          <w:szCs w:val="18"/>
          <w:color w:val="auto"/>
        </w:rPr>
        <w:t>” means options or other rights to purchase shares of Parent Common Stock granted by Parent, including pursuant to any Parent Stock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Preferred Stock</w:t>
      </w:r>
      <w:r>
        <w:rPr>
          <w:rFonts w:ascii="Times New Roman" w:cs="Times New Roman" w:eastAsia="Times New Roman" w:hAnsi="Times New Roman"/>
          <w:sz w:val="18"/>
          <w:szCs w:val="18"/>
          <w:color w:val="auto"/>
        </w:rPr>
        <w:t>” means the shares of Parent’s capital stock designated as preferred stock, par value $0.0001 per share of Parent.</w:t>
      </w:r>
    </w:p>
    <w:p>
      <w:pPr>
        <w:spacing w:after="0" w:line="225" w:lineRule="exact"/>
        <w:rPr>
          <w:sz w:val="20"/>
          <w:szCs w:val="20"/>
          <w:color w:val="auto"/>
        </w:rPr>
      </w:pPr>
    </w:p>
    <w:p>
      <w:pPr>
        <w:jc w:val="both"/>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Registered IP</w:t>
      </w:r>
      <w:r>
        <w:rPr>
          <w:rFonts w:ascii="Times New Roman" w:cs="Times New Roman" w:eastAsia="Times New Roman" w:hAnsi="Times New Roman"/>
          <w:sz w:val="18"/>
          <w:szCs w:val="18"/>
          <w:color w:val="auto"/>
        </w:rPr>
        <w:t>”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w:t>
      </w:r>
    </w:p>
    <w:p>
      <w:pPr>
        <w:spacing w:after="0" w:line="171" w:lineRule="exact"/>
        <w:rPr>
          <w:sz w:val="20"/>
          <w:szCs w:val="20"/>
          <w:color w:val="auto"/>
        </w:rPr>
      </w:pPr>
    </w:p>
    <w:p>
      <w:pPr>
        <w:jc w:val="both"/>
        <w:ind w:left="4" w:right="2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Triggering Event</w:t>
      </w:r>
      <w:r>
        <w:rPr>
          <w:rFonts w:ascii="Times New Roman" w:cs="Times New Roman" w:eastAsia="Times New Roman" w:hAnsi="Times New Roman"/>
          <w:sz w:val="17"/>
          <w:szCs w:val="17"/>
          <w:color w:val="auto"/>
        </w:rPr>
        <w:t xml:space="preserve">” shall be deemed to have occurred if, prior to the approval of this Agreement and the Contemplated Transactions by Parent’s stockholders and subject to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 (a) Parent shall have failed to include in the Proxy Statement the Parent Board Recommendation,</w:t>
      </w:r>
    </w:p>
    <w:p>
      <w:pPr>
        <w:spacing w:after="0" w:line="1" w:lineRule="exact"/>
        <w:rPr>
          <w:sz w:val="20"/>
          <w:szCs w:val="20"/>
          <w:color w:val="auto"/>
        </w:rPr>
      </w:pPr>
    </w:p>
    <w:p>
      <w:pPr>
        <w:ind w:left="4" w:right="140" w:hanging="4"/>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Board or any committee thereof shall have made a Parent Board Adverse Recommendation Change or subject to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Merger Sub and Parent.</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Alternative Agreement</w:t>
      </w:r>
      <w:r>
        <w:rPr>
          <w:rFonts w:ascii="Times New Roman" w:cs="Times New Roman" w:eastAsia="Times New Roman" w:hAnsi="Times New Roman"/>
          <w:sz w:val="18"/>
          <w:szCs w:val="18"/>
          <w:color w:val="auto"/>
        </w:rPr>
        <w:t>” means a definitive agreement that contemplates or otherwise relates to an Acquisition Transaction that constitutes a Superior Offer.</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means (a) any statutory liens for current Taxes not yet due and payable or for Taxes that are being contested in good faith by the appropriate proceedings and for which adequate reserves will be or have been made on the financial statements of the Company or the Parent Balance Sheet, as applicable,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(b) minor non-monetary liens that have arisen in the Ordinary Course of Business and that do not (in any case or in the aggregate)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information that is considered “personally identifiable information,” “personal information,” “personal data,” “clinical trial data,” “consumer health data,” or any similar term by any applicable Privacy Laws.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 Laws relating to privacy, data security, data breach notification, or the processing of Personal Information.</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hereof, by and among the Company and the several investors signatory thereto.</w:t>
      </w:r>
    </w:p>
    <w:p>
      <w:pPr>
        <w:spacing w:after="0" w:line="15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Person, such Person’s directors, officers, employees, agents, attorneys, accountants, investment bankers, advisors and other representatives.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29" w:name="page30"/>
    <w:bookmarkEnd w:id="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Transaction</w:t>
      </w:r>
      <w:r>
        <w:rPr>
          <w:rFonts w:ascii="Times New Roman" w:cs="Times New Roman" w:eastAsia="Times New Roman" w:hAnsi="Times New Roman"/>
          <w:sz w:val="18"/>
          <w:szCs w:val="18"/>
          <w:color w:val="auto"/>
        </w:rPr>
        <w:t>” means any Acquisition Transaction (with all references to 20% in the definition of Acquisition Transaction being treated as references to 50% for these purposes).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 Entity, a Person if such Person directly or indirectly owns or purports to own, beneficially or of record,</w:t>
      </w:r>
    </w:p>
    <w:p>
      <w:pPr>
        <w:spacing w:after="0" w:line="31" w:lineRule="exact"/>
        <w:rPr>
          <w:sz w:val="20"/>
          <w:szCs w:val="20"/>
          <w:color w:val="auto"/>
        </w:rPr>
      </w:pPr>
    </w:p>
    <w:p>
      <w:pPr>
        <w:ind w:left="4" w:right="220" w:hanging="4"/>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2"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Superior Offer</w:t>
      </w:r>
      <w:r>
        <w:rPr>
          <w:rFonts w:ascii="Times New Roman" w:cs="Times New Roman" w:eastAsia="Times New Roman" w:hAnsi="Times New Roman"/>
          <w:sz w:val="17"/>
          <w:szCs w:val="17"/>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this Agreement to amend the terms of this Agreement, and following consultation with its outside legal counsel and financial advisors, if any, are more favorable, from a financial point of view, to Parent’s stockholders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spacing w:after="0" w:line="17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8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Yoltech Warrant</w:t>
      </w:r>
      <w:r>
        <w:rPr>
          <w:rFonts w:ascii="Times New Roman" w:cs="Times New Roman" w:eastAsia="Times New Roman" w:hAnsi="Times New Roman"/>
          <w:sz w:val="18"/>
          <w:szCs w:val="18"/>
          <w:color w:val="auto"/>
        </w:rPr>
        <w:t>” means that certain Company Warrant, dated as of June 12, 2026, issued to YolTech Therapeutics Co., Ltd. in connection with the License Agreement.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Each of the following terms is defined in the Section set forth opposite such term: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2"/>
              </w:rPr>
              <w:t>AAA</w:t>
            </w:r>
          </w:p>
        </w:tc>
        <w:tc>
          <w:tcPr>
            <w:tcW w:w="42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2.8(f)</w:t>
            </w:r>
          </w:p>
        </w:tc>
        <w:tc>
          <w:tcPr>
            <w:tcW w:w="220" w:type="dxa"/>
            <w:vAlign w:val="bottom"/>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2.8(f)</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Certificate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Option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6.5(a)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Warrant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6.5(b)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Determination Time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409A Plan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3.17(j)</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Adverse Recommendation Change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Section 3</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 Candidates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Estate Leases</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Regulatory Permits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Required S-4 Information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6.1(d)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Support 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Written Consents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10.3(b)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Calculation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Delivery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Determination Time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Dispute Notice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Response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Schedule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Parties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Drug/Device Regulatory Agency</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Employment-Related Laws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3.17(k)</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10.1(b)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FDCA</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365"/>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60" w:type="dxa"/>
            <w:vAlign w:val="bottom"/>
          </w:tcPr>
          <w:p>
            <w:pPr>
              <w:jc w:val="right"/>
              <w:ind w:right="455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920"/>
          </w:cols>
          <w:pgMar w:left="440" w:top="270" w:right="5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2.5(a)(ii)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Nasdaq Fees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Application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Ordinary Course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3.16(g)</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409A Plan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4.17(j)</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Board Adverse Recommendation Change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Board Recommendation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Charter Amendment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6"/>
              </w:rPr>
              <w:t>2.4(a)(iv)</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Section 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Intervening Event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Legacy Transaction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Contract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Contracts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Net Cash Calculation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Net Cash Schedule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Notice Period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Pre-Closing Dividend Amount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Product Candidates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4.14(d)</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Real Estate Leases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Regulatory Permits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4.14(d)</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 Plans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4.6(c)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Matters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Support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10.3(c)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PHSA</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3.14(c)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Post-Closing Welfare Plan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Post-Closing Welfare Plan Continuation Expense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Required Company Stockholder Vote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Required Parent Stockholder Vote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Response Date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 Documents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Series A Financing</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Series A Financing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Notice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6.2(b)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Section 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Tax Certificates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6.10(c)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6.4(c)</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3.17(k)</w:t>
            </w:r>
          </w:p>
        </w:tc>
      </w:tr>
      <w:tr>
        <w:trPr>
          <w:trHeight w:val="364"/>
        </w:trPr>
        <w:tc>
          <w:tcPr>
            <w:tcW w:w="4480" w:type="dxa"/>
            <w:vAlign w:val="bottom"/>
          </w:tcPr>
          <w:p>
            <w:pPr>
              <w:spacing w:after="0"/>
              <w:rPr>
                <w:sz w:val="24"/>
                <w:szCs w:val="24"/>
                <w:color w:val="auto"/>
              </w:rPr>
            </w:pPr>
          </w:p>
        </w:tc>
        <w:tc>
          <w:tcPr>
            <w:tcW w:w="6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0920"/>
          </w:cols>
          <w:pgMar w:left="440" w:top="270" w:right="539" w:bottom="1440" w:gutter="0" w:footer="0" w:header="0"/>
        </w:sectPr>
      </w:pPr>
    </w:p>
    <w:bookmarkStart w:id="32" w:name="page33"/>
    <w:bookmarkEnd w:id="3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 (including Exhibit A to such Exhibit) is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respectively. The disclosures in any section or subsection of the Company Disclosure Letter or the Parent Disclosure Letter shall qualify other sections and subsections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The inclusion of any information in the Company Disclosure Letter or the Parent Disclosure Letter (or any update thereto) shall not be deemed to be an admission or acknowledgement, in and of itself, that such information is required by the terms hereof to be disclosed, is material, has resulted in or would result in a Company Material Adverse Effect or Parent Material Adverse Effect, as the case may be, or is outside the Ordinary Course of Business.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TRANSACTION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in the applicable provisions of the DGCL. As a result of the Merger, the Company will become a wholly owned subsidiary of Parent.</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pursuant to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subject to the satisfaction or waiver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At the Closing, (i) the Parties shall cause the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incorporated herein by reference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Organizational Documents;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0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Surviving Corporation shall be identical to the bylaws of the Company as in effect immediately prior to the Effective Time, until thereafter amended as provided by the DGCL and such bylaws; and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Surviving Corporation, each to hold office in accordance with the certificate of incorporation and bylaws of the Surviving Corporation, shall be such persons as are designated by the Company prior to the Effective Time.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Effective Time, Parent shall file an amendment to its certificate of incorporation to (i) change the name of Parent to a name designated by the Company at least five days prior to the Effective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4" w:name="page35"/>
    <w:bookmarkEnd w:id="34"/>
    <w:p>
      <w:pPr>
        <w:ind w:left="420" w:right="60" w:hanging="4"/>
        <w:spacing w:after="0" w:line="261"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the Nasdaq Reverse Split (to the extent applicable and necessary), (iii) increase the number of shares of Parent Capital Stock that Parent is authorized to issue to a number determined by the Company, such amount to be sufficient to allow for consummation of the Contemplated Transactions, and (iv) make such other changes as are mutually agreeable to Parent and the Company (such amendment, the “</w:t>
      </w:r>
      <w:r>
        <w:rPr>
          <w:rFonts w:ascii="Times New Roman" w:cs="Times New Roman" w:eastAsia="Times New Roman" w:hAnsi="Times New Roman"/>
          <w:sz w:val="18"/>
          <w:szCs w:val="18"/>
          <w:b w:val="1"/>
          <w:bCs w:val="1"/>
          <w:color w:val="auto"/>
        </w:rPr>
        <w:t>Parent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0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Parent, each to hold office in accordance with the certificate of incorporation and bylaws of Parent, shall be as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Conversion of Company, Merger Sub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760" w:firstLine="436"/>
        <w:spacing w:after="0" w:line="282"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further action on the part of Parent, Merger Sub, the Company or any stockholder of the Company or Parent:</w:t>
      </w:r>
    </w:p>
    <w:p>
      <w:pPr>
        <w:spacing w:after="0" w:line="53" w:lineRule="exact"/>
        <w:rPr>
          <w:rFonts w:ascii="Times New Roman" w:cs="Times New Roman" w:eastAsia="Times New Roman" w:hAnsi="Times New Roman"/>
          <w:sz w:val="18"/>
          <w:szCs w:val="18"/>
          <w:color w:val="auto"/>
        </w:rPr>
      </w:pPr>
    </w:p>
    <w:p>
      <w:pPr>
        <w:ind w:left="420" w:right="300" w:firstLine="419"/>
        <w:spacing w:after="0" w:line="282" w:lineRule="auto"/>
        <w:tabs>
          <w:tab w:leader="none" w:pos="10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53" w:lineRule="exact"/>
        <w:rPr>
          <w:rFonts w:ascii="Times New Roman" w:cs="Times New Roman" w:eastAsia="Times New Roman" w:hAnsi="Times New Roman"/>
          <w:sz w:val="18"/>
          <w:szCs w:val="18"/>
          <w:color w:val="auto"/>
        </w:rPr>
      </w:pPr>
    </w:p>
    <w:p>
      <w:pPr>
        <w:jc w:val="both"/>
        <w:ind w:left="420" w:firstLine="419"/>
        <w:spacing w:after="0" w:line="261" w:lineRule="auto"/>
        <w:tabs>
          <w:tab w:leader="none" w:pos="11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each share of Company Capital Stock (including any shares of Company Capital Stock issued pursuant to the Company Pre-Closing Financing or the Series A Financing) outstanding immediately prior to the Effective Time (excluding shares of Company Capital Stock to be canceled pursuant to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 shall be converted solely into the right to receive a number of shares of Parent Common Stock equal to the Exchange Ratio (collectively,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w:t>
      </w:r>
    </w:p>
    <w:p>
      <w:pPr>
        <w:spacing w:after="0" w:line="187"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w:t>
      </w:r>
    </w:p>
    <w:p>
      <w:pPr>
        <w:spacing w:after="0" w:line="188"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Options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All Company Warrants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35" w:name="page36"/>
    <w:bookmarkEnd w:id="35"/>
    <w:p>
      <w:pPr>
        <w:ind w:right="12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book entry share of Merger Sub evidencing ownership of any such shares shall, as of the Effective Time, evidence ownership of such shares of common stock of the Surviving Corporation.</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will be construed to permit the Company or Parent to take any action with respect to Company Capital Stock or Parent Capital Stock, respectively, that is prohibited or not expressly permitted by the terms of this Agreement.</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Closing of the Company’s Transfer Books</w:t>
      </w:r>
      <w:r>
        <w:rPr>
          <w:rFonts w:ascii="Times New Roman" w:cs="Times New Roman" w:eastAsia="Times New Roman" w:hAnsi="Times New Roman"/>
          <w:sz w:val="18"/>
          <w:szCs w:val="18"/>
          <w:color w:val="auto"/>
        </w:rPr>
        <w:t xml:space="preserve">. At the Effective Time: (a) all Company Capital Stock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and all holders of certificates representing Company Capital Stock that were outstanding immediately prior to the Effective Time shall cease to have any rights as stockholders of the Company and (b) the stock transfer books of the Company shall be closed with respect to all Company Capital Stock outstanding immediately prior to the Effective Time. No further transfer of any such Company Capital Stock shall be made on such stock transfer books after the Effective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Surrender of Company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and the Company shall jointly select a reputable bank, transfer agent or trust company to act as exchange agent in the Merger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At the Effective Time, Parent shall deposit with the Exchange Agent evidence of book-entry shares representing the shares of Parent Capital Stock issuable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in exchange for Company Capital Stock.</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cs="Times New Roman" w:eastAsia="Times New Roman" w:hAnsi="Times New Roman"/>
          <w:sz w:val="18"/>
          <w:szCs w:val="18"/>
          <w:b w:val="1"/>
          <w:bCs w:val="1"/>
          <w:color w:val="auto"/>
        </w:rPr>
        <w:t>Company Stock Certificates</w:t>
      </w:r>
      <w:r>
        <w:rPr>
          <w:rFonts w:ascii="Times New Roman" w:cs="Times New Roman" w:eastAsia="Times New Roman" w:hAnsi="Times New Roman"/>
          <w:sz w:val="18"/>
          <w:szCs w:val="18"/>
          <w:color w:val="auto"/>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(B)</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6" w:name="page37"/>
    <w:bookmarkEnd w:id="3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Stock Certificate or uncertificated shares of Company Capital Stock so surrendered shall be canceled. Until surrendered as contemplated by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each Company Stock Certificate or uncertificated shares of Company Capital Stock shall be deemed, from and after the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spacing w:after="0" w:line="189" w:lineRule="exact"/>
        <w:rPr>
          <w:sz w:val="20"/>
          <w:szCs w:val="20"/>
          <w:color w:val="auto"/>
        </w:rPr>
      </w:pPr>
    </w:p>
    <w:p>
      <w:pPr>
        <w:ind w:right="200" w:firstLine="436"/>
        <w:spacing w:after="0" w:line="258"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declared or made with respect to Parent Capital Stock with a record date after the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thereafter look only to Parent for satisfaction of their claims for Parent Capital Stock and any dividends or distributions with respect to shares of Parent Capital Stock.</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Calculation of Net Cash and Company Valuation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seven Business Days prior to the earlier of (i) the anticipated date for the Parent Stockholder Meeting or (ii) the intended declaration of the Parent Pre-Closing Dividend, in each case as mutually agreed in good faith by Parent and the Company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Parent will deliver to the Company a schedule (the “</w:t>
      </w:r>
      <w:r>
        <w:rPr>
          <w:rFonts w:ascii="Times New Roman" w:cs="Times New Roman" w:eastAsia="Times New Roman" w:hAnsi="Times New Roman"/>
          <w:sz w:val="18"/>
          <w:szCs w:val="18"/>
          <w:b w:val="1"/>
          <w:bCs w:val="1"/>
          <w:color w:val="auto"/>
        </w:rPr>
        <w:t>Parent Net Cash Schedule</w:t>
      </w:r>
      <w:r>
        <w:rPr>
          <w:rFonts w:ascii="Times New Roman" w:cs="Times New Roman" w:eastAsia="Times New Roman" w:hAnsi="Times New Roman"/>
          <w:sz w:val="18"/>
          <w:szCs w:val="18"/>
          <w:color w:val="auto"/>
        </w:rPr>
        <w:t>”) setting forth, in reasonable detail, Parent’s good faith, estimated calculation of the components of Parent Net Cash (the “</w:t>
      </w:r>
      <w:r>
        <w:rPr>
          <w:rFonts w:ascii="Times New Roman" w:cs="Times New Roman" w:eastAsia="Times New Roman" w:hAnsi="Times New Roman"/>
          <w:sz w:val="18"/>
          <w:szCs w:val="18"/>
          <w:b w:val="1"/>
          <w:bCs w:val="1"/>
          <w:color w:val="auto"/>
        </w:rPr>
        <w:t>Parent Net Cash Calculation</w:t>
      </w:r>
      <w:r>
        <w:rPr>
          <w:rFonts w:ascii="Times New Roman" w:cs="Times New Roman" w:eastAsia="Times New Roman" w:hAnsi="Times New Roman"/>
          <w:sz w:val="18"/>
          <w:szCs w:val="18"/>
          <w:color w:val="auto"/>
        </w:rPr>
        <w:t>,” and the date of delivery of such schedule being the “</w:t>
      </w:r>
      <w:r>
        <w:rPr>
          <w:rFonts w:ascii="Times New Roman" w:cs="Times New Roman" w:eastAsia="Times New Roman" w:hAnsi="Times New Roman"/>
          <w:sz w:val="18"/>
          <w:szCs w:val="18"/>
          <w:b w:val="1"/>
          <w:bCs w:val="1"/>
          <w:color w:val="auto"/>
        </w:rPr>
        <w:t>Parent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Schedule Delivery Date</w:t>
      </w:r>
      <w:r>
        <w:rPr>
          <w:rFonts w:ascii="Times New Roman" w:cs="Times New Roman" w:eastAsia="Times New Roman" w:hAnsi="Times New Roman"/>
          <w:sz w:val="18"/>
          <w:szCs w:val="18"/>
          <w:color w:val="auto"/>
        </w:rPr>
        <w:t>”) as of 11:59 p.m. on the Business Day prior to the Anticipated Closing Date (the “</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at reasonable times during Parent’s normal business hours and upon reasonably advanced written notice. The Parent Net Cash Calculation shall include Parent’s determination, as of the Cash Determination Time, of the defined terms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7" w:name="page38"/>
    <w:bookmarkEnd w:id="37"/>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faith to respond to any questions regarding the Parent Net Cash Schedule raised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shall in no way limit or otherwise affect the Company’s remedies under this Agreement or otherwise, or constitute an acknowledgement by the Company of the accuracy of the amounts reflected therein. Notwithstanding anything else in this Agreement, either Parent or the Company may require Parent to deliver a new Parent Net Cash Schedule if the Closing Date is more than 30 days after the Calculation Date, which date of delivery shall be deemed the “Calculation Date” hereunder.</w:t>
      </w:r>
    </w:p>
    <w:p>
      <w:pPr>
        <w:spacing w:after="0" w:line="160" w:lineRule="exact"/>
        <w:rPr>
          <w:sz w:val="20"/>
          <w:szCs w:val="20"/>
          <w:color w:val="auto"/>
        </w:rPr>
      </w:pPr>
    </w:p>
    <w:p>
      <w:pPr>
        <w:ind w:firstLine="436"/>
        <w:spacing w:after="0" w:line="253"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Business Days before the Closing, the Company will deliver to Parent a schedule (the “</w:t>
      </w:r>
      <w:r>
        <w:rPr>
          <w:rFonts w:ascii="Times New Roman" w:cs="Times New Roman" w:eastAsia="Times New Roman" w:hAnsi="Times New Roman"/>
          <w:sz w:val="18"/>
          <w:szCs w:val="18"/>
          <w:b w:val="1"/>
          <w:bCs w:val="1"/>
          <w:color w:val="auto"/>
        </w:rPr>
        <w:t>Company Valuation Schedule</w:t>
      </w:r>
      <w:r>
        <w:rPr>
          <w:rFonts w:ascii="Times New Roman" w:cs="Times New Roman" w:eastAsia="Times New Roman" w:hAnsi="Times New Roman"/>
          <w:sz w:val="18"/>
          <w:szCs w:val="18"/>
          <w:color w:val="auto"/>
        </w:rPr>
        <w:t>”) setting forth, in reasonable detail, the Company’s good faith, estimated calculation of the Company Valuation, the Company Pre-Closing Financing Proceeds and the Company Outstanding Shares (the “</w:t>
      </w:r>
      <w:r>
        <w:rPr>
          <w:rFonts w:ascii="Times New Roman" w:cs="Times New Roman" w:eastAsia="Times New Roman" w:hAnsi="Times New Roman"/>
          <w:sz w:val="18"/>
          <w:szCs w:val="18"/>
          <w:b w:val="1"/>
          <w:bCs w:val="1"/>
          <w:color w:val="auto"/>
        </w:rPr>
        <w:t>Company Valuation Calculation</w:t>
      </w:r>
      <w:r>
        <w:rPr>
          <w:rFonts w:ascii="Times New Roman" w:cs="Times New Roman" w:eastAsia="Times New Roman" w:hAnsi="Times New Roman"/>
          <w:sz w:val="18"/>
          <w:szCs w:val="18"/>
          <w:color w:val="auto"/>
        </w:rPr>
        <w:t>,” and the date of delivery of such schedule being the “</w:t>
      </w:r>
      <w:r>
        <w:rPr>
          <w:rFonts w:ascii="Times New Roman" w:cs="Times New Roman" w:eastAsia="Times New Roman" w:hAnsi="Times New Roman"/>
          <w:sz w:val="18"/>
          <w:szCs w:val="18"/>
          <w:b w:val="1"/>
          <w:bCs w:val="1"/>
          <w:color w:val="auto"/>
        </w:rPr>
        <w:t>Company Valuation Delivery Date</w:t>
      </w:r>
      <w:r>
        <w:rPr>
          <w:rFonts w:ascii="Times New Roman" w:cs="Times New Roman" w:eastAsia="Times New Roman" w:hAnsi="Times New Roman"/>
          <w:sz w:val="18"/>
          <w:szCs w:val="18"/>
          <w:color w:val="auto"/>
        </w:rPr>
        <w:t>”) as of 11:59 p.m. on the last Business Day prior to the Anticipated Closing Date (the “</w:t>
      </w:r>
      <w:r>
        <w:rPr>
          <w:rFonts w:ascii="Times New Roman" w:cs="Times New Roman" w:eastAsia="Times New Roman" w:hAnsi="Times New Roman"/>
          <w:sz w:val="18"/>
          <w:szCs w:val="18"/>
          <w:b w:val="1"/>
          <w:bCs w:val="1"/>
          <w:color w:val="auto"/>
        </w:rPr>
        <w:t>Company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Time</w:t>
      </w:r>
      <w:r>
        <w:rPr>
          <w:rFonts w:ascii="Times New Roman" w:cs="Times New Roman" w:eastAsia="Times New Roman" w:hAnsi="Times New Roman"/>
          <w:sz w:val="18"/>
          <w:szCs w:val="18"/>
          <w:color w:val="auto"/>
        </w:rPr>
        <w:t>”), in the form set forth on Schedule 2.8(b) to the Company Disclosure Letter. The Company shall make available to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at reasonable times during the Company’s normal business hours and upon reasonably advanced written notice. During the period beginning on the Company Valuation Delivery Date and ending on the Company Valuation Response Date, Parent shall have an opportunity to review the Company Valuation Schedule and the Company shall reasonably cooperate with Parent in good faith to respond to any questions regarding the Company Valuation Schedule raised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shall in no way limit or otherwise affect Parent’s remedies under this Agreement or otherwise, or constitute an acknowledgement by Parent of the accuracy of the amounts reflected therein.</w:t>
      </w:r>
    </w:p>
    <w:p>
      <w:pPr>
        <w:spacing w:after="0" w:line="189" w:lineRule="exact"/>
        <w:rPr>
          <w:rFonts w:ascii="Times New Roman" w:cs="Times New Roman" w:eastAsia="Times New Roman" w:hAnsi="Times New Roman"/>
          <w:sz w:val="18"/>
          <w:szCs w:val="18"/>
          <w:color w:val="auto"/>
        </w:rPr>
      </w:pPr>
    </w:p>
    <w:p>
      <w:pPr>
        <w:ind w:firstLine="436"/>
        <w:spacing w:after="0" w:line="272" w:lineRule="auto"/>
        <w:tabs>
          <w:tab w:leader="none" w:pos="6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three Business Days after the Parent Net Cash Schedule Delivery Date (the last day of such period, the “</w:t>
      </w:r>
      <w:r>
        <w:rPr>
          <w:rFonts w:ascii="Times New Roman" w:cs="Times New Roman" w:eastAsia="Times New Roman" w:hAnsi="Times New Roman"/>
          <w:sz w:val="17"/>
          <w:szCs w:val="17"/>
          <w:b w:val="1"/>
          <w:bCs w:val="1"/>
          <w:color w:val="auto"/>
        </w:rPr>
        <w:t>Response Date</w:t>
      </w:r>
      <w:r>
        <w:rPr>
          <w:rFonts w:ascii="Times New Roman" w:cs="Times New Roman" w:eastAsia="Times New Roman" w:hAnsi="Times New Roman"/>
          <w:sz w:val="17"/>
          <w:szCs w:val="17"/>
          <w:color w:val="auto"/>
        </w:rPr>
        <w:t>”), the Company shall have the right to dispute any part of the Parent Net Cash Calculation by delivering a written notice to that effect to Parent (a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Dispute Notice shall identify in reasonable detail and to the extent known the nature and amounts of any proposed revisions to the Parent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Cash Calculation and will be accompanied by reasonably detailed materials supporting the basis for such revisions. No later than three Business Days after the Company Valuation Delivery Date (the last day of such period, the “</w:t>
      </w:r>
      <w:r>
        <w:rPr>
          <w:rFonts w:ascii="Times New Roman" w:cs="Times New Roman" w:eastAsia="Times New Roman" w:hAnsi="Times New Roman"/>
          <w:sz w:val="17"/>
          <w:szCs w:val="17"/>
          <w:b w:val="1"/>
          <w:bCs w:val="1"/>
          <w:color w:val="auto"/>
        </w:rPr>
        <w:t>Company Valuation Response Date</w:t>
      </w:r>
      <w:r>
        <w:rPr>
          <w:rFonts w:ascii="Times New Roman" w:cs="Times New Roman" w:eastAsia="Times New Roman" w:hAnsi="Times New Roman"/>
          <w:sz w:val="17"/>
          <w:szCs w:val="17"/>
          <w:color w:val="auto"/>
        </w:rPr>
        <w:t>”), Parent shall have the right to dispute any part of the Company Valuation Calculation by delivering a written notice to that effect to the Company (a “</w:t>
      </w:r>
      <w:r>
        <w:rPr>
          <w:rFonts w:ascii="Times New Roman" w:cs="Times New Roman" w:eastAsia="Times New Roman" w:hAnsi="Times New Roman"/>
          <w:sz w:val="17"/>
          <w:szCs w:val="17"/>
          <w:b w:val="1"/>
          <w:bCs w:val="1"/>
          <w:color w:val="auto"/>
        </w:rPr>
        <w:t>Company Valuation Dispute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and any Company Valuation Dispute Notice shall identify in reasonable detail and to the extent known the nature and amounts of any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revisions to the Company Valuation Calculation and will be accompanied by reasonably detailed materials supporting the basis for such revisions.</w:t>
      </w:r>
    </w:p>
    <w:p>
      <w:pPr>
        <w:spacing w:after="0" w:line="175" w:lineRule="exact"/>
        <w:rPr>
          <w:rFonts w:ascii="Times New Roman" w:cs="Times New Roman" w:eastAsia="Times New Roman" w:hAnsi="Times New Roman"/>
          <w:sz w:val="17"/>
          <w:szCs w:val="17"/>
          <w:color w:val="auto"/>
        </w:rPr>
      </w:pPr>
    </w:p>
    <w:p>
      <w:pPr>
        <w:ind w:right="120"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prior to the Response Date, the Company notifies Parent in writing that it has no objections to the Parent Net Cash Calculation or, if on the Response Date, the Company fails to deliver a Dispute Notice as provided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8" w:name="page39"/>
    <w:bookmarkEnd w:id="38"/>
    <w:p>
      <w:pPr>
        <w:ind w:firstLine="436"/>
        <w:spacing w:after="0" w:line="255"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delivers a Dispute Notice on or prior to the Response Date, then Representatives of Parent and the Company shall promptly meet and attempt in good faith to resolve the disputed item(s) and negotiate an agreed-upon determination of Parent Net Cash, which agreed upon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Company Valuation Calculation, which agreed upon Company Valuation Calculation shall be deemed to have been finally determined for purposes of this Agreement.</w:t>
      </w:r>
    </w:p>
    <w:p>
      <w:pPr>
        <w:spacing w:after="0" w:line="188" w:lineRule="exact"/>
        <w:rPr>
          <w:rFonts w:ascii="Times New Roman" w:cs="Times New Roman" w:eastAsia="Times New Roman" w:hAnsi="Times New Roman"/>
          <w:sz w:val="18"/>
          <w:szCs w:val="18"/>
          <w:color w:val="auto"/>
        </w:rPr>
      </w:pPr>
    </w:p>
    <w:p>
      <w:pPr>
        <w:ind w:right="40" w:firstLine="436"/>
        <w:spacing w:after="0" w:line="251"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Representatives of Parent and the Company are unable to negotiate an agreed-upon determination of Parent Net Cash as of the Cash Determination Time or the Company Valuation Calculation as of the Company Valuation Determination Time, in each case pursuant to </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the Company Valuation Calculation shall be referred to an independent auditor of recognized national standing jointly selected by Parent and the Company. If the parties are unable to select an independent auditor within five days, then either Parent or the Company may thereafter request that the New York, New York office of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Business Days of accepting its selection. Parent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Company Valuation Calculation made by the Accounting Firm shall be made in writing delivered to each of Parent and the Company, shall be final and binding on Parent and the Company and shall (absent manifest error) be deemed to have been finally determined for purposes of this Agreement.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xml:space="preserve">. The fees and expenses of the Accounting Firm shall be allocated between Parent and the Company in the same proportion that the disputed amount of the Parent Net Cash or the Company Valuation Calculation that was unsuccessfully disputed by such Party (as finally determined by the Accounting Firm) bears to the total disputed amount of the Parent Net Cash or the Company Valuation Calculation. If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xml:space="preserve"> applies as to the determination of the Parent Net Cash at the Cash Determination Time or to the determination of the Company Valuation Calculation as of the Company Valuation Determination Time, as applicable, upon resolution of the matter in accordance with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the Parties shall not be required to determine Parent Net Cash or the Company Valuation Calculation again even though the Closing may occur later than the Anticipated Closing Date.</w:t>
      </w:r>
    </w:p>
    <w:p>
      <w:pPr>
        <w:spacing w:after="0" w:line="20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acknowledge and agree that, for U.S. federal (and applicable state and local) income Tax purposes, the Merger is intended to qualify as a reorganization within the meaning of Section 368(a) of the Code and/or a transfer within the meaning of Section 351(a) of the Code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The Parties adopt this Agreement as a “plan of reorganization” within the meaning of Treasury Regulations Sections 1.368-2(g) and 1.368-3.</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the Exchange Agent, Parent, Merger Sub and the Surviving Corporation shall be entitled to deduct and withhold from any consideration deliverable pursuant to this Agreement to any Person such amounts as are required to be deducted or withheld from such consideration under the Code or under any other applicable Law; provided that, with respect to any non-compensatory amounts, the Exchange Agent, Parent, Merger Sub and the Surviving Corporation shall use commercially reasonable efforts to (i) promptly notify such Persons of any intention to withhold any portion of such consideration and (ii)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Corporation or Parent, as applicable.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2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Except as set forth in the written disclosure document delivered by the Company to Parent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concurrently with the execution of this Agreement, the Company represents and warrants to Parent and Merger Sub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79"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40" w:name="page41"/>
    <w:bookmarkEnd w:id="40"/>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delivered to Parent accurate and complete copies of the Organizational Documents of the Company. The Company is not in breach or violation of its Organizational Documents in any material respect.</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all necessary corporate power and authority to enter into and to perform its obligations under this Agreement and to consummate the Contemplated Transactions, subject to obtaining the Required Company Stockholder Vote.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w:t>
      </w:r>
    </w:p>
    <w:p>
      <w:pPr>
        <w:spacing w:after="0" w:line="189"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written consent) of (a) the holders of a majority of the shares of Company Capital Stock outstanding on the record date, voting as a single class on an as-converted basis, and (b) the holders of a majority of the shares of Company Series A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8"/>
          <w:szCs w:val="18"/>
          <w:b w:val="1"/>
          <w:bCs w:val="1"/>
          <w:color w:val="auto"/>
        </w:rPr>
        <w:t>Required Company Stockholder Vote</w:t>
      </w:r>
      <w:r>
        <w:rPr>
          <w:rFonts w:ascii="Times New Roman" w:cs="Times New Roman" w:eastAsia="Times New Roman" w:hAnsi="Times New Roman"/>
          <w:sz w:val="18"/>
          <w:szCs w:val="18"/>
          <w:color w:val="auto"/>
        </w:rPr>
        <w:t>”). No interest in the Company is subject to any appraisal or dissenters’ rights in connection with the Contemplated Transactions.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Company’s Organizational Documents;</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58" w:lineRule="auto"/>
        <w:tabs>
          <w:tab w:leader="none" w:pos="11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left="420" w:right="280" w:firstLine="419"/>
        <w:spacing w:after="0" w:line="282" w:lineRule="auto"/>
        <w:tabs>
          <w:tab w:leader="none" w:pos="10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in the imposition or creation of any Encumbrance upon or with respect to any asset owned or used by the Company (except for Permitted Encumbrances).</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Required Company Stockholder Vote, (ii) the filing of the Certificate of Merger with the Secretary of State of the State of Delaware pursuant to the DGCL, (iii) such consents, waivers, approvals, orders, authorizations, registrations, declarations and filings as may be required under applicable federal and state securities laws, and (iv) the filing of the pre-merger notification report under the HSR Act,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spacing w:after="0" w:line="183"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takeover statute or similar Law applies or purports to apply to the Merger, this Agreement, the Company Stockholder Support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4" w:lineRule="auto"/>
        <w:tabs>
          <w:tab w:leader="none" w:pos="6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the Company consists of 100,000,000 shares of Company Common Stock, 35,000,000 shares of Series A Preferred Stock, and 25,000,000 shares of Series A-1 Preferred Stock, of which 6,100,000, 30,668,708 and no shares respectively have been issued and are outstanding as of the date hereof. The Company does not hold any shares of its capital stock in its treasury. As of the date of this Agreement, the Company’s capital stock is held by the Persons and in the amounts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Company Disclosure Letter, which further sets forth for each such Person (i) the name of such Person and the number of shares held, (ii) the class and series of such shares, and (iii) whether such Person is or has ever been an employee. Each share of Company Preferred Stock is convertible into one share of Company Common Stock. There are no declared or accrued but unpaid dividends with respect to any shares of the Company’s capital stock and the Company has never declared or paid any dividend or other distribution.</w:t>
      </w:r>
    </w:p>
    <w:p>
      <w:pPr>
        <w:spacing w:after="0" w:line="191"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Company Capital Stock as set out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Company Disclosure Letter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70" w:right="479" w:bottom="1440" w:gutter="0" w:footer="0" w:header="0"/>
        </w:sectPr>
      </w:pPr>
    </w:p>
    <w:bookmarkStart w:id="42" w:name="page43"/>
    <w:bookmarkEnd w:id="42"/>
    <w:p>
      <w:pPr>
        <w:ind w:right="180" w:firstLine="436"/>
        <w:spacing w:after="0" w:line="261"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entered into an employment agreement pursuant to which the Company will reserve a number of shares equal to 5% of the fully-diluted issued and outstanding Company Capital Stock through the closing of the Pre-Closing Financing, which awards will be issued under the Company’s 2026 Equity Incentive Plan (the “</w:t>
      </w:r>
      <w:r>
        <w:rPr>
          <w:rFonts w:ascii="Times New Roman" w:cs="Times New Roman" w:eastAsia="Times New Roman" w:hAnsi="Times New Roman"/>
          <w:sz w:val="18"/>
          <w:szCs w:val="18"/>
          <w:b w:val="1"/>
          <w:bCs w:val="1"/>
          <w:color w:val="auto"/>
        </w:rPr>
        <w:t>Stock Plan</w:t>
      </w:r>
      <w:r>
        <w:rPr>
          <w:rFonts w:ascii="Times New Roman" w:cs="Times New Roman" w:eastAsia="Times New Roman" w:hAnsi="Times New Roman"/>
          <w:sz w:val="18"/>
          <w:szCs w:val="18"/>
          <w:color w:val="auto"/>
        </w:rPr>
        <w:t>”). As of the date hereof, there are no other Company Options or other equity awards issued, outstanding or subject to executed employment agreements.</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3.6(d)</w:t>
      </w:r>
      <w:r>
        <w:rPr>
          <w:rFonts w:ascii="Times New Roman" w:cs="Times New Roman" w:eastAsia="Times New Roman" w:hAnsi="Times New Roman"/>
          <w:sz w:val="18"/>
          <w:szCs w:val="18"/>
          <w:color w:val="auto"/>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9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Capital Stock, Company Options and other securities of the Company have been issued and granted in compliance in all material respects with (i) all applicable securities laws and other applicable Law and (ii) all requirements set forth in applicable Contracts.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 Stock are uncertificated.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of the Company Disclosure Letter lists, and the Company has delivered to Parent accurate and complete copies of the</w:t>
      </w:r>
    </w:p>
    <w:p>
      <w:pPr>
        <w:spacing w:after="0" w:line="27"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creating or governing, all securitization transactions and “off-balance sheet arrangements” (as defined in Item 303(c) of Regulation S-K under the Exchange Act) effected by the Company.</w:t>
      </w:r>
    </w:p>
    <w:p>
      <w:pPr>
        <w:spacing w:after="0" w:line="181"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43" w:name="page44"/>
    <w:bookmarkEnd w:id="43"/>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3.8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7"/>
          <w:szCs w:val="17"/>
          <w:color w:val="auto"/>
        </w:rPr>
        <w:t xml:space="preserve"> of the Company Disclosure Letter, between the date of its incorporation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w:t>
      </w:r>
    </w:p>
    <w:p>
      <w:pPr>
        <w:spacing w:after="0" w:line="2" w:lineRule="exact"/>
        <w:rPr>
          <w:sz w:val="20"/>
          <w:szCs w:val="20"/>
          <w:color w:val="auto"/>
        </w:rPr>
      </w:pPr>
    </w:p>
    <w:p>
      <w:pPr>
        <w:ind w:left="4" w:right="540" w:hanging="4"/>
        <w:spacing w:after="0" w:line="260"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 event or occurrence that would have required consent of Parent pursuant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1"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Absence of Undisclosed Liabilities</w:t>
      </w:r>
      <w:r>
        <w:rPr>
          <w:rFonts w:ascii="Times New Roman" w:cs="Times New Roman" w:eastAsia="Times New Roman" w:hAnsi="Times New Roman"/>
          <w:sz w:val="17"/>
          <w:szCs w:val="17"/>
          <w:color w:val="auto"/>
        </w:rPr>
        <w:t>. Since the date of its incorporation, the Company does not have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7"/>
          <w:szCs w:val="17"/>
          <w:b w:val="1"/>
          <w:bCs w:val="1"/>
          <w:color w:val="auto"/>
        </w:rPr>
        <w:t>Liability</w:t>
      </w:r>
      <w:r>
        <w:rPr>
          <w:rFonts w:ascii="Times New Roman" w:cs="Times New Roman" w:eastAsia="Times New Roman" w:hAnsi="Times New Roman"/>
          <w:sz w:val="17"/>
          <w:szCs w:val="17"/>
          <w:color w:val="auto"/>
        </w:rPr>
        <w:t>”), whether or not required to be reflected or reserved for on a balance sheet prepared in accordance with GAAP, except for:</w:t>
      </w:r>
    </w:p>
    <w:p>
      <w:pPr>
        <w:spacing w:after="0" w:line="2" w:lineRule="exact"/>
        <w:rPr>
          <w:sz w:val="20"/>
          <w:szCs w:val="20"/>
          <w:color w:val="auto"/>
        </w:rPr>
      </w:pPr>
    </w:p>
    <w:p>
      <w:pPr>
        <w:ind w:left="244" w:hanging="244"/>
        <w:spacing w:after="0"/>
        <w:tabs>
          <w:tab w:leader="none" w:pos="2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reflected or reserved against (or to be disclosed, reflected or reserved against) in the financial statements of the Company,</w:t>
      </w:r>
    </w:p>
    <w:p>
      <w:pPr>
        <w:spacing w:after="0" w:line="9" w:lineRule="exact"/>
        <w:rPr>
          <w:rFonts w:ascii="Times New Roman" w:cs="Times New Roman" w:eastAsia="Times New Roman" w:hAnsi="Times New Roman"/>
          <w:sz w:val="18"/>
          <w:szCs w:val="18"/>
          <w:color w:val="auto"/>
        </w:rPr>
      </w:pPr>
    </w:p>
    <w:p>
      <w:pPr>
        <w:jc w:val="both"/>
        <w:ind w:left="4" w:right="100" w:hanging="4"/>
        <w:spacing w:after="0" w:line="253"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Company Disclosure Letter.</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8"/>
          <w:szCs w:val="18"/>
          <w:b w:val="1"/>
          <w:bCs w:val="1"/>
          <w:color w:val="auto"/>
        </w:rPr>
        <w:t>Company Real Estate Leases</w:t>
      </w:r>
      <w:r>
        <w:rPr>
          <w:rFonts w:ascii="Times New Roman" w:cs="Times New Roman" w:eastAsia="Times New Roman" w:hAnsi="Times New Roman"/>
          <w:sz w:val="18"/>
          <w:szCs w:val="18"/>
          <w:color w:val="auto"/>
        </w:rPr>
        <w:t>”), each of which is in full force and effect, with no existing material default thereunder by the Company or to the Company’s Knowledge, the other party thereto.</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is an accurate, true and complete listing of all Company Registered IP.</w:t>
      </w:r>
    </w:p>
    <w:p>
      <w:pPr>
        <w:spacing w:after="0" w:line="225"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Company Disclosure Letter accurately identifies (i) all Company Contracts pursuant to which any Company IP Rights are licensed to the Company (other than Excepted Contracts) and (ii) whether the license or licenses granted to the Company are exclusive or nonexclusive.</w:t>
      </w:r>
    </w:p>
    <w:p>
      <w:pPr>
        <w:spacing w:after="0" w:line="175"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spacing w:after="0" w:line="161"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exclusively owns or licenses all right, title and interest to and in Company IP Rights (other than Excepted Contracts), in each case, free and clear of any Encumbrances (other than Permitted Encumbrances). Without limiting the generality of the foregoing:</w:t>
      </w:r>
    </w:p>
    <w:p>
      <w:pPr>
        <w:spacing w:after="0" w:line="53" w:lineRule="exact"/>
        <w:rPr>
          <w:rFonts w:ascii="Times New Roman" w:cs="Times New Roman" w:eastAsia="Times New Roman" w:hAnsi="Times New Roman"/>
          <w:sz w:val="18"/>
          <w:szCs w:val="18"/>
          <w:color w:val="auto"/>
        </w:rPr>
      </w:pPr>
    </w:p>
    <w:p>
      <w:pPr>
        <w:ind w:left="444" w:right="420" w:firstLine="419"/>
        <w:spacing w:after="0" w:line="282" w:lineRule="auto"/>
        <w:tabs>
          <w:tab w:leader="none" w:pos="10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44" w:name="page45"/>
    <w:bookmarkEnd w:id="44"/>
    <w:p>
      <w:pPr>
        <w:ind w:left="420" w:right="40" w:firstLine="419"/>
        <w:spacing w:after="0" w:line="266" w:lineRule="auto"/>
        <w:tabs>
          <w:tab w:leader="none" w:pos="11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spacing w:after="0" w:line="67" w:lineRule="exact"/>
        <w:rPr>
          <w:rFonts w:ascii="Times New Roman" w:cs="Times New Roman" w:eastAsia="Times New Roman" w:hAnsi="Times New Roman"/>
          <w:sz w:val="18"/>
          <w:szCs w:val="18"/>
          <w:color w:val="auto"/>
        </w:rPr>
      </w:pPr>
    </w:p>
    <w:p>
      <w:pPr>
        <w:ind w:left="420" w:right="20" w:firstLine="419"/>
        <w:spacing w:after="0" w:line="256" w:lineRule="auto"/>
        <w:tabs>
          <w:tab w:leader="none" w:pos="11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79" w:lineRule="exact"/>
        <w:rPr>
          <w:rFonts w:ascii="Times New Roman" w:cs="Times New Roman" w:eastAsia="Times New Roman" w:hAnsi="Times New Roman"/>
          <w:sz w:val="18"/>
          <w:szCs w:val="18"/>
          <w:color w:val="auto"/>
        </w:rPr>
      </w:pPr>
    </w:p>
    <w:p>
      <w:pPr>
        <w:ind w:left="420" w:right="100" w:firstLine="419"/>
        <w:spacing w:after="0" w:line="258" w:lineRule="auto"/>
        <w:tabs>
          <w:tab w:leader="none" w:pos="11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spacing w:after="0" w:line="75"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09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reasonable steps to maintain the confidentiality of and otherwise protect and enforce its rights in all proprietary information that the Company holds, or purports to hold, as confidential or a trade secret.</w:t>
      </w:r>
    </w:p>
    <w:p>
      <w:pPr>
        <w:spacing w:after="0" w:line="53" w:lineRule="exact"/>
        <w:rPr>
          <w:rFonts w:ascii="Times New Roman" w:cs="Times New Roman" w:eastAsia="Times New Roman" w:hAnsi="Times New Roman"/>
          <w:sz w:val="18"/>
          <w:szCs w:val="18"/>
          <w:color w:val="auto"/>
        </w:rPr>
      </w:pPr>
    </w:p>
    <w:p>
      <w:pPr>
        <w:ind w:left="420" w:right="520" w:firstLine="419"/>
        <w:spacing w:after="0" w:line="282" w:lineRule="auto"/>
        <w:tabs>
          <w:tab w:leader="none" w:pos="11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assigned or otherwise transferred ownership of, or agreed to assign or otherwise transfer ownership of, any Company IP Rights to any other Person.</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spacing w:after="0" w:line="183" w:lineRule="exact"/>
        <w:rPr>
          <w:rFonts w:ascii="Times New Roman" w:cs="Times New Roman" w:eastAsia="Times New Roman" w:hAnsi="Times New Roman"/>
          <w:sz w:val="18"/>
          <w:szCs w:val="18"/>
          <w:color w:val="auto"/>
        </w:rPr>
      </w:pPr>
    </w:p>
    <w:p>
      <w:pPr>
        <w:ind w:left="-20" w:firstLine="436"/>
        <w:spacing w:after="0" w:line="256" w:lineRule="auto"/>
        <w:tabs>
          <w:tab w:leader="none" w:pos="6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45" w:name="page46"/>
    <w:bookmarkEnd w:id="45"/>
    <w:p>
      <w:pPr>
        <w:ind w:left="-436" w:right="80" w:firstLine="436"/>
        <w:spacing w:after="0" w:line="255"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of this Agreement, the Company or its licensor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or its licensor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88"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All Company Registered IP is subsisting, and to the Knowledge of the Company, all Company Registered IP that is issued or granted is valid and enforceable.</w:t>
      </w:r>
    </w:p>
    <w:p>
      <w:pPr>
        <w:spacing w:after="0" w:line="179" w:lineRule="exact"/>
        <w:rPr>
          <w:rFonts w:ascii="Times New Roman" w:cs="Times New Roman" w:eastAsia="Times New Roman" w:hAnsi="Times New Roman"/>
          <w:sz w:val="18"/>
          <w:szCs w:val="18"/>
          <w:color w:val="auto"/>
        </w:rPr>
      </w:pPr>
    </w:p>
    <w:p>
      <w:pPr>
        <w:ind w:left="-436" w:right="220" w:firstLine="436"/>
        <w:spacing w:after="0" w:line="26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registered trademark or trade name owned, used or applied for by the Company conflicts or interferes with any registered trademark or trade name owned, used or applied for by any other Person. None of the goodwill associated with or inherent in any registered trademark in which the Company has or purports to have an ownership interest has been impaired as determined by the Company in accordance with GAAP.</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56"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Sections 3.12(b)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3.12(k)</w:t>
      </w:r>
      <w:r>
        <w:rPr>
          <w:rFonts w:ascii="Times New Roman" w:cs="Times New Roman" w:eastAsia="Times New Roman" w:hAnsi="Times New Roman"/>
          <w:sz w:val="18"/>
          <w:szCs w:val="18"/>
          <w:color w:val="auto"/>
        </w:rPr>
        <w:t xml:space="preserve"> of the Company Disclosure Letter or as contained in license, distribution or service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w:t>
      </w:r>
    </w:p>
    <w:p>
      <w:pPr>
        <w:spacing w:after="0" w:line="187"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83" w:lineRule="exact"/>
        <w:rPr>
          <w:rFonts w:ascii="Times New Roman" w:cs="Times New Roman" w:eastAsia="Times New Roman" w:hAnsi="Times New Roman"/>
          <w:sz w:val="18"/>
          <w:szCs w:val="18"/>
          <w:color w:val="auto"/>
        </w:rPr>
      </w:pPr>
    </w:p>
    <w:p>
      <w:pPr>
        <w:ind w:left="-436" w:right="120" w:firstLine="436"/>
        <w:spacing w:after="0" w:line="266"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Parent acknowledges and agrees that the representations and warranties contained in this Section 3.12 are the only representations or warranties made by Company with respect to Intellectual Property, and no other provisions of this Agreement shall be interpreted as containing any representation or warranty with respect thereto.</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300" w:firstLine="436"/>
        <w:spacing w:after="0" w:line="266"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Excepted Contracts,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lists the following Company Contracts in effect as of the date of this Agreement other than the Series A Financing Agreement and the Subscription Agreement (each, a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Material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984" w:right="260" w:hanging="4561"/>
        <w:spacing w:after="0" w:line="454" w:lineRule="auto"/>
        <w:tabs>
          <w:tab w:leader="none" w:pos="64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agreement of indemnification or guaranty not entered into in the Ordinary Course of Business; 31</w:t>
      </w:r>
    </w:p>
    <w:p>
      <w:pPr>
        <w:sectPr>
          <w:pgSz w:w="11900" w:h="16838" w:orient="portrait"/>
          <w:cols w:equalWidth="0" w:num="1">
            <w:col w:w="10564"/>
          </w:cols>
          <w:pgMar w:left="876" w:top="270" w:right="459" w:bottom="1440" w:gutter="0" w:footer="0" w:header="0"/>
        </w:sectPr>
      </w:pPr>
    </w:p>
    <w:bookmarkStart w:id="46" w:name="page47"/>
    <w:bookmarkEnd w:id="46"/>
    <w:p>
      <w:pPr>
        <w:ind w:left="4" w:right="120" w:firstLine="419"/>
        <w:spacing w:after="0" w:line="276" w:lineRule="auto"/>
        <w:tabs>
          <w:tab w:leader="none" w:pos="69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Contract containing (A) any covenant limiting the freedom of the Company or the Surviving Corporation to engage in any line of business or compete with any Person, or limiting the development, manufacture or distribution of the Company’s products or services</w:t>
      </w:r>
    </w:p>
    <w:p>
      <w:pPr>
        <w:ind w:left="284" w:hanging="284"/>
        <w:spacing w:after="0"/>
        <w:tabs>
          <w:tab w:leader="none" w:pos="2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most-favored pricing arrangement, (C) any exclusivity provision or (D) any non-solicitation provision;</w:t>
      </w:r>
    </w:p>
    <w:p>
      <w:pPr>
        <w:spacing w:after="0" w:line="98"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(A) pursuant to which any Person granted the Company an exclusive license under any Intellectual Property, or</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the Company granted any Person an exclusive license under any Company IP Rights;</w:t>
      </w:r>
    </w:p>
    <w:p>
      <w:pPr>
        <w:spacing w:after="0" w:line="98"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53"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containing any royalty, dividend or similar arrangement based on the revenues or profits of the Company, any of its Subsidiaries, or of a product;</w:t>
      </w:r>
    </w:p>
    <w:p>
      <w:pPr>
        <w:spacing w:after="0" w:line="5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the disposition or acquisition of material assets or any ownership interest in any Entity, in each case, involving payments in excess of $100,000 after the date of this Agreement;</w:t>
      </w:r>
    </w:p>
    <w:p>
      <w:pPr>
        <w:spacing w:after="0" w:line="53"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loans or debt obligations with officers or directors of the Company;</w:t>
      </w:r>
    </w:p>
    <w:p>
      <w:pPr>
        <w:spacing w:after="0" w:line="67" w:lineRule="exact"/>
        <w:rPr>
          <w:rFonts w:ascii="Times New Roman" w:cs="Times New Roman" w:eastAsia="Times New Roman" w:hAnsi="Times New Roman"/>
          <w:sz w:val="18"/>
          <w:szCs w:val="18"/>
          <w:color w:val="auto"/>
        </w:rPr>
      </w:pPr>
    </w:p>
    <w:p>
      <w:pPr>
        <w:ind w:left="4" w:firstLine="419"/>
        <w:spacing w:after="0" w:line="254" w:lineRule="auto"/>
        <w:tabs>
          <w:tab w:leader="none" w:pos="8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0"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$100,000 pursuant to its express terms;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47" w:name="page48"/>
    <w:bookmarkEnd w:id="47"/>
    <w:p>
      <w:pPr>
        <w:ind w:left="440" w:right="80" w:firstLine="419"/>
        <w:spacing w:after="0" w:line="282"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Contract to which the Company is a party or by which any of its assets and properties is currently bound, which involves annual obligations of payment by, or annual payments to, the Company in excess of $100,000;</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entered into in settlement of any Legal Proceeding or other dispute pursuant to which the Company or any of its Subsidiaries has outstanding obligations to pay consideration in excess of $100,000;</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2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Company Contract that is not terminable at will (with no penalty or payment)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or</w:t>
      </w:r>
    </w:p>
    <w:p>
      <w:pPr>
        <w:spacing w:after="0" w:line="71"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Real Estate Leases.</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88" w:lineRule="exact"/>
        <w:rPr>
          <w:rFonts w:ascii="Times New Roman" w:cs="Times New Roman" w:eastAsia="Times New Roman" w:hAnsi="Times New Roman"/>
          <w:sz w:val="18"/>
          <w:szCs w:val="18"/>
          <w:color w:val="auto"/>
        </w:rPr>
      </w:pPr>
    </w:p>
    <w:p>
      <w:pPr>
        <w:ind w:right="120" w:firstLine="436"/>
        <w:spacing w:after="0" w:line="273" w:lineRule="auto"/>
        <w:tabs>
          <w:tab w:leader="none" w:pos="6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prior to the date of this Agreement, the Company entered into the Series A Financing Agreement and certain other agreements and side letters set forth on </w:t>
      </w:r>
      <w:r>
        <w:rPr>
          <w:rFonts w:ascii="Times New Roman" w:cs="Times New Roman" w:eastAsia="Times New Roman" w:hAnsi="Times New Roman"/>
          <w:sz w:val="17"/>
          <w:szCs w:val="17"/>
          <w:u w:val="single" w:color="auto"/>
          <w:color w:val="auto"/>
        </w:rPr>
        <w:t>Section 3.13</w:t>
      </w:r>
      <w:r>
        <w:rPr>
          <w:rFonts w:ascii="Times New Roman" w:cs="Times New Roman" w:eastAsia="Times New Roman" w:hAnsi="Times New Roman"/>
          <w:sz w:val="17"/>
          <w:szCs w:val="17"/>
          <w:color w:val="auto"/>
        </w:rPr>
        <w:t xml:space="preserve"> of the Company Disclosure Letter (collectively, the “</w:t>
      </w:r>
      <w:r>
        <w:rPr>
          <w:rFonts w:ascii="Times New Roman" w:cs="Times New Roman" w:eastAsia="Times New Roman" w:hAnsi="Times New Roman"/>
          <w:sz w:val="17"/>
          <w:szCs w:val="17"/>
          <w:b w:val="1"/>
          <w:bCs w:val="1"/>
          <w:color w:val="auto"/>
        </w:rPr>
        <w:t>Series A Financing Agreements</w:t>
      </w:r>
      <w:r>
        <w:rPr>
          <w:rFonts w:ascii="Times New Roman" w:cs="Times New Roman" w:eastAsia="Times New Roman" w:hAnsi="Times New Roman"/>
          <w:sz w:val="17"/>
          <w:szCs w:val="17"/>
          <w:color w:val="auto"/>
        </w:rPr>
        <w:t>”) with certain investors in the Series A Financing (the “</w:t>
      </w:r>
      <w:r>
        <w:rPr>
          <w:rFonts w:ascii="Times New Roman" w:cs="Times New Roman" w:eastAsia="Times New Roman" w:hAnsi="Times New Roman"/>
          <w:sz w:val="17"/>
          <w:szCs w:val="17"/>
          <w:b w:val="1"/>
          <w:bCs w:val="1"/>
          <w:color w:val="auto"/>
        </w:rPr>
        <w:t>Series A Investors</w:t>
      </w:r>
      <w:r>
        <w:rPr>
          <w:rFonts w:ascii="Times New Roman" w:cs="Times New Roman" w:eastAsia="Times New Roman" w:hAnsi="Times New Roman"/>
          <w:sz w:val="17"/>
          <w:szCs w:val="17"/>
          <w:color w:val="auto"/>
        </w:rPr>
        <w:t>”), true and executed copies of which have been made available to Parent, pursuant to which, and on the terms and subject to the conditions of which, such Series A Investors have agreed to invest in a private placement of the Company Series A Preferred Stock for an aggregate amount of $138,000,000. Such Series A Financing Agreements are in full force and effect with respect to, and binding on, the Company and, to the Knowledge of the Company, on each Series A Investor party thereto, in accordance with its terms. Other than the Series A Financing Agreements, there are no other Contracts, including side letters, entered into by the Company in connection with the Series A Financing.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April 2, 2026, has been in compliance with all applicable Laws, except where the failure to so comply would not, whether individually or in the aggregate, reasonably be expected to have a Company Material Adverse Effect. No investigation, claim, suit, proceeding, audit, Order or other Legal Proceeding or action by any Governmental Authority is pending or, to the Knowledge of the Company, threatened against the Company, which if determined unfavorably to the Company would reasonably be expected to have a Company Material Adverse Effect. There is no agreement or Order binding upon the Company which (i)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8" w:name="page49"/>
    <w:bookmarkEnd w:id="48"/>
    <w:p>
      <w:pPr>
        <w:ind w:left="4" w:right="140" w:firstLine="436"/>
        <w:spacing w:after="0" w:line="25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matters regarding the U.S. Food and Drug Administration (or any successor agency thereto)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comparable Governmental Authority responsible for regulation of the development, testing, manufacturing, processing, storage, labeling, sale, marketing, advertising, distribution and importation or exportation of drug, biological or medical device products (“</w:t>
      </w:r>
      <w:r>
        <w:rPr>
          <w:rFonts w:ascii="Times New Roman" w:cs="Times New Roman" w:eastAsia="Times New Roman" w:hAnsi="Times New Roman"/>
          <w:sz w:val="18"/>
          <w:szCs w:val="18"/>
          <w:b w:val="1"/>
          <w:bCs w:val="1"/>
          <w:color w:val="auto"/>
        </w:rPr>
        <w:t>Drug/Device Regulatory Agency</w:t>
      </w:r>
      <w:r>
        <w:rPr>
          <w:rFonts w:ascii="Times New Roman" w:cs="Times New Roman" w:eastAsia="Times New Roman" w:hAnsi="Times New Roman"/>
          <w:sz w:val="18"/>
          <w:szCs w:val="18"/>
          <w:color w:val="auto"/>
        </w:rPr>
        <w:t>”), the Company holds all required Governmental Authorizations for the operation of the business of the Company as currently conducted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identifies each Company Permit. The Company is in material compliance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as of the date of this Agreement and immediately prior to the Effective Time.</w:t>
      </w:r>
    </w:p>
    <w:p>
      <w:pPr>
        <w:spacing w:after="0" w:line="192"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the Company, threatened with respect to an alleged violation by the Company of the Federal Food, Drug, and Cosmetic Act (21 U.S.C. §§ 301 et seq.) and the regulations promulgated thereunder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the Public Health Service Act and the regulations promulgated thereunder (42 U.S.C. § 262 et seq.) (“</w:t>
      </w:r>
      <w:r>
        <w:rPr>
          <w:rFonts w:ascii="Times New Roman" w:cs="Times New Roman" w:eastAsia="Times New Roman" w:hAnsi="Times New Roman"/>
          <w:sz w:val="18"/>
          <w:szCs w:val="18"/>
          <w:b w:val="1"/>
          <w:bCs w:val="1"/>
          <w:color w:val="auto"/>
        </w:rPr>
        <w:t>PHSA</w:t>
      </w:r>
      <w:r>
        <w:rPr>
          <w:rFonts w:ascii="Times New Roman" w:cs="Times New Roman" w:eastAsia="Times New Roman" w:hAnsi="Times New Roman"/>
          <w:sz w:val="18"/>
          <w:szCs w:val="18"/>
          <w:color w:val="auto"/>
        </w:rPr>
        <w:t>”), or any other similar Law promulgated by a Drug/Device Regulatory Agency.</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all required material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in each case as currently conducted, of any of its product candidates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 Candidates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Regulatory Permits</w:t>
      </w:r>
      <w:r>
        <w:rPr>
          <w:rFonts w:ascii="Times New Roman" w:cs="Times New Roman" w:eastAsia="Times New Roman" w:hAnsi="Times New Roman"/>
          <w:sz w:val="18"/>
          <w:szCs w:val="18"/>
          <w:color w:val="auto"/>
        </w:rPr>
        <w:t>”) and since April 2, 2026 (and from January 1, 2024 through April 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Company’s Knowledge) no such Company Regulatory Permit has been (i) revoked, withdrawn, suspended, cancelled or terminated or</w:t>
      </w:r>
    </w:p>
    <w:p>
      <w:pPr>
        <w:spacing w:after="0" w:line="3" w:lineRule="exact"/>
        <w:rPr>
          <w:rFonts w:ascii="Times New Roman" w:cs="Times New Roman" w:eastAsia="Times New Roman" w:hAnsi="Times New Roman"/>
          <w:sz w:val="18"/>
          <w:szCs w:val="18"/>
          <w:color w:val="auto"/>
        </w:rPr>
      </w:pPr>
    </w:p>
    <w:p>
      <w:pPr>
        <w:ind w:left="4" w:right="100" w:hanging="4"/>
        <w:spacing w:after="0" w:line="253"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in any adverse manner, other than immaterial adverse modifications. The Company has maintained and is in compliance in all material respects with the terms of such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w:t>
      </w:r>
    </w:p>
    <w:p>
      <w:pPr>
        <w:spacing w:after="0" w:line="186"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the Company, in which the Company or its current product candidates, including the Company Product Candidates, have participated (collectively “</w:t>
      </w:r>
      <w:r>
        <w:rPr>
          <w:rFonts w:ascii="Times New Roman" w:cs="Times New Roman" w:eastAsia="Times New Roman" w:hAnsi="Times New Roman"/>
          <w:sz w:val="18"/>
          <w:szCs w:val="18"/>
          <w:b w:val="1"/>
          <w:bCs w:val="1"/>
          <w:color w:val="auto"/>
        </w:rPr>
        <w:t>Company Studies</w:t>
      </w:r>
      <w:r>
        <w:rPr>
          <w:rFonts w:ascii="Times New Roman" w:cs="Times New Roman" w:eastAsia="Times New Roman" w:hAnsi="Times New Roman"/>
          <w:sz w:val="18"/>
          <w:szCs w:val="18"/>
          <w:color w:val="auto"/>
        </w:rPr>
        <w:t>”), were since April 2, 2026 (and from January 1, 2024 through April 1, 2026, to the Company’s Knowledge), and, if still pending, are being conducted in accordance in all material respects with any applicable regulations of the Drug/Device Regulatory Agencies and other applicable Laws to which such Company Studies are or were subject.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such Company Studies, other than ordinary course communications regarding the design and implementation of such Company Studies. Further, no clinical investigator, researcher or clinical staff participating in any Company Study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49" w:name="page50"/>
    <w:bookmarkEnd w:id="49"/>
    <w:p>
      <w:pPr>
        <w:ind w:right="40" w:firstLine="436"/>
        <w:spacing w:after="0" w:line="272" w:lineRule="auto"/>
        <w:tabs>
          <w:tab w:leader="none" w:pos="6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 46191 (September 10, 1991) and any amendments thereto (the “</w:t>
      </w:r>
      <w:r>
        <w:rPr>
          <w:rFonts w:ascii="Times New Roman" w:cs="Times New Roman" w:eastAsia="Times New Roman" w:hAnsi="Times New Roman"/>
          <w:sz w:val="18"/>
          <w:szCs w:val="18"/>
          <w:b w:val="1"/>
          <w:bCs w:val="1"/>
          <w:color w:val="auto"/>
        </w:rPr>
        <w:t>Application Integrity Policy</w:t>
      </w:r>
      <w:r>
        <w:rPr>
          <w:rFonts w:ascii="Times New Roman" w:cs="Times New Roman" w:eastAsia="Times New Roman" w:hAnsi="Times New Roman"/>
          <w:sz w:val="18"/>
          <w:szCs w:val="18"/>
          <w:color w:val="auto"/>
        </w:rPr>
        <w:t>”) or by any other Drug/Device Regulatory Agency under a comparable policy. Since April 2, 2026 (and from January 1, 2024 through April 1, 2026, to the Company’s Knowledge), neither the Company, nor any of its officers, directors, employees or, to the Knowledge of the Company, agents have been debarred or excluded from participation in any federal healthcare programs. Since April 2, 2026 (and from January 1, 2024 through April 1, 2026, to the Company’s Knowledge), none of the Company or, to the Knowledge of the Company, any of their respective officers, employees, agents or contract manufacturers, with respect to any Company Product Candidate has committed any acts, made any statement or failed to make any statement, in each case in respect of its business or products that would violate the Application Integrity Policy or a comparable policy of any other Drug/Device Regulatory Agency. Since April 2, 2026 (and from January 1, 2024 through April 1, 2026, to the Company’s Knowledge), none of the Company, and to the Knowledge of the Company, any of their respective officers, employees, agents, or contract manufacturer with respect to any Company Product Candidate is currently or has been debarred, convicted of any crime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nor to the Knowledge of the Company, any of their respective officers, employees or agents, or contract manufacturers with respect to any Company Product Candidate.</w:t>
      </w:r>
    </w:p>
    <w:p>
      <w:pPr>
        <w:spacing w:after="0" w:line="191" w:lineRule="exact"/>
        <w:rPr>
          <w:rFonts w:ascii="Times New Roman" w:cs="Times New Roman" w:eastAsia="Times New Roman" w:hAnsi="Times New Roman"/>
          <w:sz w:val="17"/>
          <w:szCs w:val="17"/>
          <w:color w:val="auto"/>
        </w:rPr>
      </w:pPr>
    </w:p>
    <w:p>
      <w:pPr>
        <w:ind w:right="26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the Company, for the benefit of the Company in connection with any Company Product Candidate since April 2, 2026 (and from January 1, 2024 through April 1, 2026, to the Company’s Knowledge) have been and are being conducted in compliance in all material respects with applicable Laws, including, to the extent applicable, the FDCA, PHSA and the respective counterparts thereof promulgated by Governmental Authorities in countries outside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manufacturing site of a contract manufacturer or laboratory, in each case with respect such parties’ or site’s activities conducted with respect to any Company Product Candidate, (i) is subject to a Drug/Device Regulatory Agency shutdown or import or export prohibition or (ii) has since April 2, 2026 (and from January 1, 2024 through April 1, 2026, to the Company’s Knowledge) received any Form FDA 483, notice of violation, warning letter, untitled letter or similar correspondence or notice from the FDA or other Drug/Device Regulatory Agency alleging or asserting material noncompliance with any applicable Law, and in each case, that have not been complied with or closed to the satisfaction of the relevant Drug/Device Regulatory Agency, and, to the Knowledge of the Company, neither the FDA nor any other Drug/Device Regulatory Agency has threatened such action.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1"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50" w:name="page51"/>
    <w:bookmarkEnd w:id="50"/>
    <w:p>
      <w:pPr>
        <w:jc w:val="both"/>
        <w:ind w:right="140" w:firstLine="436"/>
        <w:spacing w:after="0" w:line="261"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8"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or any of its Subsidiaries does not file Tax Returns that the Company or any of its Subsidiaries is subject to taxation by that jurisdiction.</w:t>
      </w:r>
    </w:p>
    <w:p>
      <w:pPr>
        <w:spacing w:after="0" w:line="183"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the Company and each of its Subsidiaries (whether or not shown on any Tax Return) have been timely paid (taking into account any applicable extensions).</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Encumbrances for a material amount of Taxes (other than Encumbrances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“Permitted Encumbrances”) upon any of the assets of the Company or any of its Subsidiaries.</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the Company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or any of its Subsidiaries. Neither the Company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87" w:lineRule="exact"/>
        <w:rPr>
          <w:rFonts w:ascii="Times New Roman" w:cs="Times New Roman" w:eastAsia="Times New Roman" w:hAnsi="Times New Roman"/>
          <w:sz w:val="18"/>
          <w:szCs w:val="18"/>
          <w:color w:val="auto"/>
        </w:rPr>
      </w:pPr>
    </w:p>
    <w:p>
      <w:pPr>
        <w:ind w:right="240" w:firstLine="436"/>
        <w:spacing w:after="0" w:line="282"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in the last five years.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cs="Times New Roman" w:eastAsia="Times New Roman" w:hAnsi="Times New Roman"/>
          <w:sz w:val="18"/>
          <w:szCs w:val="18"/>
          <w:b w:val="1"/>
          <w:bCs w:val="1"/>
          <w:color w:val="auto"/>
        </w:rPr>
        <w:t>Ordinary Course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filing a consolidated U.S. federal income Tax Return (other than a group the common parent of which is the Company). Neither the Company nor any of its Subsidiaries has any material Liability for the Taxes of any Person (other than the Company or its Subsidiaries) under Treasury Regulations Section 1.1502-6 (or any similar provision of state, local, or foreign law), as a transferee or successor, or by Contract (other than an Ordinary Course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1" w:name="page52"/>
    <w:bookmarkEnd w:id="51"/>
    <w:p>
      <w:pPr>
        <w:ind w:left="-20" w:right="60" w:firstLine="436"/>
        <w:spacing w:after="0" w:line="282"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61"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identified as a “listed transaction” for purposes of Treasury Regulations Sections 1.6011-4(b)(2) or 301.6111-2(b)(2).</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aware of any facts or circumstances or has taken or agreed to take any action, in each case, that would reasonably be expected to prevent or impede the Merger from qualifying for the Intended Tax Treatment.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40" w:firstLine="436"/>
        <w:spacing w:after="0" w:line="25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 list (on an anonymized basis) setting forth, for each Company Associate who is an employee of the Company or any of its Subsidiaries, whether full- or part-time, such employee’s annual salary (or if hourly, hourly rate), most recent annual bonus received, and current annual bonus opportunity. No Company Key Employee has indicated to the Company, or any of its Subsidiaries,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w:t>
      </w:r>
    </w:p>
    <w:p>
      <w:pPr>
        <w:spacing w:after="0" w:line="187"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the Company’s and each of its Subsidiaries’ employees is terminable by the Company and/or its applicable Subsidiary at will. The Company has made available to Parent accurate and complete copies of all employee manuals and handbooks, to the extent currently effective and material.</w:t>
      </w:r>
    </w:p>
    <w:p>
      <w:pPr>
        <w:spacing w:after="0" w:line="175" w:lineRule="exact"/>
        <w:rPr>
          <w:rFonts w:ascii="Times New Roman" w:cs="Times New Roman" w:eastAsia="Times New Roman" w:hAnsi="Times New Roman"/>
          <w:sz w:val="18"/>
          <w:szCs w:val="18"/>
          <w:color w:val="auto"/>
        </w:rPr>
      </w:pPr>
    </w:p>
    <w:p>
      <w:pPr>
        <w:jc w:val="both"/>
        <w:ind w:left="-20" w:right="8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spacing w:after="0" w:line="175" w:lineRule="exact"/>
        <w:rPr>
          <w:rFonts w:ascii="Times New Roman" w:cs="Times New Roman" w:eastAsia="Times New Roman" w:hAnsi="Times New Roman"/>
          <w:sz w:val="18"/>
          <w:szCs w:val="18"/>
          <w:color w:val="auto"/>
        </w:rPr>
      </w:pPr>
    </w:p>
    <w:p>
      <w:pPr>
        <w:jc w:val="both"/>
        <w:ind w:left="-20" w:firstLine="436"/>
        <w:spacing w:after="0" w:line="266"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3.17(d)</w:t>
      </w:r>
      <w:r>
        <w:rPr>
          <w:rFonts w:ascii="Times New Roman" w:cs="Times New Roman" w:eastAsia="Times New Roman" w:hAnsi="Times New Roman"/>
          <w:sz w:val="18"/>
          <w:szCs w:val="18"/>
          <w:color w:val="auto"/>
        </w:rPr>
        <w:t xml:space="preserve"> of the Company Disclosure Letter lists all material Company Employee Plans (other than employment arrangements which are terminable “at will” without any contractual obligation on the part of the Company or any of its Subsidiaries to make any severance, termination, change in control, retention or similar payment and that are substantively identical to the employment arrangements made available to Parent).</w:t>
      </w:r>
    </w:p>
    <w:p>
      <w:pPr>
        <w:spacing w:after="0" w:line="175" w:lineRule="exact"/>
        <w:rPr>
          <w:rFonts w:ascii="Times New Roman" w:cs="Times New Roman" w:eastAsia="Times New Roman" w:hAnsi="Times New Roman"/>
          <w:sz w:val="18"/>
          <w:szCs w:val="18"/>
          <w:color w:val="auto"/>
        </w:rPr>
      </w:pPr>
    </w:p>
    <w:p>
      <w:pPr>
        <w:jc w:val="both"/>
        <w:ind w:left="-20" w:right="38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60" w:top="270" w:right="459" w:bottom="1440" w:gutter="0" w:footer="0" w:header="0"/>
        </w:sectPr>
      </w:pPr>
    </w:p>
    <w:bookmarkStart w:id="52" w:name="page53"/>
    <w:bookmarkEnd w:id="52"/>
    <w:p>
      <w:pPr>
        <w:ind w:left="4" w:right="20" w:firstLine="436"/>
        <w:spacing w:after="0" w:line="258"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w:t>
      </w:r>
    </w:p>
    <w:p>
      <w:pPr>
        <w:spacing w:after="0" w:line="183"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and neither the Company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constitutes in any part a “nonqualified deferred compensation plan” (as such term is defined under</w:t>
      </w:r>
    </w:p>
    <w:p>
      <w:pPr>
        <w:spacing w:after="0" w:line="27" w:lineRule="exact"/>
        <w:rPr>
          <w:sz w:val="20"/>
          <w:szCs w:val="20"/>
          <w:color w:val="auto"/>
        </w:rPr>
      </w:pPr>
    </w:p>
    <w:p>
      <w:pPr>
        <w:ind w:left="4" w:right="260"/>
        <w:spacing w:after="0" w:line="253" w:lineRule="auto"/>
        <w:rPr>
          <w:sz w:val="20"/>
          <w:szCs w:val="20"/>
          <w:color w:val="auto"/>
        </w:rPr>
      </w:pPr>
      <w:r>
        <w:rPr>
          <w:rFonts w:ascii="Times New Roman" w:cs="Times New Roman" w:eastAsia="Times New Roman" w:hAnsi="Times New Roman"/>
          <w:sz w:val="18"/>
          <w:szCs w:val="18"/>
          <w:color w:val="auto"/>
        </w:rPr>
        <w:t>Section 409A(d)(1) of the Code and the guidance thereunder) (each, a “</w:t>
      </w:r>
      <w:r>
        <w:rPr>
          <w:rFonts w:ascii="Times New Roman" w:cs="Times New Roman" w:eastAsia="Times New Roman" w:hAnsi="Times New Roman"/>
          <w:sz w:val="18"/>
          <w:szCs w:val="18"/>
          <w:b w:val="1"/>
          <w:bCs w:val="1"/>
          <w:color w:val="auto"/>
        </w:rPr>
        <w:t>Company 409A Plan</w:t>
      </w:r>
      <w:r>
        <w:rPr>
          <w:rFonts w:ascii="Times New Roman" w:cs="Times New Roman" w:eastAsia="Times New Roman" w:hAnsi="Times New Roman"/>
          <w:sz w:val="18"/>
          <w:szCs w:val="18"/>
          <w:color w:val="auto"/>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w:t>
      </w:r>
    </w:p>
    <w:p>
      <w:pPr>
        <w:spacing w:after="0" w:line="189" w:lineRule="exact"/>
        <w:rPr>
          <w:sz w:val="20"/>
          <w:szCs w:val="20"/>
          <w:color w:val="auto"/>
        </w:rPr>
      </w:pPr>
    </w:p>
    <w:p>
      <w:pPr>
        <w:ind w:left="4" w:right="60" w:firstLine="436"/>
        <w:spacing w:after="0" w:line="253"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labor practices or disputes, restrictive covenants, employment agreements, workers’ compensation and long-term disability policies, leaves of absence and worker privacy (collectively, “</w:t>
      </w:r>
      <w:r>
        <w:rPr>
          <w:rFonts w:ascii="Times New Roman" w:cs="Times New Roman" w:eastAsia="Times New Roman" w:hAnsi="Times New Roman"/>
          <w:sz w:val="18"/>
          <w:szCs w:val="18"/>
          <w:b w:val="1"/>
          <w:bCs w:val="1"/>
          <w:color w:val="auto"/>
        </w:rPr>
        <w:t>Employment-Related Laws</w:t>
      </w:r>
      <w:r>
        <w:rPr>
          <w:rFonts w:ascii="Times New Roman" w:cs="Times New Roman" w:eastAsia="Times New Roman" w:hAnsi="Times New Roman"/>
          <w:sz w:val="18"/>
          <w:szCs w:val="18"/>
          <w:color w:val="auto"/>
        </w:rPr>
        <w:t>”), and in each case, with respect to employees of the Company and any of its Subsidiaries: (i) has withheld and reported all material amounts required by law or by agreement to be withheld and reported with respect to wages, salaries and other payments to employees,</w:t>
      </w:r>
    </w:p>
    <w:p>
      <w:pPr>
        <w:ind w:left="4" w:hanging="4"/>
        <w:spacing w:after="0" w:line="251"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of its Subsidiaries or any trustee of the Company or any of its Subsidiaries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any trustee or any trustee of any Subsidiary of the Company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53" w:name="page54"/>
    <w:bookmarkEnd w:id="53"/>
    <w:p>
      <w:pPr>
        <w:ind w:right="40" w:firstLine="436"/>
        <w:spacing w:after="0" w:line="25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issued any notification of a plant closing or mass layoff required by the WARN Act (nor has the Company or any of its Subsidiaries been under any requirement or obligation to issue any such notification), or incurred any liability or obligation under the WARN Act that remains unsatisfied.</w:t>
      </w:r>
    </w:p>
    <w:p>
      <w:pPr>
        <w:spacing w:after="0" w:line="187" w:lineRule="exact"/>
        <w:rPr>
          <w:rFonts w:ascii="Times New Roman" w:cs="Times New Roman" w:eastAsia="Times New Roman" w:hAnsi="Times New Roman"/>
          <w:sz w:val="18"/>
          <w:szCs w:val="18"/>
          <w:color w:val="auto"/>
        </w:rPr>
      </w:pPr>
    </w:p>
    <w:p>
      <w:pPr>
        <w:ind w:right="160" w:firstLine="436"/>
        <w:spacing w:after="0" w:line="258" w:lineRule="auto"/>
        <w:tabs>
          <w:tab w:leader="none" w:pos="7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nor has the Company nor any of its Subsidiaries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or any of its Subsidiaries including charges of unfair labor practices or discrimination complaints.</w:t>
      </w:r>
    </w:p>
    <w:p>
      <w:pPr>
        <w:spacing w:after="0" w:line="187" w:lineRule="exact"/>
        <w:rPr>
          <w:rFonts w:ascii="Times New Roman" w:cs="Times New Roman" w:eastAsia="Times New Roman" w:hAnsi="Times New Roman"/>
          <w:sz w:val="18"/>
          <w:szCs w:val="18"/>
          <w:color w:val="auto"/>
        </w:rPr>
      </w:pPr>
    </w:p>
    <w:p>
      <w:pPr>
        <w:ind w:right="380" w:firstLine="436"/>
        <w:spacing w:after="0" w:line="26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the Company or any of its Subsidiaries is a party or by which it is bound to compensate any of its employees or other service providers for any income or excise taxes paid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or any of its Subsidiaries.</w:t>
      </w:r>
    </w:p>
    <w:p>
      <w:pPr>
        <w:spacing w:after="0" w:line="180"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3.18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Since the date of its incorporation,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Since the date of its incorporation,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4" w:name="page55"/>
    <w:bookmarkEnd w:id="54"/>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53"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April 2, 2026, each of Company and its Subsidiaries have complied with: (i) applicable Privacy Laws; (ii) Company’s and its Subsidiaries’ published and posted policies relating to Company and its Subsidiaries’ processing of Personal Information, as applicable to each of Company and any of its Subsidiaries; and (iii) applicable terms of any Company Contracts relating to privacy, security, collection or use of Personal Information (collectively, </w:t>
      </w:r>
      <w:r>
        <w:rPr>
          <w:rFonts w:ascii="Times New Roman" w:cs="Times New Roman" w:eastAsia="Times New Roman" w:hAnsi="Times New Roman"/>
          <w:sz w:val="18"/>
          <w:szCs w:val="18"/>
          <w:u w:val="single" w:color="auto"/>
          <w:color w:val="auto"/>
        </w:rPr>
        <w:t>(i) –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 Data Protection Requirements</w:t>
      </w:r>
      <w:r>
        <w:rPr>
          <w:rFonts w:ascii="Times New Roman" w:cs="Times New Roman" w:eastAsia="Times New Roman" w:hAnsi="Times New Roman"/>
          <w:sz w:val="18"/>
          <w:szCs w:val="18"/>
          <w:color w:val="auto"/>
        </w:rPr>
        <w:t>”), except for such noncompliance as has not had, and would not reasonably be expected to have, individually or in the aggregate, a Company Material Adverse Effect. To the Knowledge of Company, since April 2, 2026, no claims have been asserted or threatened in writing against Company or any Subsidiary by any Person alleging a material violation of the Company Data Protection Requirements. To the Knowledge of Company, since April 2, 2026 (and from January 1, 2024 through April 1, 2026, to the Company’s Knowledge), there have been no personal data breaches compromising Personal Information in the custody or control of Company or its Subsidiaries or any service provider acting on behalf of Company or its Subsidiaries, except as has not had, and would not reasonably be expected to have, individually or in the aggregate, a Company Material Adverse Effect.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55" w:name="page56"/>
    <w:bookmarkEnd w:id="55"/>
    <w:p>
      <w:pPr>
        <w:ind w:right="60" w:firstLine="436"/>
        <w:spacing w:after="0" w:line="255"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technology assets and equipment of Company and its Subsidiaries (collectively, “</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Company and its Subsidiaries as currently conducted, and to the Knowledge of Company, free and clear of all material bugs, errors, defects, Trojan horses, time bombs, malware and other corruptants. Company and its Subsidiaries have implemented and maintain commercially reasonable physical, technical and administrative safeguards to protect Personal Information processed by the Company and its Subsidiaries, any other material confidential information and the integrity and security of Company IT Systems used in connection with their businesses, and since April 2, 2026, there have been no breaches, violations, outages or unauthorized uses of or accesses to same, except for those that have been remedied without material cost or Liability or the duty to notify any other Person.</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the Company’s incorporation, neither the Company nor any of its Subsidiaries nor, to the Knowledge of the Company,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Since the Company’s incorporation, the Company and its Subsidiaries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cs="Times New Roman" w:eastAsia="Times New Roman" w:hAnsi="Times New Roman"/>
          <w:sz w:val="18"/>
          <w:szCs w:val="18"/>
          <w:b w:val="1"/>
          <w:bCs w:val="1"/>
          <w:color w:val="auto"/>
        </w:rPr>
        <w:t>Trade Laws</w:t>
      </w:r>
      <w:r>
        <w:rPr>
          <w:rFonts w:ascii="Times New Roman" w:cs="Times New Roman" w:eastAsia="Times New Roman" w:hAnsi="Times New Roman"/>
          <w:sz w:val="18"/>
          <w:szCs w:val="18"/>
          <w:color w:val="auto"/>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cs="Times New Roman" w:eastAsia="Times New Roman" w:hAnsi="Times New Roman"/>
          <w:sz w:val="18"/>
          <w:szCs w:val="18"/>
          <w:b w:val="1"/>
          <w:bCs w:val="1"/>
          <w:color w:val="auto"/>
        </w:rPr>
        <w:t>Trade Approvals</w:t>
      </w:r>
      <w:r>
        <w:rPr>
          <w:rFonts w:ascii="Times New Roman" w:cs="Times New Roman" w:eastAsia="Times New Roman" w:hAnsi="Times New Roman"/>
          <w:sz w:val="18"/>
          <w:szCs w:val="18"/>
          <w:color w:val="auto"/>
        </w:rPr>
        <w:t>”). There are no pending or threatened claims against the Company or its Subsidiaries, nor any actions, conditions, facts, or circumstances that would reasonably be expected to give rise to any material future claims with respect to the Trade Laws or Trade Approvals.</w:t>
      </w:r>
    </w:p>
    <w:p>
      <w:pPr>
        <w:spacing w:after="0" w:line="18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Ownership of Parent Capital Stock</w:t>
      </w:r>
      <w:r>
        <w:rPr>
          <w:rFonts w:ascii="Times New Roman" w:cs="Times New Roman" w:eastAsia="Times New Roman" w:hAnsi="Times New Roman"/>
          <w:sz w:val="18"/>
          <w:szCs w:val="18"/>
          <w:color w:val="auto"/>
        </w:rPr>
        <w:t>.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56"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true, correct and complete copies of all definitive agreements related to the Company Pre-Closing Financing, including the Subscription Agreement, pursuant to which the purchasers party thereto have agreed, subject to the terms and conditions set forth therein, to purchase the shares of Company Capital Stock set forth therein in connection with the Contemplated Transactions. The Subscription Agreement has not been amended or modified prior to the date of this Agreement and, as of the date hereof, no such amendment or modification is contemplated, and the respective obligations and commitments contained in the Subscription Agreement have not been withdrawn or rescinded in any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56" w:name="page57"/>
    <w:bookmarkEnd w:id="56"/>
    <w:p>
      <w:pPr>
        <w:ind w:right="60" w:firstLine="436"/>
        <w:spacing w:after="0" w:line="25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hereof, the Subscription Agreement is in full force and effect and is the legal, valid, binding and enforceable obligation of the Company and, to the Knowledge of the Company, each other party thereto. There are no conditions precedent or other contingencies related to the funding of the full amount of the Company Pre-Closing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other party under the Subscription Agreement, and the Company has no reason to believe that any of the conditions to the Company Pre-Closing Financing will not be satisfied.</w:t>
      </w:r>
    </w:p>
    <w:p>
      <w:pPr>
        <w:spacing w:after="0" w:line="187" w:lineRule="exact"/>
        <w:rPr>
          <w:rFonts w:ascii="Times New Roman" w:cs="Times New Roman" w:eastAsia="Times New Roman" w:hAnsi="Times New Roman"/>
          <w:sz w:val="18"/>
          <w:szCs w:val="18"/>
          <w:color w:val="auto"/>
        </w:rPr>
      </w:pPr>
    </w:p>
    <w:p>
      <w:pPr>
        <w:ind w:right="160" w:firstLine="436"/>
        <w:spacing w:after="0" w:line="25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Pre-Closing Financing has been structured and is being conducted in compliance with applicable exemptions from registration under the Securities Act, including Rule 506(b) or Rule 506(c) of Regulation D promulgated thereunder, and no “general solicitation” (within the meaning of Rule 502(c) of Regulation D) has occurred in connection with the Company Pre-Closing Financing. The structure of the Company Pre-Closing Financing does not create any integration risk (within the meaning of SEC Release No. 33-4552 or any successor guidance) with the issuance of shares of Parent Common Stock registered on the Registration Statement that would reasonably be expected to impair, delay or prevent the Registration Statement from becoming effective.</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each case as qualified and limited by the Parent Disclosure Letter)) none of the Company, or any of its Representatives or stockholders, has relied on any such information (including the accuracy or completeness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p>
      <w:pPr>
        <w:spacing w:after="0" w:line="2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(i) as set forth in the written disclosure document delivered by Parent to the Company (the “</w:t>
      </w:r>
      <w:r>
        <w:rPr>
          <w:rFonts w:ascii="Times New Roman" w:cs="Times New Roman" w:eastAsia="Times New Roman" w:hAnsi="Times New Roman"/>
          <w:sz w:val="18"/>
          <w:szCs w:val="18"/>
          <w:b w:val="1"/>
          <w:bCs w:val="1"/>
          <w:color w:val="auto"/>
        </w:rPr>
        <w:t>Parent Disclosure Letter</w:t>
      </w:r>
      <w:r>
        <w:rPr>
          <w:rFonts w:ascii="Times New Roman" w:cs="Times New Roman" w:eastAsia="Times New Roman" w:hAnsi="Times New Roman"/>
          <w:sz w:val="18"/>
          <w:szCs w:val="18"/>
          <w:color w:val="auto"/>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and Merger Sub represent and warrant to the Company as follows: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7" w:name="page58"/>
    <w:bookmarkEnd w:id="5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36"/>
        <w:spacing w:after="0" w:line="258"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is a corporation duly incorporated or formed, as applicable, validly existing and in good standing under the Laws of the jurisdiction of its incorporation or formation, as applicable,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w:t>
      </w:r>
    </w:p>
    <w:p>
      <w:pPr>
        <w:spacing w:after="0" w:line="183" w:lineRule="exact"/>
        <w:rPr>
          <w:rFonts w:ascii="Times New Roman" w:cs="Times New Roman" w:eastAsia="Times New Roman" w:hAnsi="Times New Roman"/>
          <w:sz w:val="18"/>
          <w:szCs w:val="18"/>
          <w:color w:val="auto"/>
        </w:rPr>
      </w:pPr>
    </w:p>
    <w:p>
      <w:pPr>
        <w:ind w:left="4" w:right="500" w:firstLine="436"/>
        <w:spacing w:after="0" w:line="261"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w:t>
      </w:r>
    </w:p>
    <w:p>
      <w:pPr>
        <w:spacing w:after="0" w:line="179"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has no Subsidiaries other than Merger Sub and except as set forth on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Parent Disclosure Letter, Parent does not own any capital stock of, or any equity ownership or profit sharing interest of any nature in, or control directly or indirectly, any other Entity other than Merger Sub. Except as set forth on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Parent has delivered to the Company accurate and complete copies of Parent’s Organizational Documents.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Parent is not in breach or violation of its Organizational Documents in any material respect.</w:t>
      </w:r>
    </w:p>
    <w:p>
      <w:pPr>
        <w:spacing w:after="0" w:line="20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Each of Parent and Merger Sub has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the Parent to (i) approve the Parent Charter Amendment, (ii) effect the Nasdaq Reverse Split, and (iii) make such other changes as are mutually agreeable to Parent and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w:t>
      </w:r>
    </w:p>
    <w:p>
      <w:pPr>
        <w:spacing w:after="0" w:line="5" w:lineRule="exact"/>
        <w:rPr>
          <w:sz w:val="20"/>
          <w:szCs w:val="20"/>
          <w:color w:val="auto"/>
        </w:rPr>
      </w:pPr>
    </w:p>
    <w:p>
      <w:pPr>
        <w:ind w:left="4" w:right="40" w:hanging="4"/>
        <w:spacing w:after="0" w:line="253"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and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constitutes the legal, valid and binding obligation of Parent and Merger Sub, enforceable against each of Parent and Merger Sub in accordance with its terms, subject to the Enforceability Exceptions.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70" w:right="439" w:bottom="1440" w:gutter="0" w:footer="0" w:header="0"/>
        </w:sectPr>
      </w:pPr>
    </w:p>
    <w:bookmarkStart w:id="58" w:name="page59"/>
    <w:bookmarkEnd w:id="58"/>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xml:space="preserve">. (i) The affirmative vote of a majority of the shares of Parent Common Stock properly cast is the only vote of the holders of any class or series of Parent’s capital stock necessary to approve (a)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(b)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Reverse Split</w:t>
      </w:r>
      <w:r>
        <w:rPr>
          <w:rFonts w:ascii="Times New Roman" w:cs="Times New Roman" w:eastAsia="Times New Roman" w:hAnsi="Times New Roman"/>
          <w:sz w:val="18"/>
          <w:szCs w:val="18"/>
          <w:color w:val="auto"/>
        </w:rPr>
        <w:t xml:space="preserve">) of the definition of “Parent Charter Amendment” and (ii) the affirmative vote of a majority of the shares of Parent Common Stock outstanding and entitled to vote thereon is the only vote of the holders of any class or series of Parent’s capital stock necessary to approve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in Authorized Shares</w:t>
      </w:r>
      <w:r>
        <w:rPr>
          <w:rFonts w:ascii="Times New Roman" w:cs="Times New Roman" w:eastAsia="Times New Roman" w:hAnsi="Times New Roman"/>
          <w:sz w:val="18"/>
          <w:szCs w:val="18"/>
          <w:color w:val="auto"/>
        </w:rPr>
        <w:t>) of the definition of “Parent Charter Amendment” (collectively,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 Stockholder Vote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obtaining the Required Parent Stockholder Vote and the filing of the Certificate of Merger required by the DGCL, and 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neither (x) the execution, delivery or performance of this Agreement by Parent or Merger Sub,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Parent or its Subsidiaries;</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Parent or its Subsidiaries (except for Permitted Encumbrances).</w:t>
      </w:r>
    </w:p>
    <w:p>
      <w:pPr>
        <w:spacing w:after="0" w:line="16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any Consent set forth on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of the Parent Disclosure Letter under any Parent Contract, (ii) the Required Parent Stockholder Vote, (iii) the filing of the Certificate of Merger with the Secretary of State of the State of Delaware pursuant to the DGCL, (iv) such consents, waivers, approvals, orders, authorizations, registrations, declarations and filings as may be required under applicable federal and state securities laws, and (v) the filing of the pre-merger notification report under the HSR Act, and 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9" w:name="page60"/>
    <w:bookmarkEnd w:id="59"/>
    <w:p>
      <w:pPr>
        <w:jc w:val="both"/>
        <w:ind w:left="4" w:right="80" w:firstLine="436"/>
        <w:spacing w:after="0" w:line="261" w:lineRule="auto"/>
        <w:tabs>
          <w:tab w:leader="none" w:pos="6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61" w:lineRule="auto"/>
        <w:tabs>
          <w:tab w:leader="none" w:pos="6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(i) 700,000,000 shares of Parent Common Stock of which 22,474,777 shares have been issued and are outstanding as of June 15, 2026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and (ii) 70,000,000 shares of Parent Preferred Stock, par value $0.0001 per share, of which none have been designated and none are issued and outstanding as of the Capitalization Date. Parent does not hold any shares of its capital stock in its treasury.</w:t>
      </w:r>
    </w:p>
    <w:p>
      <w:pPr>
        <w:spacing w:after="0" w:line="17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spacing w:after="0" w:line="194" w:lineRule="exact"/>
        <w:rPr>
          <w:rFonts w:ascii="Times New Roman" w:cs="Times New Roman" w:eastAsia="Times New Roman" w:hAnsi="Times New Roman"/>
          <w:sz w:val="18"/>
          <w:szCs w:val="18"/>
          <w:color w:val="auto"/>
        </w:rPr>
      </w:pPr>
    </w:p>
    <w:p>
      <w:pPr>
        <w:ind w:left="4" w:firstLine="436"/>
        <w:spacing w:after="0" w:line="267" w:lineRule="auto"/>
        <w:tabs>
          <w:tab w:leader="none" w:pos="689"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Parent’s 2024 Incentive Award Plan, Parent’s 2018 Equity Incentive Plan and the Parent ESPP (each as amended from time to time, collectively, the “</w:t>
      </w:r>
      <w:r>
        <w:rPr>
          <w:rFonts w:ascii="Times New Roman" w:cs="Times New Roman" w:eastAsia="Times New Roman" w:hAnsi="Times New Roman"/>
          <w:sz w:val="17"/>
          <w:szCs w:val="17"/>
          <w:b w:val="1"/>
          <w:bCs w:val="1"/>
          <w:color w:val="auto"/>
        </w:rPr>
        <w:t>Parent Stock Plans</w:t>
      </w:r>
      <w:r>
        <w:rPr>
          <w:rFonts w:ascii="Times New Roman" w:cs="Times New Roman" w:eastAsia="Times New Roman" w:hAnsi="Times New Roman"/>
          <w:sz w:val="17"/>
          <w:szCs w:val="17"/>
          <w:color w:val="auto"/>
        </w:rPr>
        <w:t xml:space="preserve">”), and except as set forth on </w:t>
      </w:r>
      <w:r>
        <w:rPr>
          <w:rFonts w:ascii="Times New Roman" w:cs="Times New Roman" w:eastAsia="Times New Roman" w:hAnsi="Times New Roman"/>
          <w:sz w:val="17"/>
          <w:szCs w:val="17"/>
          <w:u w:val="single" w:color="auto"/>
          <w:color w:val="auto"/>
        </w:rPr>
        <w:t>Section 4.6(c)</w:t>
      </w:r>
      <w:r>
        <w:rPr>
          <w:rFonts w:ascii="Times New Roman" w:cs="Times New Roman" w:eastAsia="Times New Roman" w:hAnsi="Times New Roman"/>
          <w:sz w:val="17"/>
          <w:szCs w:val="17"/>
          <w:color w:val="auto"/>
        </w:rPr>
        <w:t xml:space="preserve"> of the Parent Disclosure Letter, Parent does not have any stock option plan or any other plan, program, agreement or arrangement providing for any equity-based compensation for any Person. As of the Capitalization Date, Parent has reserved 8,134,149 shares of Parent Common Stock for issuance to officers, directors, employees and consultants of Parent pursuant to the Parent Stock Plans. As of the Capitalization Date, except for the outstanding Parent Options, there are no other equity awards in issuance and 3,199,292 shares of Parent Common Stock remain available for future issuance pursuant to the Parent Stock Plans. Section 4.6(c) of the Parent Disclosure Letter sets forth the following information with respect to each Parent Option outstanding as of the Capitalization Date, as applicable: (i) the name of the holder, (ii) the number of shares of Parent Common Stock subject to such Parent Option as of the Capitalization Date, (iii) the exercise price of such Parent Option, (iv) the date on which such Parent Option was granted, (v) the applicable vesting schedule, including any acceleration provisions,</w:t>
      </w:r>
    </w:p>
    <w:p>
      <w:pPr>
        <w:spacing w:after="0" w:line="5" w:lineRule="exact"/>
        <w:rPr>
          <w:rFonts w:ascii="Times New Roman" w:cs="Times New Roman" w:eastAsia="Times New Roman" w:hAnsi="Times New Roman"/>
          <w:sz w:val="17"/>
          <w:szCs w:val="17"/>
          <w:color w:val="auto"/>
        </w:rPr>
      </w:pPr>
    </w:p>
    <w:p>
      <w:pPr>
        <w:ind w:left="4" w:right="100" w:hanging="4"/>
        <w:spacing w:after="0" w:line="260"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Parent Option is intended to be an “incentive stock option” (as defined in the Code) or a nonqualified stock option, and (vii) the plan pursuant to which such Parent Option was granted.</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4"/>
          </w:cols>
          <w:pgMar w:left="436" w:top="270" w:right="519" w:bottom="1440" w:gutter="0" w:footer="0" w:header="0"/>
        </w:sectPr>
      </w:pPr>
    </w:p>
    <w:bookmarkStart w:id="60" w:name="page61"/>
    <w:bookmarkEnd w:id="60"/>
    <w:p>
      <w:pPr>
        <w:ind w:left="4" w:right="180" w:firstLine="436"/>
        <w:spacing w:after="0" w:line="276" w:lineRule="auto"/>
        <w:tabs>
          <w:tab w:leader="none" w:pos="69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for the outstanding Parent Options, or as set forth on </w:t>
      </w:r>
      <w:r>
        <w:rPr>
          <w:rFonts w:ascii="Times New Roman" w:cs="Times New Roman" w:eastAsia="Times New Roman" w:hAnsi="Times New Roman"/>
          <w:sz w:val="17"/>
          <w:szCs w:val="17"/>
          <w:u w:val="single" w:color="auto"/>
          <w:color w:val="auto"/>
        </w:rPr>
        <w:t>Section 4.6(d)</w:t>
      </w:r>
      <w:r>
        <w:rPr>
          <w:rFonts w:ascii="Times New Roman" w:cs="Times New Roman" w:eastAsia="Times New Roman" w:hAnsi="Times New Roman"/>
          <w:sz w:val="17"/>
          <w:szCs w:val="17"/>
          <w:color w:val="auto"/>
        </w:rPr>
        <w:t xml:space="preserve"> of the Parent Disclosure Letter, there is no: (i) outstanding subscription, option, call, warrant or right (whether or not currently exercisable) to acquire any shares of the capital stock or other securities of Parent,</w:t>
      </w:r>
    </w:p>
    <w:p>
      <w:pPr>
        <w:ind w:left="4" w:right="140" w:hanging="4"/>
        <w:spacing w:after="0" w:line="252" w:lineRule="auto"/>
        <w:tabs>
          <w:tab w:leader="none" w:pos="2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or obligation that is or may become convertible into or exchangeable for any shares of the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There are no outstanding or authorized stock appreciation, phantom stock, profit participation or other similar rights with respect to Parent.</w:t>
      </w:r>
    </w:p>
    <w:p>
      <w:pPr>
        <w:spacing w:after="0" w:line="189"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Parent Common Stock, Parent Options, and other securities of Parent have been issued and granted in compliance in all material respects with (i) all applicable securities laws and other applicable Law and (ii) all requirements set forth in applicable Contracts.</w:t>
      </w:r>
    </w:p>
    <w:p>
      <w:pPr>
        <w:spacing w:after="0" w:line="161" w:lineRule="exact"/>
        <w:rPr>
          <w:rFonts w:ascii="Times New Roman" w:cs="Times New Roman" w:eastAsia="Times New Roman" w:hAnsi="Times New Roman"/>
          <w:sz w:val="18"/>
          <w:szCs w:val="18"/>
          <w:color w:val="auto"/>
        </w:rPr>
      </w:pPr>
    </w:p>
    <w:p>
      <w:pPr>
        <w:ind w:left="4" w:right="20" w:firstLine="436"/>
        <w:spacing w:after="0" w:line="274" w:lineRule="auto"/>
        <w:tabs>
          <w:tab w:leader="none" w:pos="66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Parent Options granted pursuant to the Parent Stock Plans, (i) each grant of a Parent Option was duly authorized no later than the date on which the grant of such Parent Option was by its terms to be effective (the “</w:t>
      </w:r>
      <w:r>
        <w:rPr>
          <w:rFonts w:ascii="Times New Roman" w:cs="Times New Roman" w:eastAsia="Times New Roman" w:hAnsi="Times New Roman"/>
          <w:sz w:val="17"/>
          <w:szCs w:val="17"/>
          <w:b w:val="1"/>
          <w:bCs w:val="1"/>
          <w:color w:val="auto"/>
        </w:rPr>
        <w:t>Parent Grant Date</w:t>
      </w:r>
      <w:r>
        <w:rPr>
          <w:rFonts w:ascii="Times New Roman" w:cs="Times New Roman" w:eastAsia="Times New Roman" w:hAnsi="Times New Roman"/>
          <w:sz w:val="17"/>
          <w:szCs w:val="17"/>
          <w:color w:val="auto"/>
        </w:rPr>
        <w:t>”)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as applicable, on a timely basis all forms, statements, certifications, reports and documents required to be filed or furnished by it with the SEC under the Exchange Act or the Securities Act since January 1, 2024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w:t>
      </w:r>
    </w:p>
    <w:p>
      <w:pPr>
        <w:spacing w:after="0" w:line="194"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61" w:name="page62"/>
    <w:bookmarkEnd w:id="6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80" w:lineRule="exact"/>
        <w:rPr>
          <w:sz w:val="20"/>
          <w:szCs w:val="20"/>
          <w:color w:val="auto"/>
        </w:rPr>
      </w:pPr>
    </w:p>
    <w:p>
      <w:pPr>
        <w:ind w:right="180" w:firstLine="436"/>
        <w:spacing w:after="0" w:line="261"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79" w:lineRule="exact"/>
        <w:rPr>
          <w:rFonts w:ascii="Times New Roman" w:cs="Times New Roman" w:eastAsia="Times New Roman" w:hAnsi="Times New Roman"/>
          <w:sz w:val="18"/>
          <w:szCs w:val="18"/>
          <w:color w:val="auto"/>
        </w:rPr>
      </w:pPr>
    </w:p>
    <w:p>
      <w:pPr>
        <w:ind w:right="380" w:firstLine="436"/>
        <w:spacing w:after="0" w:line="26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of the Parent Disclosure Letter,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w:t>
      </w:r>
    </w:p>
    <w:p>
      <w:pPr>
        <w:spacing w:after="0" w:line="175" w:lineRule="exact"/>
        <w:rPr>
          <w:rFonts w:ascii="Times New Roman" w:cs="Times New Roman" w:eastAsia="Times New Roman" w:hAnsi="Times New Roman"/>
          <w:sz w:val="18"/>
          <w:szCs w:val="18"/>
          <w:color w:val="auto"/>
        </w:rPr>
      </w:pPr>
    </w:p>
    <w:p>
      <w:pPr>
        <w:ind w:right="160" w:firstLine="436"/>
        <w:spacing w:after="0" w:line="289" w:lineRule="auto"/>
        <w:tabs>
          <w:tab w:leader="none" w:pos="68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spacing w:after="0" w:line="157" w:lineRule="exact"/>
        <w:rPr>
          <w:rFonts w:ascii="Times New Roman" w:cs="Times New Roman" w:eastAsia="Times New Roman" w:hAnsi="Times New Roman"/>
          <w:sz w:val="17"/>
          <w:szCs w:val="17"/>
          <w:color w:val="auto"/>
        </w:rPr>
      </w:pPr>
    </w:p>
    <w:p>
      <w:pPr>
        <w:ind w:right="100" w:firstLine="436"/>
        <w:spacing w:after="0" w:line="282" w:lineRule="auto"/>
        <w:tabs>
          <w:tab w:leader="none" w:pos="6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the applicable provisions of the Sarbanes-Oxley Act, the Exchange Act and the applicable listing and governance rules and regulations of Nasdaq.</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436"/>
        <w:spacing w:after="0" w:line="25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of the Parent Disclosure Letter, between March 31, 2026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xml:space="preserve">. Since March 31, 2026, neither Parent nor any of its Subsidiaries has any Liability, in each case, of a type whether or not required to be reflected or reserved for on a balance sheet prepared in accordance with GAAP,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or any Parent Legacy Transaction, and (e) Liabilities described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Parent Disclosure Letter.</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as being owned by Parent. All of such assets are owned or, in the case of leased assets, leased by Parent or any of its Subsidiaries free and clear of any Encumbrances, other than Permitted Encumbrances.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8"/>
          <w:szCs w:val="18"/>
          <w:b w:val="1"/>
          <w:bCs w:val="1"/>
          <w:color w:val="auto"/>
        </w:rPr>
        <w:t>Parent Real Estate Leases</w:t>
      </w:r>
      <w:r>
        <w:rPr>
          <w:rFonts w:ascii="Times New Roman" w:cs="Times New Roman" w:eastAsia="Times New Roman" w:hAnsi="Times New Roman"/>
          <w:sz w:val="18"/>
          <w:szCs w:val="18"/>
          <w:color w:val="auto"/>
        </w:rPr>
        <w:t>”), each of which is in full force and effect, with no existing material default thereunder by Parent or its Subsidiaries or, to Parent’s Knowledge, the other party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20" w:right="2080" w:hanging="4984"/>
        <w:spacing w:after="0" w:line="454" w:lineRule="auto"/>
        <w:tabs>
          <w:tab w:leader="none" w:pos="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Parent Disclosure Letter is an accurate, true and complete listing of all Parent Registered IP. 48</w:t>
      </w:r>
    </w:p>
    <w:p>
      <w:pPr>
        <w:sectPr>
          <w:pgSz w:w="11900" w:h="16838" w:orient="portrait"/>
          <w:cols w:equalWidth="0" w:num="1">
            <w:col w:w="10980"/>
          </w:cols>
          <w:pgMar w:left="440" w:top="270" w:right="479" w:bottom="1440" w:gutter="0" w:footer="0" w:header="0"/>
        </w:sectPr>
      </w:pPr>
    </w:p>
    <w:bookmarkStart w:id="63" w:name="page64"/>
    <w:bookmarkEnd w:id="63"/>
    <w:p>
      <w:pPr>
        <w:ind w:left="-20" w:firstLine="436"/>
        <w:spacing w:after="0" w:line="282"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4.12(b)</w:t>
      </w:r>
      <w:r>
        <w:rPr>
          <w:rFonts w:ascii="Times New Roman" w:cs="Times New Roman" w:eastAsia="Times New Roman" w:hAnsi="Times New Roman"/>
          <w:sz w:val="18"/>
          <w:szCs w:val="18"/>
          <w:color w:val="auto"/>
        </w:rPr>
        <w:t xml:space="preserve"> of the Parent Disclosure Letter accurately identifies (i) all Parent Contracts pursuant to which any Parent IP Rights are licensed to Parent (other than Excepted Contracts) and (ii) whether the license or licenses granted to Parent are exclusive or nonexclusive.</w:t>
      </w:r>
    </w:p>
    <w:p>
      <w:pPr>
        <w:spacing w:after="0" w:line="161" w:lineRule="exact"/>
        <w:rPr>
          <w:rFonts w:ascii="Times New Roman" w:cs="Times New Roman" w:eastAsia="Times New Roman" w:hAnsi="Times New Roman"/>
          <w:sz w:val="18"/>
          <w:szCs w:val="18"/>
          <w:color w:val="auto"/>
        </w:rPr>
      </w:pPr>
    </w:p>
    <w:p>
      <w:pPr>
        <w:ind w:left="-20" w:right="240" w:firstLine="436"/>
        <w:spacing w:after="0" w:line="266"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spacing w:after="0" w:line="175" w:lineRule="exact"/>
        <w:rPr>
          <w:rFonts w:ascii="Times New Roman" w:cs="Times New Roman" w:eastAsia="Times New Roman" w:hAnsi="Times New Roman"/>
          <w:sz w:val="18"/>
          <w:szCs w:val="18"/>
          <w:color w:val="auto"/>
        </w:rPr>
      </w:pPr>
    </w:p>
    <w:p>
      <w:pPr>
        <w:ind w:left="-20" w:right="320" w:firstLine="436"/>
        <w:spacing w:after="0" w:line="312" w:lineRule="auto"/>
        <w:tabs>
          <w:tab w:leader="none" w:pos="67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one of its Subsidiaries exclusively owns all right, title, and interest to and in the Parent Registered IP (other than Excepted Contracts), in each case, free and clear of any Encumbrances (other than Permitted Encumbrances). Without limiting the generality of the foregoing:</w:t>
      </w:r>
    </w:p>
    <w:p>
      <w:pPr>
        <w:spacing w:after="0" w:line="31" w:lineRule="exact"/>
        <w:rPr>
          <w:rFonts w:ascii="Times New Roman" w:cs="Times New Roman" w:eastAsia="Times New Roman" w:hAnsi="Times New Roman"/>
          <w:sz w:val="17"/>
          <w:szCs w:val="17"/>
          <w:color w:val="auto"/>
        </w:rPr>
      </w:pPr>
    </w:p>
    <w:p>
      <w:pPr>
        <w:ind w:left="420" w:right="700" w:firstLine="419"/>
        <w:spacing w:after="0" w:line="282" w:lineRule="auto"/>
        <w:tabs>
          <w:tab w:leader="none" w:pos="105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necessary to register or apply for or renew registration of Parent Registered IP have been validly executed, delivered, and filed in a timely manner with the appropriate Governmental Authority.</w:t>
      </w:r>
    </w:p>
    <w:p>
      <w:pPr>
        <w:spacing w:after="0" w:line="53" w:lineRule="exact"/>
        <w:rPr>
          <w:rFonts w:ascii="Times New Roman" w:cs="Times New Roman" w:eastAsia="Times New Roman" w:hAnsi="Times New Roman"/>
          <w:sz w:val="18"/>
          <w:szCs w:val="18"/>
          <w:color w:val="auto"/>
        </w:rPr>
      </w:pPr>
    </w:p>
    <w:p>
      <w:pPr>
        <w:ind w:left="420" w:right="200" w:firstLine="419"/>
        <w:spacing w:after="0" w:line="261" w:lineRule="auto"/>
        <w:tabs>
          <w:tab w:leader="none" w:pos="11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spacing w:after="0" w:line="71" w:lineRule="exact"/>
        <w:rPr>
          <w:rFonts w:ascii="Times New Roman" w:cs="Times New Roman" w:eastAsia="Times New Roman" w:hAnsi="Times New Roman"/>
          <w:sz w:val="18"/>
          <w:szCs w:val="18"/>
          <w:color w:val="auto"/>
        </w:rPr>
      </w:pPr>
    </w:p>
    <w:p>
      <w:pPr>
        <w:ind w:left="420" w:right="80" w:firstLine="419"/>
        <w:spacing w:after="0" w:line="256" w:lineRule="auto"/>
        <w:tabs>
          <w:tab w:leader="none" w:pos="115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spacing w:after="0" w:line="79"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1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were used, directly or indirectly, to develop or create, in whole or in part, any Parent IP Rights in which Parent or any of its Subsidiaries has an ownership interest.</w:t>
      </w:r>
    </w:p>
    <w:p>
      <w:pPr>
        <w:spacing w:after="0" w:line="53" w:lineRule="exact"/>
        <w:rPr>
          <w:rFonts w:ascii="Times New Roman" w:cs="Times New Roman" w:eastAsia="Times New Roman" w:hAnsi="Times New Roman"/>
          <w:sz w:val="18"/>
          <w:szCs w:val="18"/>
          <w:color w:val="auto"/>
        </w:rPr>
      </w:pPr>
    </w:p>
    <w:p>
      <w:pPr>
        <w:ind w:left="420" w:right="360" w:firstLine="419"/>
        <w:spacing w:after="0" w:line="282" w:lineRule="auto"/>
        <w:tabs>
          <w:tab w:leader="none" w:pos="109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spacing w:after="0" w:line="53" w:lineRule="exact"/>
        <w:rPr>
          <w:rFonts w:ascii="Times New Roman" w:cs="Times New Roman" w:eastAsia="Times New Roman" w:hAnsi="Times New Roman"/>
          <w:sz w:val="18"/>
          <w:szCs w:val="18"/>
          <w:color w:val="auto"/>
        </w:rPr>
      </w:pPr>
    </w:p>
    <w:p>
      <w:pPr>
        <w:ind w:left="420" w:right="580" w:firstLine="419"/>
        <w:spacing w:after="0" w:line="282" w:lineRule="auto"/>
        <w:tabs>
          <w:tab w:leader="none" w:pos="11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any of its Subsidiaries has not assigned or otherwise transferred ownership of, or agreed to assign or otherwise transfer ownership of, any Parent IP Rights to any other Person.</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delivered, or made available to the Company, a complete and accurate copy of all material Parent IP Rights Agreements. With respect to each of the Parent IP Rights Agreements: (i) each such agreement is valid and binding on the Parent and in full force and effect, (ii) Parent has not received any written notice of termination or cancellation under such agreement, or received any written notice of breach or default under such agreement, which breach has not been cured or waived and (iii) Parent, and to the Knowledge of Parent, no other party to any such agreement, is not in breach or default thereof in any material respect.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70" w:right="459" w:bottom="1440" w:gutter="0" w:footer="0" w:header="0"/>
        </w:sectPr>
      </w:pPr>
    </w:p>
    <w:bookmarkStart w:id="64" w:name="page65"/>
    <w:bookmarkEnd w:id="64"/>
    <w:p>
      <w:pPr>
        <w:ind w:left="-20" w:right="40" w:firstLine="436"/>
        <w:spacing w:after="0" w:line="256" w:lineRule="auto"/>
        <w:tabs>
          <w:tab w:leader="none" w:pos="6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Parent,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w:t>
      </w:r>
    </w:p>
    <w:p>
      <w:pPr>
        <w:spacing w:after="0" w:line="187"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or its licensors is not a party to any Legal Proceeding (including, but not limited to, opposition, interference or other proceeding in any patent or other government office) contesting the validity, ownership or right to use, sell, offer for sale, license or dispose of any Parent Registered IP. Parent or its licensors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spacing w:after="0" w:line="187"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Parent Registered IP is and at all times has been filed and maintained in compliance in all material respects with all applicable Law and all filings, payments and other actions required to be made or taken to maintain such item of Parent Registered IP in full force and effect have been made by the applicable deadline. All Parent Registered IP is subsisting, and to the Knowledge of the Parent, all Parent Registered IP that is issued or granted is valid and enforceable.</w:t>
      </w:r>
    </w:p>
    <w:p>
      <w:pPr>
        <w:spacing w:after="0" w:line="179"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registered trademark or trade name owned, used or applied for by Parent conflicts or interferes with any registered trademark or trade name owned, used or applied for by any other Person except as would not have a Parent Material Adverse Effect. None of the goodwill associated with or inherent in any registered trademark in which Parent has or purports to have an ownership interest has been impaired as determined by Parent in accordance with GAAP.</w:t>
      </w:r>
    </w:p>
    <w:p>
      <w:pPr>
        <w:spacing w:after="0" w:line="179" w:lineRule="exact"/>
        <w:rPr>
          <w:rFonts w:ascii="Times New Roman" w:cs="Times New Roman" w:eastAsia="Times New Roman" w:hAnsi="Times New Roman"/>
          <w:sz w:val="18"/>
          <w:szCs w:val="18"/>
          <w:color w:val="auto"/>
        </w:rPr>
      </w:pPr>
    </w:p>
    <w:p>
      <w:pPr>
        <w:ind w:left="-20" w:right="320" w:firstLine="436"/>
        <w:spacing w:after="0" w:line="256"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may be set forth in the Contracts listed on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4.12(k)</w:t>
      </w:r>
      <w:r>
        <w:rPr>
          <w:rFonts w:ascii="Times New Roman" w:cs="Times New Roman" w:eastAsia="Times New Roman" w:hAnsi="Times New Roman"/>
          <w:sz w:val="18"/>
          <w:szCs w:val="18"/>
          <w:color w:val="auto"/>
        </w:rPr>
        <w:t xml:space="preserve"> of the Parent Disclosure Letter or as contained in license, distribution or service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w:t>
      </w:r>
    </w:p>
    <w:p>
      <w:pPr>
        <w:spacing w:after="0" w:line="187"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Corporation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60" w:top="270" w:right="479" w:bottom="1440" w:gutter="0" w:footer="0" w:header="0"/>
        </w:sectPr>
      </w:pPr>
    </w:p>
    <w:bookmarkStart w:id="65" w:name="page66"/>
    <w:bookmarkEnd w:id="65"/>
    <w:p>
      <w:pPr>
        <w:ind w:right="80" w:firstLine="436"/>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provisions of this Agreement, Company acknowledges and agrees that the representations and warranties contained in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are the only representations or warranties made by Parent with respect to Intellectual Property, and no other provisions of this Agreement shall be interpreted as containing any representation or warranty with respect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Excepted Contracts, and any Parent Employee Plans (or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Parent Disclosure Letter identifies each Parent Contract identified below that is in effect as of the date of this Agreement (each, a “</w:t>
      </w:r>
      <w:r>
        <w:rPr>
          <w:rFonts w:ascii="Times New Roman" w:cs="Times New Roman" w:eastAsia="Times New Roman" w:hAnsi="Times New Roman"/>
          <w:sz w:val="18"/>
          <w:szCs w:val="18"/>
          <w:b w:val="1"/>
          <w:bCs w:val="1"/>
          <w:color w:val="auto"/>
        </w:rPr>
        <w:t>Parent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material bonus, deferred compensation, severance, incentive compensation, pension, profit-sharing or retirement plans, or any other employee benefit plans or arrangements;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agreement or plan, including any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agreement of indemnification or guaranty not entered into in the Ordinary Course of Business;</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(A) pursuant to which any Person granted Parent an exclusive license under any Intellectual Property, or</w:t>
      </w:r>
    </w:p>
    <w:p>
      <w:pPr>
        <w:spacing w:after="0" w:line="27" w:lineRule="exact"/>
        <w:rPr>
          <w:sz w:val="20"/>
          <w:szCs w:val="20"/>
          <w:color w:val="auto"/>
        </w:rPr>
      </w:pPr>
    </w:p>
    <w:p>
      <w:pPr>
        <w:ind w:left="720" w:hanging="284"/>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Parent granted any Person an exclusive license under any Parent IP Rights;</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containing any royalty, dividend or similar arrangement based on the revenues or profits of Parent, any of its Subsidiaries, or of a product;</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26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capital expenditures and requiring payments after the date of this Agreement in excess of $100,000 pursuant to its express terms and not cancelable without penalty;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6" w:name="page67"/>
    <w:bookmarkEnd w:id="66"/>
    <w:p>
      <w:pPr>
        <w:ind w:right="280" w:firstLine="419"/>
        <w:spacing w:after="0" w:line="282"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Contract relating to the disposition or acquisition of material assets or any ownership interest in any Entity, in each case, involving payments in excess of $250,000 after the date of this Agreement;</w:t>
      </w:r>
    </w:p>
    <w:p>
      <w:pPr>
        <w:spacing w:after="0" w:line="53" w:lineRule="exact"/>
        <w:rPr>
          <w:rFonts w:ascii="Times New Roman" w:cs="Times New Roman" w:eastAsia="Times New Roman" w:hAnsi="Times New Roman"/>
          <w:sz w:val="18"/>
          <w:szCs w:val="18"/>
          <w:color w:val="auto"/>
        </w:rPr>
      </w:pPr>
    </w:p>
    <w:p>
      <w:pPr>
        <w:ind w:right="760" w:firstLine="419"/>
        <w:spacing w:after="0" w:line="282"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entered into in settlement of any Legal Proceeding or other dispute pursuant to which Parent or any of its Subsidiaries has outstanding obligations to pay consideration in excess of $100,000;</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spacing w:after="0" w:line="67" w:lineRule="exact"/>
        <w:rPr>
          <w:rFonts w:ascii="Times New Roman" w:cs="Times New Roman" w:eastAsia="Times New Roman" w:hAnsi="Times New Roman"/>
          <w:sz w:val="18"/>
          <w:szCs w:val="18"/>
          <w:color w:val="auto"/>
        </w:rPr>
      </w:pPr>
    </w:p>
    <w:p>
      <w:pPr>
        <w:ind w:right="180" w:firstLine="419"/>
        <w:spacing w:after="0" w:line="253" w:lineRule="auto"/>
        <w:tabs>
          <w:tab w:leader="none" w:pos="7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spacing w:after="0" w:line="86" w:lineRule="exact"/>
        <w:rPr>
          <w:rFonts w:ascii="Times New Roman" w:cs="Times New Roman" w:eastAsia="Times New Roman" w:hAnsi="Times New Roman"/>
          <w:sz w:val="18"/>
          <w:szCs w:val="18"/>
          <w:color w:val="auto"/>
        </w:rPr>
      </w:pPr>
    </w:p>
    <w:p>
      <w:pPr>
        <w:ind w:right="140" w:firstLine="419"/>
        <w:spacing w:after="0" w:line="266"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with any Person, including any financial advisor, broker, finder, investment banker or other Person, providing advisory services to Parent in connection with the Contemplated Transactions and requiring payments by Parent after the date of this Agreement in excess of $100,000 pursuant to its express terms;</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8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Parent Real Estate Lease;</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 disclosed in or required to be disclosed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Parent Disclosure Letter; or</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8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40"/>
          </w:cols>
          <w:pgMar w:left="880" w:top="270" w:right="479" w:bottom="1440" w:gutter="0" w:footer="0" w:header="0"/>
        </w:sectPr>
      </w:pPr>
    </w:p>
    <w:bookmarkStart w:id="67" w:name="page68"/>
    <w:bookmarkEnd w:id="67"/>
    <w:p>
      <w:pPr>
        <w:ind w:right="60" w:firstLine="436"/>
        <w:spacing w:after="0" w:line="254"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4"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and since January 1, 2024, has been in compliance with all applicable Laws, except where the failure to so comply would not, whether individually or in the aggregate, reasonably be expected to have a Parent Material Adverse Effect. No investigation, claim, suit, proceeding, audit, Order or other action by any Governmental Authority is pending or, to the Knowledge of Parent, threatened against Parent or any of its Subsidiaries, which if determined unfavorably to such Person would reasonably be expected to have a Parent Material Adverse Effect.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regarding the FDA or other Drug/Device Regulatory Agency, each of Parent and its Subsidiaries holds all required Governmental Authorizations that are material to the operation of the business of Parent and Merger Sub as currently conducted (collectively, the “</w:t>
      </w:r>
      <w:r>
        <w:rPr>
          <w:rFonts w:ascii="Times New Roman" w:cs="Times New Roman" w:eastAsia="Times New Roman" w:hAnsi="Times New Roman"/>
          <w:sz w:val="18"/>
          <w:szCs w:val="18"/>
          <w:b w:val="1"/>
          <w:bCs w:val="1"/>
          <w:color w:val="auto"/>
        </w:rPr>
        <w:t>Parent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Surviving Corporation immediately after the Effective Time on terms substantially identical to those enjoyed by Parent and its Subsidiaries as of the date of this Agreement and immediately prior to the Effective Time.</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Parent, threatened with respect to an alleged violation by Parent or any of its Subsidiaries of the FDCA, PHSA, or any other similar Law promulgated by a Drug/Device Regulatory Agency.</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holds all material required Governmental Authorizations issuable by any Drug/Device Regulatory Agency necessary for the conduct of the business of Parent and Merger Sub as currently conducted, and, as applicable, the development, testing, manufacturing, processing, storage, labeling, sale, marketing, advertising, distribution and importation or exportation, in each case as currently conducted, of any of its product candidates (the “</w:t>
      </w:r>
      <w:r>
        <w:rPr>
          <w:rFonts w:ascii="Times New Roman" w:cs="Times New Roman" w:eastAsia="Times New Roman" w:hAnsi="Times New Roman"/>
          <w:sz w:val="18"/>
          <w:szCs w:val="18"/>
          <w:b w:val="1"/>
          <w:bCs w:val="1"/>
          <w:color w:val="auto"/>
        </w:rPr>
        <w:t>Parent Product Candidates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Parent Regulatory Permits</w:t>
      </w:r>
      <w:r>
        <w:rPr>
          <w:rFonts w:ascii="Times New Roman" w:cs="Times New Roman" w:eastAsia="Times New Roman" w:hAnsi="Times New Roman"/>
          <w:sz w:val="18"/>
          <w:szCs w:val="18"/>
          <w:color w:val="auto"/>
        </w:rPr>
        <w:t>”) and since January 1, 2024 no such Parent Regulatory Permit has been (i) revoked, withdrawn, suspended, cancelled or terminated or (ii)</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8" w:name="page69"/>
    <w:bookmarkEnd w:id="6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in any adverse manner other than immaterial adverse modifications. Parent has maintained and is in compliance in all material respects with the terms of such Parent Regulatory Permits and neither Parent nor or any of its Subsidiaries has, since January 1, 2024,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w:t>
      </w:r>
    </w:p>
    <w:p>
      <w:pPr>
        <w:spacing w:after="0" w:line="183" w:lineRule="exact"/>
        <w:rPr>
          <w:sz w:val="20"/>
          <w:szCs w:val="20"/>
          <w:color w:val="auto"/>
        </w:rPr>
      </w:pPr>
    </w:p>
    <w:p>
      <w:pPr>
        <w:ind w:firstLine="436"/>
        <w:spacing w:after="0" w:line="253"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Parent or its Subsidiaries, in which Parent or its Subsidiaries or their respective product candidates, including the Parent Product Candidates, have participated (collectively “</w:t>
      </w:r>
      <w:r>
        <w:rPr>
          <w:rFonts w:ascii="Times New Roman" w:cs="Times New Roman" w:eastAsia="Times New Roman" w:hAnsi="Times New Roman"/>
          <w:sz w:val="18"/>
          <w:szCs w:val="18"/>
          <w:b w:val="1"/>
          <w:bCs w:val="1"/>
          <w:color w:val="auto"/>
        </w:rPr>
        <w:t>Parent Studies</w:t>
      </w:r>
      <w:r>
        <w:rPr>
          <w:rFonts w:ascii="Times New Roman" w:cs="Times New Roman" w:eastAsia="Times New Roman" w:hAnsi="Times New Roman"/>
          <w:sz w:val="18"/>
          <w:szCs w:val="18"/>
          <w:color w:val="auto"/>
        </w:rPr>
        <w:t>”) were, since January 1, 2024, and, if still pending, are being conducted in accordance in all material respects with any applicable regulations of the Drug/Device Regulatory Agencies and other applicable Law to which such Parent Studies are or were subject. Since January 1, 2024,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such Parent Studies, other than ordinary course communications regarding the design and implementation of such Parent Studies. Further, no clinical investigator, researcher or clinical staff participating in any Parent Study has been disqualified from participating in studies involving the Parent Product Candidates, and to the Knowledge of Parent, no such administrative action to disqualify such clinical investigators, researchers or clinical staff has been threatened or is pending.</w:t>
      </w:r>
    </w:p>
    <w:p>
      <w:pPr>
        <w:spacing w:after="0" w:line="194" w:lineRule="exact"/>
        <w:rPr>
          <w:rFonts w:ascii="Times New Roman" w:cs="Times New Roman" w:eastAsia="Times New Roman" w:hAnsi="Times New Roman"/>
          <w:sz w:val="18"/>
          <w:szCs w:val="18"/>
          <w:color w:val="auto"/>
        </w:rPr>
      </w:pPr>
    </w:p>
    <w:p>
      <w:pPr>
        <w:ind w:right="80" w:firstLine="436"/>
        <w:spacing w:after="0" w:line="253"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the Application Integrity Policy or by any other Drug/Device Regulatory Agency under a comparable policy. Since January 1, 2024, neither Parent, nor any of its officers, directors, employees or, to the Knowledge of Parent, agents have been debarred or excluded from participation in any federal healthcare programs. Since January 1, 2024, neither Parent nor any of its Subsidiaries and, to the Knowledge of Parent, nor their respective officers, employees, agents, or contract manufacturers with respect to any Parent Product Candidate has committed any acts, made any statement or failed to make any statement, in each case in respect of its business or products that would violate the Application Integrity Policy or any comparable policy. None of Parent, any of its Subsidiaries, and to the Knowledge of Parent, any of their respective officers, employees, agents or contract manufacturers with respect to any Parent Product Candidate is currently or has been debarred, convicted of any crime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of their respective officers, employees, agents, or contract manufacturers with respect to any Parent Product Candidate.</w:t>
      </w:r>
    </w:p>
    <w:p>
      <w:pPr>
        <w:spacing w:after="0" w:line="18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Parent, for the benefit of, Parent or its Subsidiaries in connection with any Parent Product Candidate, since January 1, 2024, have been and are being conducted in compliance in all material respects with applicable Laws, including to the extent applicable, the PHSA, the FDCA and the respective counterparts thereof promulgated by Governmental Authorities in countries outside the United States.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9" w:name="page70"/>
    <w:bookmarkEnd w:id="69"/>
    <w:p>
      <w:pPr>
        <w:ind w:firstLine="436"/>
        <w:spacing w:after="0" w:line="25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Parent, any of its Subsidiaries, and to the Knowledge of Parent, any manufacturing site of a contract manufacturer or laboratory, in each case with respect to such parties’ or site’s activities conducted with respect to any Parent Product Candidate, (i) is subject to a Drug/Device Regulatory Agency shutdown or import or export prohibition or (ii) has since January 1, 2024,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has threatened such 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Parent Disclosure Letter,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spacing w:after="0" w:line="179"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Parent and each of its Subsidiaries (whether or not shown on any Tax Return) have been timely paid (taking into account any applicable extensions).</w:t>
      </w:r>
    </w:p>
    <w:p>
      <w:pPr>
        <w:spacing w:after="0" w:line="161" w:lineRule="exact"/>
        <w:rPr>
          <w:rFonts w:ascii="Times New Roman" w:cs="Times New Roman" w:eastAsia="Times New Roman" w:hAnsi="Times New Roman"/>
          <w:sz w:val="18"/>
          <w:szCs w:val="18"/>
          <w:color w:val="auto"/>
        </w:rPr>
      </w:pPr>
    </w:p>
    <w:p>
      <w:pPr>
        <w:ind w:right="140" w:firstLine="436"/>
        <w:spacing w:after="0" w:line="312" w:lineRule="auto"/>
        <w:tabs>
          <w:tab w:leader="none" w:pos="68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9" w:lineRule="exact"/>
        <w:rPr>
          <w:rFonts w:ascii="Times New Roman" w:cs="Times New Roman" w:eastAsia="Times New Roman" w:hAnsi="Times New Roman"/>
          <w:sz w:val="17"/>
          <w:szCs w:val="17"/>
          <w:color w:val="auto"/>
        </w:rPr>
      </w:pPr>
    </w:p>
    <w:p>
      <w:pPr>
        <w:ind w:right="26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Encumbrances for a material amount of Taxes (other than Encumbrances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“Permitted Encumbrances”) upon any of the assets of Parent or any of its Subsidiaries.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0" w:name="page71"/>
    <w:bookmarkEnd w:id="70"/>
    <w:p>
      <w:pPr>
        <w:ind w:left="-40" w:right="1060" w:firstLine="436"/>
        <w:spacing w:after="0" w:line="282" w:lineRule="auto"/>
        <w:tabs>
          <w:tab w:leader="none" w:pos="6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any of its Subsidiaries is a party to any Tax allocation, Tax sharing or similar agreement (including indemnity arrangements), other than Ordinary Course Agreements.</w:t>
      </w:r>
    </w:p>
    <w:p>
      <w:pPr>
        <w:spacing w:after="0" w:line="161" w:lineRule="exact"/>
        <w:rPr>
          <w:rFonts w:ascii="Times New Roman" w:cs="Times New Roman" w:eastAsia="Times New Roman" w:hAnsi="Times New Roman"/>
          <w:sz w:val="18"/>
          <w:szCs w:val="18"/>
          <w:color w:val="auto"/>
        </w:rPr>
      </w:pPr>
    </w:p>
    <w:p>
      <w:pPr>
        <w:ind w:left="-40" w:firstLine="436"/>
        <w:spacing w:after="0" w:line="261"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spacing w:after="0" w:line="179" w:lineRule="exact"/>
        <w:rPr>
          <w:rFonts w:ascii="Times New Roman" w:cs="Times New Roman" w:eastAsia="Times New Roman" w:hAnsi="Times New Roman"/>
          <w:sz w:val="18"/>
          <w:szCs w:val="18"/>
          <w:color w:val="auto"/>
        </w:rPr>
      </w:pPr>
    </w:p>
    <w:p>
      <w:pPr>
        <w:ind w:left="-40" w:right="500" w:firstLine="436"/>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61" w:lineRule="exact"/>
        <w:rPr>
          <w:rFonts w:ascii="Times New Roman" w:cs="Times New Roman" w:eastAsia="Times New Roman" w:hAnsi="Times New Roman"/>
          <w:sz w:val="18"/>
          <w:szCs w:val="18"/>
          <w:color w:val="auto"/>
        </w:rPr>
      </w:pPr>
    </w:p>
    <w:p>
      <w:pPr>
        <w:ind w:left="-40" w:right="740" w:firstLine="436"/>
        <w:spacing w:after="0" w:line="282" w:lineRule="auto"/>
        <w:tabs>
          <w:tab w:leader="none" w:pos="6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entered into any transaction identified as a “listed transaction” for purposes of Treasury Regulations Sections 1.6011-4(b)(2) or 301.6111-2(b)(2).</w:t>
      </w:r>
    </w:p>
    <w:p>
      <w:pPr>
        <w:spacing w:after="0" w:line="161" w:lineRule="exact"/>
        <w:rPr>
          <w:rFonts w:ascii="Times New Roman" w:cs="Times New Roman" w:eastAsia="Times New Roman" w:hAnsi="Times New Roman"/>
          <w:sz w:val="18"/>
          <w:szCs w:val="18"/>
          <w:color w:val="auto"/>
        </w:rPr>
      </w:pPr>
    </w:p>
    <w:p>
      <w:pPr>
        <w:ind w:left="-40" w:right="300" w:firstLine="436"/>
        <w:spacing w:after="0" w:line="282" w:lineRule="auto"/>
        <w:tabs>
          <w:tab w:leader="none" w:pos="6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aware of any facts or circumstances or has taken or agreed to take any action, in each case, that would reasonably be expected to prevent or impede the Merger from qualifying for the Intended Tax Treatment.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0" w:firstLine="436"/>
        <w:spacing w:after="0" w:line="277" w:lineRule="auto"/>
        <w:tabs>
          <w:tab w:leader="none" w:pos="64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spacing w:after="0" w:line="167" w:lineRule="exact"/>
        <w:rPr>
          <w:rFonts w:ascii="Times New Roman" w:cs="Times New Roman" w:eastAsia="Times New Roman" w:hAnsi="Times New Roman"/>
          <w:sz w:val="17"/>
          <w:szCs w:val="17"/>
          <w:color w:val="auto"/>
        </w:rPr>
      </w:pPr>
    </w:p>
    <w:p>
      <w:pPr>
        <w:ind w:left="-40" w:right="420" w:firstLine="436"/>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Parent’s employees is terminable by Parent at will. Parent has made available to the Company accurate and complete copies of all employee manuals and handbooks, to the extent currently effective and material.</w:t>
      </w:r>
    </w:p>
    <w:p>
      <w:pPr>
        <w:spacing w:after="0" w:line="161" w:lineRule="exact"/>
        <w:rPr>
          <w:rFonts w:ascii="Times New Roman" w:cs="Times New Roman" w:eastAsia="Times New Roman" w:hAnsi="Times New Roman"/>
          <w:sz w:val="18"/>
          <w:szCs w:val="18"/>
          <w:color w:val="auto"/>
        </w:rPr>
      </w:pPr>
    </w:p>
    <w:p>
      <w:pPr>
        <w:ind w:left="-40" w:right="160" w:firstLine="436"/>
        <w:spacing w:after="0" w:line="266"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spacing w:after="0" w:line="175" w:lineRule="exact"/>
        <w:rPr>
          <w:rFonts w:ascii="Times New Roman" w:cs="Times New Roman" w:eastAsia="Times New Roman" w:hAnsi="Times New Roman"/>
          <w:sz w:val="18"/>
          <w:szCs w:val="18"/>
          <w:color w:val="auto"/>
        </w:rPr>
      </w:pPr>
    </w:p>
    <w:p>
      <w:pPr>
        <w:ind w:left="-40" w:right="300" w:firstLine="436"/>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spacing w:after="0" w:line="175" w:lineRule="exact"/>
        <w:rPr>
          <w:rFonts w:ascii="Times New Roman" w:cs="Times New Roman" w:eastAsia="Times New Roman" w:hAnsi="Times New Roman"/>
          <w:sz w:val="18"/>
          <w:szCs w:val="18"/>
          <w:color w:val="auto"/>
        </w:rPr>
      </w:pPr>
    </w:p>
    <w:p>
      <w:pPr>
        <w:ind w:left="-40" w:firstLine="436"/>
        <w:spacing w:after="0" w:line="266"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80" w:top="270" w:right="479" w:bottom="1440" w:gutter="0" w:footer="0" w:header="0"/>
        </w:sectPr>
      </w:pPr>
    </w:p>
    <w:bookmarkStart w:id="71" w:name="page72"/>
    <w:bookmarkEnd w:id="71"/>
    <w:p>
      <w:pPr>
        <w:ind w:left="4" w:right="60" w:firstLine="436"/>
        <w:spacing w:after="0" w:line="258" w:lineRule="auto"/>
        <w:tabs>
          <w:tab w:leader="none" w:pos="66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incurred in the past six years any liability under Title IV of ERISA.</w:t>
      </w:r>
    </w:p>
    <w:p>
      <w:pPr>
        <w:spacing w:after="0" w:line="183" w:lineRule="exact"/>
        <w:rPr>
          <w:rFonts w:ascii="Times New Roman" w:cs="Times New Roman" w:eastAsia="Times New Roman" w:hAnsi="Times New Roman"/>
          <w:sz w:val="18"/>
          <w:szCs w:val="18"/>
          <w:color w:val="auto"/>
        </w:rPr>
      </w:pPr>
    </w:p>
    <w:p>
      <w:pPr>
        <w:ind w:left="4" w:right="40" w:firstLine="436"/>
        <w:spacing w:after="0" w:line="276" w:lineRule="auto"/>
        <w:tabs>
          <w:tab w:leader="none" w:pos="69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w:t>
      </w: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coverage through the end of the month in which such termination or retirement occurs. Parent does not sponsor or maintain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self-funded medical or long-term disability benefit plan.</w:t>
      </w:r>
    </w:p>
    <w:p>
      <w:pPr>
        <w:spacing w:after="0" w:line="207" w:lineRule="exact"/>
        <w:rPr>
          <w:sz w:val="20"/>
          <w:szCs w:val="20"/>
          <w:color w:val="auto"/>
        </w:rPr>
      </w:pPr>
    </w:p>
    <w:p>
      <w:pPr>
        <w:ind w:left="664" w:hanging="224"/>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Employee Plan that constitutes in any part a “nonqualified deferred compensation plan” (as such term is defined under</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Section 409A(d)(1) of the Code and the guidance thereunder) (each, a “</w:t>
      </w:r>
      <w:r>
        <w:rPr>
          <w:rFonts w:ascii="Times New Roman" w:cs="Times New Roman" w:eastAsia="Times New Roman" w:hAnsi="Times New Roman"/>
          <w:sz w:val="18"/>
          <w:szCs w:val="18"/>
          <w:b w:val="1"/>
          <w:bCs w:val="1"/>
          <w:color w:val="auto"/>
        </w:rPr>
        <w:t>Parent 409A Plan</w:t>
      </w:r>
      <w:r>
        <w:rPr>
          <w:rFonts w:ascii="Times New Roman" w:cs="Times New Roman" w:eastAsia="Times New Roman" w:hAnsi="Times New Roman"/>
          <w:sz w:val="18"/>
          <w:szCs w:val="18"/>
          <w:color w:val="auto"/>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w:t>
      </w:r>
    </w:p>
    <w:p>
      <w:pPr>
        <w:spacing w:after="0" w:line="189" w:lineRule="exact"/>
        <w:rPr>
          <w:sz w:val="20"/>
          <w:szCs w:val="20"/>
          <w:color w:val="auto"/>
        </w:rPr>
      </w:pPr>
    </w:p>
    <w:p>
      <w:pPr>
        <w:ind w:left="4" w:firstLine="436"/>
        <w:spacing w:after="0" w:line="253" w:lineRule="auto"/>
        <w:tabs>
          <w:tab w:leader="none" w:pos="6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2" w:name="page73"/>
    <w:bookmarkEnd w:id="72"/>
    <w:p>
      <w:pPr>
        <w:ind w:right="20" w:firstLine="436"/>
        <w:spacing w:after="0" w:line="25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no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within the past three years there has not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3" w:lineRule="exact"/>
        <w:rPr>
          <w:rFonts w:ascii="Times New Roman" w:cs="Times New Roman" w:eastAsia="Times New Roman" w:hAnsi="Times New Roman"/>
          <w:sz w:val="18"/>
          <w:szCs w:val="18"/>
          <w:color w:val="auto"/>
        </w:rPr>
      </w:pPr>
    </w:p>
    <w:p>
      <w:pPr>
        <w:ind w:right="200" w:firstLine="436"/>
        <w:spacing w:after="0" w:line="277" w:lineRule="auto"/>
        <w:tabs>
          <w:tab w:leader="none" w:pos="6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not, nor has Parent been in the past three years,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spacing w:after="0" w:line="167" w:lineRule="exact"/>
        <w:rPr>
          <w:rFonts w:ascii="Times New Roman" w:cs="Times New Roman" w:eastAsia="Times New Roman" w:hAnsi="Times New Roman"/>
          <w:sz w:val="17"/>
          <w:szCs w:val="17"/>
          <w:color w:val="auto"/>
        </w:rPr>
      </w:pPr>
    </w:p>
    <w:p>
      <w:pPr>
        <w:ind w:firstLine="436"/>
        <w:spacing w:after="0" w:line="266"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Parent or any of its Subsidiaries is a party or by which it is bound to compensate any of its employees or other service providers for any income or excise taxes paid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Parent or any of its Subsidiaries.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Since January 1, 2024,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2024,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2024, any written notice or other communication relating to property owned or leased at any time by Parent or any of its Subsidiaries, whether from a Governmental Authority, citizens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3" w:name="page74"/>
    <w:bookmarkEnd w:id="7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Parent has delivered to the Company accurate and complete copies of all material insurance policies and all material self-insurance programs and arrangements relating to the business, assets, liabilities and operations of Parent and its Subsidiaries (including Merger Sub). Each of such insurance policies is in full force and effect and Parent and its Subsidiaries (including Merger Sub) are in compliance in all material respects with the terms thereof. Other than customary end of policy notifications from insurance carriers, since January 1, 2024,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Parent Disclosure Letter identifies each Person who is (or who may be deemed to be) an Affiliate of Parent as of the date of this Agreement.</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in the Merger will, when issued in accordance with the provisions of this Agreement, be validly issued, fully paid and nonassessable. The Parent Common Stock issuable upon exercise of any Assumed Warrant has been duly reserved for issuance, and upon issuance in accordance with the terms of the applicable Assumed Warrant, will be validly issued, fully paid and nonassessable.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each of Parent and its Subsidiaries have complied with all (i) applicable Privacy Laws, (ii) Parents and its</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published and posted policies relating to Parent and its Subsidiaries’ processing of Personal Information, as applicable to each of Parent and any of its Subsidiaries; and (iii) applicable terms of any Parent Contracts relating to privacy, security, collection or use of Personal Information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except for such noncompliance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Parent Material Adverse Effect. To the Knowledge of Parent, during the past three years, no claims have been asserted or threatened in writing against Parent or any Subsidiary by any Person alleging a material violation of the Parent Data Protection Requirements. To the Knowledge of Parent, there have been no personal data breaches compromising Personal Information in the custody or control of Parent or its Subsidiaries or any service provider acting on behalf of Parent, except as has not had, and would not reasonably be expected to have, individually or in the aggregate, a Parent Material Adverse Effect.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4" w:name="page75"/>
    <w:bookmarkEnd w:id="74"/>
    <w:p>
      <w:pPr>
        <w:ind w:right="240" w:firstLine="436"/>
        <w:spacing w:after="0" w:line="255"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technology assets and equipment of Parent and its Subsidiaries (collectively, “</w:t>
      </w:r>
      <w:r>
        <w:rPr>
          <w:rFonts w:ascii="Times New Roman" w:cs="Times New Roman" w:eastAsia="Times New Roman" w:hAnsi="Times New Roman"/>
          <w:sz w:val="18"/>
          <w:szCs w:val="18"/>
          <w:b w:val="1"/>
          <w:bCs w:val="1"/>
          <w:color w:val="auto"/>
        </w:rPr>
        <w:t>Parent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Parent and its Subsidiaries as currently conducted, and to the Knowledge of Parent, free and clear of all material bugs, errors, defects, Trojan horses, time bombs, malware and other corruptants. Parent and its Subsidiaries have implemented and maintain commercially reasonable physical, technical and administrative safeguards to protect Personal Information processed by Parent and its Subsidiaries, any other material confidential information and the integrity and security of Parent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January 1, 2021, neither Parent nor any of its Subsidiaries nor, to the Knowledge of Parent,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Since January 1, 2021,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Parent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Parent,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each case as qualified and limited by the Company Disclosure Letter)) none of Parent, Merger Sub nor any of their respective Representatives or stockholders, has relied on any such information (including the accuracy or completeness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COVENANTS OF THE PARTIES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Operation of Parent’s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6"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75" w:name="page76"/>
    <w:bookmarkEnd w:id="75"/>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occur of the termination of this Agreement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spacing w:after="0" w:line="180" w:lineRule="exact"/>
        <w:rPr>
          <w:sz w:val="20"/>
          <w:szCs w:val="20"/>
          <w:color w:val="auto"/>
        </w:rPr>
      </w:pPr>
    </w:p>
    <w:p>
      <w:pPr>
        <w:ind w:right="160" w:firstLine="436"/>
        <w:spacing w:after="0" w:line="266"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(other than the Parent Pre-Closing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the issuance of: (A) any capital stock or other security (except for Parent Common Stock issued upon the valid exercise of outstanding Parent Options), (B) any option, warrant or right to acquire any capital stock or any other security or (C) any instrument convertible into or exchangeable for any capital stock or other security;</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 other Entity;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(C) guarantee any debt securities of others or (D) make any capital expenditure or commitment in excess of $25,000;</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w:t>
      </w:r>
    </w:p>
    <w:p>
      <w:pPr>
        <w:spacing w:after="0" w:line="3" w:lineRule="exact"/>
        <w:rPr>
          <w:rFonts w:ascii="Times New Roman" w:cs="Times New Roman" w:eastAsia="Times New Roman" w:hAnsi="Times New Roman"/>
          <w:sz w:val="18"/>
          <w:szCs w:val="18"/>
          <w:color w:val="auto"/>
        </w:rPr>
      </w:pPr>
    </w:p>
    <w:p>
      <w:pPr>
        <w:ind w:left="44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increase the severance or change of control benefits offered to any current or new employees, directors or consultants, or (E) hire any officer, employee or consultant;</w:t>
      </w:r>
    </w:p>
    <w:p>
      <w:pPr>
        <w:spacing w:after="0" w:line="7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2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license or otherwise irrevocably dispose of any of its assets or properties, or grant any Encumbrance with respect to such assets or properties;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76" w:name="page77"/>
    <w:bookmarkEnd w:id="76"/>
    <w:p>
      <w:pPr>
        <w:jc w:val="both"/>
        <w:ind w:left="440" w:right="140" w:firstLine="419"/>
        <w:spacing w:after="0" w:line="266" w:lineRule="auto"/>
        <w:tabs>
          <w:tab w:leader="none" w:pos="1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assign, transfer, abandon, allow to lapse, license, sublicense or otherwise dispose of any Parent IP Rights (other than pursuant to non-exclusive licenses in the Ordinary Course of Business, pursuant to Patent prosecution in the Ordinary Course of Business or pursuant to the consummation of any Parent Legacy Transaction);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change or revoke any material Tax election, (B) file any amended income or other material Tax Return, (C) adopt or change any material accounting method in respect of Taxes or Tax accounting period, (D) enter into any material Tax closing agreement or settle or compromise any material Tax claim or assessment, (E) consent to any extension or waiver of the limitation period applicable to or relating to any material Tax claim or assessment, (F) surrender any material claim for refund, or (G) initiate or enter into any voluntary disclosure or similar agreement with, or request any ruling from, or otherwise voluntarily disclose information to, any Governmental Authority with respect to any material Taxes;</w:t>
      </w:r>
    </w:p>
    <w:p>
      <w:pPr>
        <w:spacing w:after="0" w:line="79"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Parent or any of its Subsidiaries, other than waivers, settlements or agreements (A) for an amount not in excess of $1,000,000 in the aggregate (excluding amounts to be paid under existing insurance policies or renewals thereof); (B) that do not impose any material restrictions on the operations or businesses of Parent or its Subsidiaries, taken as a whole, or any equitable relief on, or the admission of wrongdoing by Parent or any of its Subsidiaries; and (C) that do not cause the Parent Net Cash at Closing to drop below $0;</w:t>
      </w:r>
    </w:p>
    <w:p>
      <w:pPr>
        <w:spacing w:after="0" w:line="75"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in any material respect, or fail to exercise renewal rights with respect to, any material insurance policy;</w:t>
      </w:r>
    </w:p>
    <w:p>
      <w:pPr>
        <w:spacing w:after="0" w:line="117" w:lineRule="exact"/>
        <w:rPr>
          <w:rFonts w:ascii="Times New Roman" w:cs="Times New Roman" w:eastAsia="Times New Roman" w:hAnsi="Times New Roman"/>
          <w:sz w:val="18"/>
          <w:szCs w:val="18"/>
          <w:color w:val="auto"/>
        </w:rPr>
      </w:pPr>
    </w:p>
    <w:p>
      <w:pPr>
        <w:jc w:val="both"/>
        <w:ind w:left="440" w:right="600" w:firstLine="419"/>
        <w:spacing w:after="0" w:line="266" w:lineRule="auto"/>
        <w:tabs>
          <w:tab w:leader="none" w:pos="1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w:t>
      </w:r>
    </w:p>
    <w:p>
      <w:pPr>
        <w:spacing w:after="0" w:line="6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in a manner adverse to Parent or terminate any Parent Material Contract outside of the Ordinary Course of Business;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680" w:hanging="244"/>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(including the foregoing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may:</w:t>
      </w:r>
    </w:p>
    <w:p>
      <w:pPr>
        <w:spacing w:after="0" w:line="117"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07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the sale, license, transfer, disposition, divestiture or other monetization transaction (i.e., a royalty transaction) in a transaction that is either an as-is, where-as sale or disposition or where the buyer’s recourse against Parent is solely limited to escrowed funds or a purchase price holdback mechanism such that Parent does not have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post-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7" w:name="page78"/>
    <w:bookmarkEnd w:id="77"/>
    <w:p>
      <w:pPr>
        <w:ind w:left="44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exposure for claims arising from such disposition or winding down of the Parent Legacy Business (including terminating its Parent Real Estate Leases and other Parent Contracts) (each, a “</w:t>
      </w:r>
      <w:r>
        <w:rPr>
          <w:rFonts w:ascii="Times New Roman" w:cs="Times New Roman" w:eastAsia="Times New Roman" w:hAnsi="Times New Roman"/>
          <w:sz w:val="18"/>
          <w:szCs w:val="18"/>
          <w:b w:val="1"/>
          <w:bCs w:val="1"/>
          <w:color w:val="auto"/>
        </w:rPr>
        <w:t>Parent Legacy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any Parent Legacy Transaction results in obligations of Parent that are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that will extend beyond Closing (other than the right of Parent to receive proceeds as a result of such Parent Legacy Transaction), such terms shall be reasonably acceptable to the Company and any such post-Closing obligations (if approved by the Company) shall be a reduction to Parent Net Cash; and</w:t>
      </w:r>
    </w:p>
    <w:p>
      <w:pPr>
        <w:spacing w:after="0" w:line="75" w:lineRule="exact"/>
        <w:rPr>
          <w:sz w:val="20"/>
          <w:szCs w:val="20"/>
          <w:color w:val="auto"/>
        </w:rPr>
      </w:pPr>
    </w:p>
    <w:p>
      <w:pPr>
        <w:ind w:left="444" w:firstLine="419"/>
        <w:spacing w:after="0" w:line="258" w:lineRule="auto"/>
        <w:tabs>
          <w:tab w:leader="none" w:pos="11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shares of Parent Common Stock outstanding prior to the Effective Time (excluding for the avoidance of doubt any shares of Parent Common Stock issuable pursuant to the Contemplated Transactions) up to an amount, to be determined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equal to the aggregate of Parent’s reasonable, good faith approximation of the amount by which Parent Net Cash will exceed $0 (excluding the proceeds of any Parent Legacy Transaction to the extent contingent or to be received following the Effective Time) (such dividend, the “</w:t>
      </w:r>
      <w:r>
        <w:rPr>
          <w:rFonts w:ascii="Times New Roman" w:cs="Times New Roman" w:eastAsia="Times New Roman" w:hAnsi="Times New Roman"/>
          <w:sz w:val="18"/>
          <w:szCs w:val="18"/>
          <w:b w:val="1"/>
          <w:bCs w:val="1"/>
          <w:color w:val="auto"/>
        </w:rPr>
        <w:t>Parent Pre-Closing Dividend</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Parent Pre-Closing Dividend Amount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Operation of the Company’s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 as expressly contemplated or permitted by this Agreement or the Subscription Agreement, (ii) as set forth in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of the Company Disclosure Letter, (iii) as required by applicable Law, (iv) with respect to the Series A Financing, which is expressly permitted, or (v) unless Parent shall otherwise consent in writing (which consent shall not be unreasonably withheld, delayed or conditioned), during the Pre-Closing Period the Company shall, and shall cause its Subsidiaries to, use commercially reasonable efforts to (x) conduct its business and operations in the Ordinary Course of Business and in material compliance with all applicable Law and the requirements of all Contracts that constitute Company Material Contracts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pay material outstanding accounts payable and other material current Liabilities (including payroll) when due and payable.</w:t>
      </w:r>
    </w:p>
    <w:p>
      <w:pPr>
        <w:spacing w:after="0" w:line="206"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or the Subscription Agreement, (ii) as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Company Disclosure Letter, (iii) as required by applicable Law, (iv) in connection with the Series A Financing, which is expressly permitted, or actions taken in the Ordinary Course of Business, or (v) with the prior written consent of Parent (which consent shall not be unreasonably withheld, delayed or conditioned), at all times during the Pre-Closing Period, the Company shall not, nor shall it cause or permit any of its Subsidiaries to, do any of the following:</w:t>
      </w:r>
    </w:p>
    <w:p>
      <w:pPr>
        <w:spacing w:after="0" w:line="75" w:lineRule="exact"/>
        <w:rPr>
          <w:rFonts w:ascii="Times New Roman" w:cs="Times New Roman" w:eastAsia="Times New Roman" w:hAnsi="Times New Roman"/>
          <w:sz w:val="18"/>
          <w:szCs w:val="18"/>
          <w:color w:val="auto"/>
        </w:rPr>
      </w:pPr>
    </w:p>
    <w:p>
      <w:pPr>
        <w:ind w:left="444" w:right="240" w:firstLine="419"/>
        <w:spacing w:after="0" w:line="266" w:lineRule="auto"/>
        <w:tabs>
          <w:tab w:leader="none" w:pos="108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spacing w:after="0" w:line="6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3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58" w:lineRule="auto"/>
        <w:tabs>
          <w:tab w:leader="none" w:pos="118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actions with respect to more than 25% of the shares of Company Capital Stock outstanding as of the date of this Agreement: (A) any capital stock or other security of the Company or any of its Subsidiaries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or any of its Subsidiaries;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8" w:name="page79"/>
    <w:bookmarkEnd w:id="78"/>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any equity interest or other interest in any other Entity or enter into a joint venture with any other Entity;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or (C) guarantee any debt securities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w:t>
      </w:r>
    </w:p>
    <w:p>
      <w:pPr>
        <w:spacing w:after="0" w:line="98"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irrevocably dispose of any of its assets or properties, or grant any Encumbrance with respect to such assets or properties;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allow to lapse, license, sublicense or otherwise dispose of any material Company IP Rights (other than pursuant to non-exclusive licenses);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2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in a manner adverse to the Company or terminate any Company Material Contract, including the License Agreement;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71" w:lineRule="auto"/>
        <w:tabs>
          <w:tab w:leader="none" w:pos="68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9" w:name="page80"/>
    <w:bookmarkEnd w:id="79"/>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80" w:lineRule="exact"/>
        <w:rPr>
          <w:sz w:val="20"/>
          <w:szCs w:val="20"/>
          <w:color w:val="auto"/>
        </w:rPr>
      </w:pPr>
    </w:p>
    <w:p>
      <w:pPr>
        <w:ind w:left="4" w:firstLine="436"/>
        <w:spacing w:after="0" w:line="255" w:lineRule="auto"/>
        <w:tabs>
          <w:tab w:leader="none" w:pos="6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 access or examination contemplated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6" w:lineRule="auto"/>
        <w:tabs>
          <w:tab w:leader="none" w:pos="68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Company or Parent)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(x) any public disclosures made in compliance with </w:t>
      </w:r>
      <w:r>
        <w:rPr>
          <w:rFonts w:ascii="Times New Roman" w:cs="Times New Roman" w:eastAsia="Times New Roman" w:hAnsi="Times New Roman"/>
          <w:sz w:val="17"/>
          <w:szCs w:val="17"/>
          <w:u w:val="single" w:color="auto"/>
          <w:color w:val="auto"/>
        </w:rPr>
        <w:t>Section 6.3(e)</w:t>
      </w:r>
      <w:r>
        <w:rPr>
          <w:rFonts w:ascii="Times New Roman" w:cs="Times New Roman" w:eastAsia="Times New Roman" w:hAnsi="Times New Roman"/>
          <w:sz w:val="17"/>
          <w:szCs w:val="17"/>
          <w:color w:val="auto"/>
        </w:rPr>
        <w:t xml:space="preserve"> shall not constitute a violation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(y) notwithstanding anything contained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subject to compliance with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prior to the approval of the Parent Stockholder Matters by the Required Parent Stockholder Vote,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Parent’s financial advisors and outside legal counsel, constitutes, or is reasonably likely to result in, a Superior Offer (and is not withdrawn) if:</w:t>
      </w:r>
    </w:p>
    <w:p>
      <w:pPr>
        <w:spacing w:after="0" w:line="9" w:lineRule="exact"/>
        <w:rPr>
          <w:rFonts w:ascii="Times New Roman" w:cs="Times New Roman" w:eastAsia="Times New Roman" w:hAnsi="Times New Roman"/>
          <w:sz w:val="17"/>
          <w:szCs w:val="17"/>
          <w:color w:val="auto"/>
        </w:rPr>
      </w:pPr>
    </w:p>
    <w:p>
      <w:pPr>
        <w:ind w:left="4" w:right="20" w:hanging="4"/>
        <w:spacing w:after="0" w:line="251" w:lineRule="auto"/>
        <w:tabs>
          <w:tab w:leader="none" w:pos="29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Proposal was not obtained or made as a result of a breach of this Section 5.4(a) in any material respect, (B) the Parent Board concludes in good faith based on the advice of outside legal counsel, that the failure to take such action would reasonably be expected to be inconsistent with the Parent Board’s fiduciary duties under applicable Law, (C) at least forty-eight (48) hours prior to initially furnishing any such nonpublic information to, or entering into discussions with, such Person, Parent gives the Company written notice of the identity of such Person (unless such disclosure is prohibited pursuant to the terms of any confidentiality agreement with such Person or group that is in effect on the date of this Agreement), and of Parent’s intention to furnish nonpublic information to, or enter into discussions with, such Person, (D) Parent receives from such Person an executed Acceptable Confidentiality Agreement, and (E) at least two Business Days prior to furnishing any such nonpublic information to such Person, Parent furnishes such nonpublic information to the Company (to the extent such information has not been previously furnished by Parent to the Company). Notwithstanding anything to the contrary set forth in this Agreement, Parent and its</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70" w:right="479" w:bottom="1440" w:gutter="0" w:footer="0" w:header="0"/>
        </w:sectPr>
      </w:pPr>
    </w:p>
    <w:bookmarkStart w:id="80" w:name="page81"/>
    <w:bookmarkEnd w:id="80"/>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Representatives (without the Parent Board having to make the determination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may, in any event, contact any Person to (x) seek to clarify and understand the terms and conditions of any Acquisition Proposal made by such Person solely to determine whether such Acquisition Proposal constitutes, or is reasonably likely to result in, a Superior Offer and (y) inform such Person that has made or, to the knowledge of Parent is considering making an Acquisition Proposal, of the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For the avoidance of doubt, the proviso in the preceding sentence shall not apply to the Company, and the Company shall not, and shall not permit any of its Subsidiaries or Representatives to, furnish any nonpublic information to, or enter into any discussions or negotiations with, any Person in connection with or in response to any Acquisition Proposal or Acquisition Inquiry.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such Party,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such Party for purposes of this Agreement.</w:t>
      </w:r>
    </w:p>
    <w:p>
      <w:pPr>
        <w:spacing w:after="0" w:line="188" w:lineRule="exact"/>
        <w:rPr>
          <w:sz w:val="20"/>
          <w:szCs w:val="20"/>
          <w:color w:val="auto"/>
        </w:rPr>
      </w:pPr>
    </w:p>
    <w:p>
      <w:pPr>
        <w:ind w:left="4" w:right="40" w:firstLine="436"/>
        <w:spacing w:after="0" w:line="277" w:lineRule="auto"/>
        <w:tabs>
          <w:tab w:leader="none" w:pos="69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67" w:lineRule="exact"/>
        <w:rPr>
          <w:rFonts w:ascii="Times New Roman" w:cs="Times New Roman" w:eastAsia="Times New Roman" w:hAnsi="Times New Roman"/>
          <w:sz w:val="17"/>
          <w:szCs w:val="17"/>
          <w:color w:val="auto"/>
        </w:rPr>
      </w:pPr>
    </w:p>
    <w:p>
      <w:pPr>
        <w:ind w:left="4" w:firstLine="436"/>
        <w:spacing w:after="0" w:line="266" w:lineRule="auto"/>
        <w:tabs>
          <w:tab w:leader="none" w:pos="6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24 hours following the execution and delivery of this Agreement.</w:t>
      </w:r>
    </w:p>
    <w:p>
      <w:pPr>
        <w:spacing w:after="0" w:line="17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has been satisfied. Any failure by either Party to provide notice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to be a breach for purposes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as applicable, unless such failure to provide such notice was knowing and intentional.</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Parent Legacy Transaction</w:t>
      </w:r>
      <w:r>
        <w:rPr>
          <w:rFonts w:ascii="Times New Roman" w:cs="Times New Roman" w:eastAsia="Times New Roman" w:hAnsi="Times New Roman"/>
          <w:sz w:val="18"/>
          <w:szCs w:val="18"/>
          <w:color w:val="auto"/>
        </w:rPr>
        <w:t>. Each Party acknowledges that Parent may, in contemplation of any Parent Legacy Transaction,</w:t>
      </w:r>
    </w:p>
    <w:p>
      <w:pPr>
        <w:spacing w:after="0" w:line="27" w:lineRule="exact"/>
        <w:rPr>
          <w:sz w:val="20"/>
          <w:szCs w:val="20"/>
          <w:color w:val="auto"/>
        </w:rPr>
      </w:pPr>
    </w:p>
    <w:p>
      <w:pPr>
        <w:ind w:left="4" w:right="40" w:hanging="4"/>
        <w:spacing w:after="0" w:line="253" w:lineRule="auto"/>
        <w:tabs>
          <w:tab w:leader="none" w:pos="2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one or more Subsidiaries to hold assets relating to the Parent Legacy Business, (b) transfer to any such Subsidiary any or all of such assets and the liabilities and obligations related thereto and (c) take such other steps that are reasonably necessary to prepare for any Parent Legacy Transaction. For clarity, if Parent transfers any assets relating to the Parent Legacy Business to one or more Subsidiaries, the terms of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apply to such Subsidiaries in addition to Parent. Each Party further acknowledges that Parent may not be successful in completing, or may determine not to proceed with, any Parent Legacy Transaction.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1" w:name="page82"/>
    <w:bookmarkEnd w:id="81"/>
    <w:p>
      <w:pPr>
        <w:jc w:val="center"/>
        <w:ind w:right="-3"/>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ADDITIONAL AGREEMENTS OF THE PARTIES</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Registration Statement,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2" w:lineRule="auto"/>
        <w:tabs>
          <w:tab w:leader="none" w:pos="68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date of this Agreement (but subject to the Company’s timely delivery of the Company Required S-4 Information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Parent, in cooperation with the Company,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a proxy statement relating to the Parent Stockholder Meeting to be held in connection with the Merger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shall be included as a part (the Proxy Statement and the Form S-4,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in connection with the registration under the Securities Act of the shares of Parent Common Stock (including any Parent Common Stock issuable upon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Registration Statement no later than 30 Business Days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30 Business Day period shall be extended on a day-for-day basis to the extent the Company has failed to provide the Company Required S-4 Information reasonably required to be provided by or on behalf of the Company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any other information reasonably requested by Parent for inclusion in the Registration Statement at least 10 days prior to the end of such 30 Business Day period.</w:t>
      </w:r>
    </w:p>
    <w:p>
      <w:pPr>
        <w:spacing w:after="0" w:line="190" w:lineRule="exact"/>
        <w:rPr>
          <w:rFonts w:ascii="Times New Roman" w:cs="Times New Roman" w:eastAsia="Times New Roman" w:hAnsi="Times New Roman"/>
          <w:sz w:val="18"/>
          <w:szCs w:val="18"/>
          <w:color w:val="auto"/>
        </w:rPr>
      </w:pPr>
    </w:p>
    <w:p>
      <w:pPr>
        <w:ind w:left="4" w:right="460" w:firstLine="436"/>
        <w:spacing w:after="0" w:line="276" w:lineRule="auto"/>
        <w:tabs>
          <w:tab w:leader="none" w:pos="699"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covenants and agrees that the Registration Statement (and the letter to stockholders, notice of meeting and form of proxy included therewith) (i) will comply as to form in all material respects with the requirements of applicable U.S. federal securities laws and the DGCL, and</w:t>
      </w:r>
    </w:p>
    <w:p>
      <w:pPr>
        <w:ind w:left="4" w:hanging="4"/>
        <w:spacing w:after="0" w:line="251"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5" w:right="459" w:bottom="1440" w:gutter="0" w:footer="0" w:header="0"/>
        </w:sectPr>
      </w:pPr>
    </w:p>
    <w:bookmarkStart w:id="82" w:name="page83"/>
    <w:bookmarkEnd w:id="82"/>
    <w:p>
      <w:pPr>
        <w:ind w:right="20" w:firstLine="436"/>
        <w:spacing w:after="0" w:line="252" w:lineRule="auto"/>
        <w:tabs>
          <w:tab w:leader="none" w:pos="6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use commercially reasonable efforts to cause the Proxy Statement to be mailed to Parent’s stockholders as promptly as practicable after the Registration Statement is declared effective under the Securities Act. If at any time before the Effective Time, (i) Parent,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9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reasonably cooperate with Parent and provide, and cause its Representatives to provide, at the Company’s sole expense, Parent and its Representatives, with all true, correct and complete information regarding the Company that is required by Law to be included in the Registration Statement or reasonably requested by Parent to be included in the Registration Statement (including financial statements, management representation letters, accountants’ consent letters, and such other information or documents as may be required for inclusion in or in connection with the Registration Statement or any other filings with the SEC) (collectively, the “</w:t>
      </w:r>
      <w:r>
        <w:rPr>
          <w:rFonts w:ascii="Times New Roman" w:cs="Times New Roman" w:eastAsia="Times New Roman" w:hAnsi="Times New Roman"/>
          <w:sz w:val="18"/>
          <w:szCs w:val="18"/>
          <w:b w:val="1"/>
          <w:bCs w:val="1"/>
          <w:color w:val="auto"/>
        </w:rPr>
        <w:t>Company Required S-4 Information</w:t>
      </w:r>
      <w:r>
        <w:rPr>
          <w:rFonts w:ascii="Times New Roman" w:cs="Times New Roman" w:eastAsia="Times New Roman" w:hAnsi="Times New Roman"/>
          <w:sz w:val="18"/>
          <w:szCs w:val="18"/>
          <w:color w:val="auto"/>
        </w:rPr>
        <w:t xml:space="preserve">”) in connection with (i) Parent’s preparation of the Registration Statement, any amendments or supplements thereto, and any other filings with the SEC required in connection with the Contemplated Transactions, (ii) the preparation of any pro forma or other financial information required to be included in the Registration Statement or any such filing, and (iii) Parent’s efforts to cause the Registration Statement to comply with applicable Law and the rules and regulations of the SEC. Without limiting the foregoing, the Company will use commercially reasonable efforts to cause to be delivered to Parent a consent letter of the Company’s independent accounting firm, dated no later than one Business Day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3" w:name="page84"/>
    <w:bookmarkEnd w:id="83"/>
    <w:p>
      <w:pPr>
        <w:ind w:left="4" w:right="80" w:firstLine="436"/>
        <w:spacing w:after="0" w:line="258" w:lineRule="auto"/>
        <w:tabs>
          <w:tab w:leader="none" w:pos="6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Pre-Closing Period, in the event the SEC has comments, questions or requests relating to any information supplied by or on behalf of the Company for inclusion in the Registration Statement, or any other Company information contained or referenced therein, the Company shall use commercially reasonable efforts to reasonably assist and cooperate, and to cause its independent accountants (if any) and other Representatives to assist and cooperate, with Parent and the SEC to resolve any such comments, questions or requests, and to take such commercially reasonable actions with respect to any such information as are necessary for Parent to satisfy its filing and disclosure obligations under applicable Law.</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Parent shall not be deemed to be in breach of any of its obligations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(including its obligations with respect to the filing, effectiveness or mailing of the Registration Statement or Proxy Statement) to the extent that any delay or failure to satisfy such obligations is caused by or results from (i) the Company’s failure to timely provide the Company Required S-4 Information or any other information required by applicable Law or reasonably requested by Parent for inclusion in or in connection with the Registration Statement or Proxy Statement, (ii) the Company’s failure, or the failure of the Company’s independent accountants (if any) or other Representatives, to timely respond to or cooperate with Parent or the SEC with respect to comments, questions or requests relating to information supplied by or on behalf of the Company, or (iii) the Company’s failure to otherwise cooperate with Parent as required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For the avoidance of doubt, any such delay or failure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not give rise to a right of termination by the Company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shall not constitute a failure by Parent to satisfy any condition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consummation of the Series A Financing or any sale of Company Capital Stock issued pursuant to this</w:t>
      </w:r>
    </w:p>
    <w:p>
      <w:pPr>
        <w:spacing w:after="0" w:line="27" w:lineRule="exact"/>
        <w:rPr>
          <w:rFonts w:ascii="Times New Roman" w:cs="Times New Roman" w:eastAsia="Times New Roman" w:hAnsi="Times New Roman"/>
          <w:sz w:val="18"/>
          <w:szCs w:val="18"/>
          <w:color w:val="auto"/>
        </w:rPr>
      </w:pPr>
    </w:p>
    <w:p>
      <w:pPr>
        <w:ind w:left="4"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Agreement following the date of this Agreement, the Company shall obtain and deliver to Parent executed copies of the Company Stockholder Support Agreements from such Company stockholders collectively constituting the Required Company Stockholder Vote as of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obligated to obtain and deliver to Parent executed copies of Company Stockholder Support Agreements from Company stockholders that previously executed and provided to Parent a copy of the Company Stockholder Support Agreement. Promptly after the Registration Statement has been declared effective under the Securities Act, and in any event no later than two Business Days thereafter, the Company shall obtain the approval by written consent from Company stockholders sufficient for the Required Company Stockholder Vote in lieu of a meeting pursuant to Section 228 of the DGCL, in substantially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w:t>
      </w:r>
    </w:p>
    <w:p>
      <w:pPr>
        <w:spacing w:after="0" w:line="1" w:lineRule="exact"/>
        <w:rPr>
          <w:rFonts w:ascii="Times New Roman" w:cs="Times New Roman" w:eastAsia="Times New Roman" w:hAnsi="Times New Roman"/>
          <w:sz w:val="18"/>
          <w:szCs w:val="18"/>
          <w:color w:val="auto"/>
        </w:rPr>
      </w:pPr>
    </w:p>
    <w:p>
      <w:pPr>
        <w:ind w:left="4" w:right="80" w:hanging="4"/>
        <w:spacing w:after="0" w:line="253"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8"/>
          <w:szCs w:val="18"/>
          <w:b w:val="1"/>
          <w:bCs w:val="1"/>
          <w:color w:val="auto"/>
        </w:rPr>
        <w:t>Company Stockholder Written Consents</w:t>
      </w:r>
      <w:r>
        <w:rPr>
          <w:rFonts w:ascii="Times New Roman" w:cs="Times New Roman" w:eastAsia="Times New Roman" w:hAnsi="Times New Roman"/>
          <w:sz w:val="18"/>
          <w:szCs w:val="18"/>
          <w:color w:val="auto"/>
        </w:rPr>
        <w:t>”). Under no circumstances shall the Company assert that any other approval or consent is necessary by its stockholders to approve this Agreement and the Contemplated Transactions.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receipt of the Required Company Stockholder Vote, the Company shall prepare and mail a notice (the</w:t>
      </w:r>
    </w:p>
    <w:p>
      <w:pPr>
        <w:spacing w:after="0" w:line="27"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Notice</w:t>
      </w:r>
      <w:r>
        <w:rPr>
          <w:rFonts w:ascii="Times New Roman" w:cs="Times New Roman" w:eastAsia="Times New Roman" w:hAnsi="Times New Roman"/>
          <w:sz w:val="18"/>
          <w:szCs w:val="18"/>
          <w:color w:val="auto"/>
        </w:rPr>
        <w:t>”)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4" w:name="page85"/>
    <w:bookmarkEnd w:id="8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w:t>
      </w:r>
    </w:p>
    <w:p>
      <w:pPr>
        <w:spacing w:after="0" w:line="180" w:lineRule="exact"/>
        <w:rPr>
          <w:sz w:val="20"/>
          <w:szCs w:val="20"/>
          <w:color w:val="auto"/>
        </w:rPr>
      </w:pPr>
    </w:p>
    <w:p>
      <w:pPr>
        <w:ind w:right="60" w:firstLine="436"/>
        <w:spacing w:after="0" w:line="254"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 the Company Board shall recommend that the Company’s stockholders vote to adopt and approve this Agreement and the Contemplated Transactions and shall use reasonable best efforts to solicit such approval within the time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and (iii) the Company Board shall not make any “Company Board Adverse Recommendation Change” (i.e., any withholding, amendment, withdrawal or modification of the Company Board Recommendation in a manner adverse to Parent).</w:t>
      </w:r>
    </w:p>
    <w:p>
      <w:pPr>
        <w:spacing w:after="0" w:line="188"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be limited, conditioned, delayed or otherwise affected by any event, circumstance, development, change, occurrence or other matter whatsoever.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all action necessary under applicable Law to call, give notice of and hold a meeting of the holders of Parent Common Stock to consider and vote to approve (I)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Increase in Authorized Shares</w:t>
      </w:r>
      <w:r>
        <w:rPr>
          <w:rFonts w:ascii="Times New Roman" w:cs="Times New Roman" w:eastAsia="Times New Roman" w:hAnsi="Times New Roman"/>
          <w:sz w:val="18"/>
          <w:szCs w:val="18"/>
          <w:color w:val="auto"/>
        </w:rPr>
        <w:t>) of the definition of “Parent Charter Amendment” (collectively,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color w:val="auto"/>
        </w:rPr>
        <w:t>Parent Stockholder Meeting</w:t>
      </w:r>
      <w:r>
        <w:rPr>
          <w:rFonts w:ascii="Times New Roman" w:cs="Times New Roman" w:eastAsia="Times New Roman" w:hAnsi="Times New Roman"/>
          <w:sz w:val="18"/>
          <w:szCs w:val="18"/>
          <w:color w:val="auto"/>
        </w:rPr>
        <w:t>”). The Parent Stockholder Meeting shall be held as promptly as practicable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the Registration Statement is declared effective under the Securities Act, and in any event, no later than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(iii) that the failure to postpone or adjourn the Parent Stockholder Meeting would reasonably be expected to be inconsistent with its fiduciary obligations under applicable Law, (iv) a post-effective amendment to the Registration Statement has been filed with the SEC and has not yet been declared effective, or (v) the Nasdaq Listing Application has not yet received at least conditional approval from Nasdaq,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5" w:name="page86"/>
    <w:bookmarkEnd w:id="85"/>
    <w:p>
      <w:pPr>
        <w:ind w:left="4" w:right="180" w:firstLine="436"/>
        <w:spacing w:after="0" w:line="261"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above and (ii) the Proxy Statement shall include a statement to the effect that the Parent Board recommends that Parent’s stockholders vote to approve the Parent Stockholder Matters (the recommendation of the Parent Board being referred to as the “</w:t>
      </w:r>
      <w:r>
        <w:rPr>
          <w:rFonts w:ascii="Times New Roman" w:cs="Times New Roman" w:eastAsia="Times New Roman" w:hAnsi="Times New Roman"/>
          <w:sz w:val="18"/>
          <w:szCs w:val="18"/>
          <w:b w:val="1"/>
          <w:bCs w:val="1"/>
          <w:color w:val="auto"/>
        </w:rPr>
        <w:t>Parent Board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20" w:firstLine="436"/>
        <w:spacing w:after="0" w:line="267" w:lineRule="auto"/>
        <w:tabs>
          <w:tab w:leader="none" w:pos="68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and subject to compliance with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the Parent Board may withhold, amend, withdraw or modify the Parent Board Recommendation (or publicly propose to withhold, amend, withdraw or modify the Parent Board Recommendation) in a manner adverse to the Company (a “</w:t>
      </w:r>
      <w:r>
        <w:rPr>
          <w:rFonts w:ascii="Times New Roman" w:cs="Times New Roman" w:eastAsia="Times New Roman" w:hAnsi="Times New Roman"/>
          <w:sz w:val="17"/>
          <w:szCs w:val="17"/>
          <w:b w:val="1"/>
          <w:bCs w:val="1"/>
          <w:color w:val="auto"/>
        </w:rPr>
        <w:t>Parent Board Adverse Recommendation Change</w:t>
      </w:r>
      <w:r>
        <w:rPr>
          <w:rFonts w:ascii="Times New Roman" w:cs="Times New Roman" w:eastAsia="Times New Roman" w:hAnsi="Times New Roman"/>
          <w:sz w:val="17"/>
          <w:szCs w:val="17"/>
          <w:color w:val="auto"/>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cs="Times New Roman" w:eastAsia="Times New Roman" w:hAnsi="Times New Roman"/>
          <w:sz w:val="17"/>
          <w:szCs w:val="17"/>
          <w:b w:val="1"/>
          <w:bCs w:val="1"/>
          <w:color w:val="auto"/>
        </w:rPr>
        <w:t>Parent Intervening Event</w:t>
      </w:r>
      <w:r>
        <w:rPr>
          <w:rFonts w:ascii="Times New Roman" w:cs="Times New Roman" w:eastAsia="Times New Roman" w:hAnsi="Times New Roman"/>
          <w:sz w:val="17"/>
          <w:szCs w:val="17"/>
          <w:color w:val="auto"/>
        </w:rPr>
        <w:t>”), if, but only if,</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Company receives written notice from Parent confirming that the Parent Board has determined to change its recommendation at least four Business Days in advance of the Parent Board Adverse Recommendation Change (the “</w:t>
      </w:r>
      <w:r>
        <w:rPr>
          <w:rFonts w:ascii="Times New Roman" w:cs="Times New Roman" w:eastAsia="Times New Roman" w:hAnsi="Times New Roman"/>
          <w:sz w:val="18"/>
          <w:szCs w:val="18"/>
          <w:b w:val="1"/>
          <w:bCs w:val="1"/>
          <w:color w:val="auto"/>
        </w:rPr>
        <w:t>Parent Notice Period</w:t>
      </w:r>
      <w:r>
        <w:rPr>
          <w:rFonts w:ascii="Times New Roman" w:cs="Times New Roman" w:eastAsia="Times New Roman" w:hAnsi="Times New Roman"/>
          <w:sz w:val="18"/>
          <w:szCs w:val="18"/>
          <w:color w:val="auto"/>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stockholders would receive as a result of such potential Superior Offer), Parent shall be required to provide the Company with notice of such material amendment and the Parent Notice Period shall be extended, if applicable, to ensure that at least three Business Days remain in the Parent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the Parent Board shall not make a Parent Board Adverse Recommendation Change prior to the end of such Parent Notice Period as so extended (it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86" w:name="page87"/>
    <w:bookmarkEnd w:id="86"/>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spacing w:after="0" w:line="180" w:lineRule="exact"/>
        <w:rPr>
          <w:sz w:val="20"/>
          <w:szCs w:val="20"/>
          <w:color w:val="auto"/>
        </w:rPr>
      </w:pPr>
    </w:p>
    <w:p>
      <w:pPr>
        <w:ind w:right="100" w:firstLine="436"/>
        <w:spacing w:after="0" w:line="26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Parent’s obligation to call, give notice of and hold the Parent Stockholder Meeting in accordance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Acquisition Proposal or Acquisition Inquiry, or by any Parent Board Adverse Recommendation Change.</w:t>
      </w:r>
    </w:p>
    <w:p>
      <w:pPr>
        <w:spacing w:after="0" w:line="175"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Parent or the Parent Board from (i) complying with Rules 14d-9 and 14e-2(a)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(iv) making any disclosure that the Parent Board (or a committee thereof), after consultation with its outside legal counsel, has determined in good faith is required by applicable Law or by any listing or trading rules or regulations of Nasdaq;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(iv), Parent shall provide the Company with a reasonable opportunity to review any such disclosure not less than two Business Days prior to the making thereof (to the extent practicable) and shall consider in good faith any comments from the Company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Efforts; 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obtain all regulatory approvals required by applicable Law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each Party shall use reasonable best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if required, the Parties shall prepare and file the notification and report forms required to be filed under the HSR Act and any notification or other document required to be filed in connection with the Merger under any applicable foreign Law relating to antitrust or competition matters (promptly, but in no event later than 10 Business Days, after the date of this Agreement). The Parties shall request early termination of the waiting period under the HSR Act and shall use reasonable best efforts to obtain any necessary approvals under applicable antitrust Laws. Notwithstanding anything to the contrary in this Agreement, the Company shall take, and shall cause its Affiliates to take, any and all reasonable best steps necessary to avoid or eliminate each and every impediment that may be asserted under the HSR Act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7" w:name="page88"/>
    <w:bookmarkEnd w:id="87"/>
    <w:p>
      <w:pPr>
        <w:ind w:left="4" w:right="3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antitrust or competition Laws so as to enable the Parties to consummate the Contemplated Transactions as promptly as practicable. In furtherance of the foregoing, the Company shall not, and shall cause its Affiliates not to, acquire or agree to acquire any business, Entity or assets if doing so would reasonably be expected to (i) impose any material delay in obtaining, or materially increase the risk of not obtaining, any consent, approval or clearance necessary to consummate the Contemplated Transactions under the HSR Act or any other antitrust or competition Laws, or</w:t>
      </w:r>
    </w:p>
    <w:p>
      <w:pPr>
        <w:spacing w:after="0" w:line="3" w:lineRule="exact"/>
        <w:rPr>
          <w:sz w:val="20"/>
          <w:szCs w:val="20"/>
          <w:color w:val="auto"/>
        </w:rPr>
      </w:pPr>
    </w:p>
    <w:p>
      <w:pPr>
        <w:ind w:left="4" w:right="300" w:hanging="4"/>
        <w:spacing w:after="0" w:line="255"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prevent or materially delay the consummation of the Contemplated Transactions. The Company and Parent shall bear equally all filing fees, costs and expenses incurred in connection with any filings or submissions made under the HSR Act and any other applicable antitrust or competition Laws.</w:t>
      </w:r>
    </w:p>
    <w:p>
      <w:pPr>
        <w:spacing w:after="0" w:line="185"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Parent shall keep the Company reasonably informed regarding any litigation against Parent and/or its directors relating to this Agreement or the Contemplated Transactions (“</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and shall promptly advise the Company of the initiation of, and keep the Company reasonably apprised of any material developments in connection with, any such Transaction Litigation. Prior to the Closing, Parent shall have the right to control the defense of any Transaction Litigation, but shall reasonably consult with the Company and consider in good faith any advice from the Company and its Representatives with respect to such Transaction Litigation. The Company shall promptly advise Parent of the initiation of, and keep Parent reasonably apprised of any material developments in connection with, any Legal Proceeding against the Company and/or its directors or officers relating to this Agreement or the Contemplated Transactions. Each Party shall cooperate with the other Party in the defense of any such Transaction Litigation, including by providing access to relevant documents and making its officers and other Representatives reasonably available. Neither Party shall settle, compromise or offer to settle any Transaction Litigation without the prior written consent of the other Party (such consent not to be unreasonably withheld, conditioned or delayed).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Company Options; Company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2" w:lineRule="auto"/>
        <w:tabs>
          <w:tab w:leader="none" w:pos="68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Parent shall assume each Company Stock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Parent Common Stock (an “</w:t>
      </w:r>
      <w:r>
        <w:rPr>
          <w:rFonts w:ascii="Times New Roman" w:cs="Times New Roman" w:eastAsia="Times New Roman" w:hAnsi="Times New Roman"/>
          <w:sz w:val="18"/>
          <w:szCs w:val="18"/>
          <w:b w:val="1"/>
          <w:bCs w:val="1"/>
          <w:color w:val="auto"/>
        </w:rPr>
        <w:t>Assumed Option</w:t>
      </w:r>
      <w:r>
        <w:rPr>
          <w:rFonts w:ascii="Times New Roman" w:cs="Times New Roman" w:eastAsia="Times New Roman" w:hAnsi="Times New Roman"/>
          <w:sz w:val="18"/>
          <w:szCs w:val="18"/>
          <w:color w:val="auto"/>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Parent Board or compensation committee). The number of shares of Parent Common Stock subject to each such Assumed Option shall be equal to (i) the number of shares of Company Common Stock subject to the respective Company Option immediately prior to the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divided by (B)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any Assumed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Effective Time, take all actions necessary to effect the foregoing.</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4"/>
          </w:cols>
          <w:pgMar w:left="436" w:top="270" w:right="479" w:bottom="1440" w:gutter="0" w:footer="0" w:header="0"/>
        </w:sectPr>
      </w:pPr>
    </w:p>
    <w:bookmarkStart w:id="88" w:name="page89"/>
    <w:bookmarkEnd w:id="88"/>
    <w:p>
      <w:pPr>
        <w:ind w:left="4" w:right="80" w:firstLine="436"/>
        <w:spacing w:after="0" w:line="267" w:lineRule="auto"/>
        <w:tabs>
          <w:tab w:leader="none" w:pos="699"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each Company Warrant (including any pre-funded Company Warrant issued pursuant to the Company Pre-Closing Financing), whether vested or unvested, that is outstanding immediately prior to the Effective Time shall, at the Effective Time, cease to represent a right to acquire shares of Company Capital Stock and shall be converted, at the Effective Time, into a warrant to purchase shares of Parent Common Stock (an “</w:t>
      </w:r>
      <w:r>
        <w:rPr>
          <w:rFonts w:ascii="Times New Roman" w:cs="Times New Roman" w:eastAsia="Times New Roman" w:hAnsi="Times New Roman"/>
          <w:sz w:val="17"/>
          <w:szCs w:val="17"/>
          <w:b w:val="1"/>
          <w:bCs w:val="1"/>
          <w:color w:val="auto"/>
        </w:rPr>
        <w:t>Assumed Warrant</w:t>
      </w:r>
      <w:r>
        <w:rPr>
          <w:rFonts w:ascii="Times New Roman" w:cs="Times New Roman" w:eastAsia="Times New Roman" w:hAnsi="Times New Roman"/>
          <w:sz w:val="17"/>
          <w:szCs w:val="17"/>
          <w:color w:val="auto"/>
        </w:rPr>
        <w:t>”), on the same terms and conditions (including any vesting provisions and any provisions providing for accelerated vesting upon certain events) as were applicable under such Assumed Warrant as of immediately prior to the Effective Time. The number of shares of Parent Common Stock subject to each such Assumed Warrant shall be equal to (i) the number of shares of the Company Common Stock subject to each Assumed Warrant immediately prior to the Effective Time (determined on an as-converted basis for any Company Warrant representing the right to acquire Company Preferred Stock)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w:t>
      </w:r>
    </w:p>
    <w:p>
      <w:pPr>
        <w:spacing w:after="0" w:line="3" w:lineRule="exact"/>
        <w:rPr>
          <w:rFonts w:ascii="Times New Roman" w:cs="Times New Roman" w:eastAsia="Times New Roman" w:hAnsi="Times New Roman"/>
          <w:sz w:val="17"/>
          <w:szCs w:val="17"/>
          <w:color w:val="auto"/>
        </w:rPr>
      </w:pPr>
    </w:p>
    <w:p>
      <w:pPr>
        <w:ind w:left="4" w:right="380" w:hanging="4"/>
        <w:spacing w:after="0" w:line="260" w:lineRule="auto"/>
        <w:tabs>
          <w:tab w:leader="none" w:pos="2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Company Common Stock otherwise purchasable pursuant to such Assumed Warrant immediately prior to the Effective Time divided by (B) the Exchange Ratio.</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8" w:lineRule="auto"/>
        <w:tabs>
          <w:tab w:leader="none" w:pos="6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comply with the terms of any Parent Employee Plan or employment, severance, retention, change of control, or similar agreement specified on </w:t>
      </w: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or contemplated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subject to the provisions of such plans or agreements, and the parties acknowledge and agree that the Merger shall constitute a “change in control” (or term of similar import) of Parent under each such Parent Employee Plan or agreement. The parties acknowledge and agree that the Merger shall not constitute a “change in control” (or term of similar import) under any Company Employee Plan.</w:t>
      </w:r>
    </w:p>
    <w:p>
      <w:pPr>
        <w:spacing w:after="0" w:line="183"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with respect to each benefit plan maintained by Parent or the Surviving Corporation that is an “employee welfare benefit plan” as defined in Section 3(1) of ERISA (each, a “</w:t>
      </w:r>
      <w:r>
        <w:rPr>
          <w:rFonts w:ascii="Times New Roman" w:cs="Times New Roman" w:eastAsia="Times New Roman" w:hAnsi="Times New Roman"/>
          <w:sz w:val="18"/>
          <w:szCs w:val="18"/>
          <w:b w:val="1"/>
          <w:bCs w:val="1"/>
          <w:color w:val="auto"/>
        </w:rPr>
        <w:t>Post-Closing Welfare Plan</w:t>
      </w:r>
      <w:r>
        <w:rPr>
          <w:rFonts w:ascii="Times New Roman" w:cs="Times New Roman" w:eastAsia="Times New Roman" w:hAnsi="Times New Roman"/>
          <w:sz w:val="18"/>
          <w:szCs w:val="18"/>
          <w:color w:val="auto"/>
        </w:rPr>
        <w:t xml:space="preserve">”) in which any current or former employee of Parent is or becomes eligible to participate (including under COBRA), Parent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Following the Effective Time, Parent shall use commercially reasonable efforts to maintain and keep active each Parent Employee Plan set forth 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Parent Disclosure Letter in accordance with the terms set forth 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Parent Disclosure Letter (the out-of-pocket expense to be incurred by Parent as a result of the continued maintenance of such Parent Employee Plans, if any, as mutually agreed by the Company and Parent in writing no less than three Business Days prior to the Closing Date, which is referred to herein as the “</w:t>
      </w:r>
      <w:r>
        <w:rPr>
          <w:rFonts w:ascii="Times New Roman" w:cs="Times New Roman" w:eastAsia="Times New Roman" w:hAnsi="Times New Roman"/>
          <w:sz w:val="18"/>
          <w:szCs w:val="18"/>
          <w:b w:val="1"/>
          <w:bCs w:val="1"/>
          <w:color w:val="auto"/>
        </w:rPr>
        <w:t>Post-Closing Welfare Plan Continuation Expense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9" w:name="page90"/>
    <w:bookmarkEnd w:id="89"/>
    <w:p>
      <w:pPr>
        <w:ind w:left="-20" w:right="20" w:firstLine="436"/>
        <w:spacing w:after="0" w:line="253" w:lineRule="auto"/>
        <w:tabs>
          <w:tab w:leader="none" w:pos="6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401(k) Plan</w:t>
      </w:r>
      <w:r>
        <w:rPr>
          <w:rFonts w:ascii="Times New Roman" w:cs="Times New Roman" w:eastAsia="Times New Roman" w:hAnsi="Times New Roman"/>
          <w:sz w:val="18"/>
          <w:szCs w:val="18"/>
          <w:color w:val="auto"/>
        </w:rPr>
        <w:t>. Unless directed otherwise by the Company in writing no less than three Business Days before the Closing Date, Parent shall have, at least one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cs="Times New Roman" w:eastAsia="Times New Roman" w:hAnsi="Times New Roman"/>
          <w:sz w:val="18"/>
          <w:szCs w:val="18"/>
          <w:b w:val="1"/>
          <w:bCs w:val="1"/>
          <w:color w:val="auto"/>
        </w:rPr>
        <w:t>401(k) Plans</w:t>
      </w:r>
      <w:r>
        <w:rPr>
          <w:rFonts w:ascii="Times New Roman" w:cs="Times New Roman" w:eastAsia="Times New Roman" w:hAnsi="Times New Roman"/>
          <w:sz w:val="18"/>
          <w:szCs w:val="18"/>
          <w:color w:val="auto"/>
        </w:rPr>
        <w:t>”)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day prior to the Closing Date. Parent shall provide the Company copies of all such corporate actions or documentation related to the same at least three Business Days before their adoption or approval for the Company’s reasonable review and comment.</w:t>
      </w:r>
    </w:p>
    <w:p>
      <w:pPr>
        <w:spacing w:after="0" w:line="194" w:lineRule="exact"/>
        <w:rPr>
          <w:rFonts w:ascii="Times New Roman" w:cs="Times New Roman" w:eastAsia="Times New Roman" w:hAnsi="Times New Roman"/>
          <w:sz w:val="18"/>
          <w:szCs w:val="18"/>
          <w:color w:val="auto"/>
        </w:rPr>
      </w:pPr>
    </w:p>
    <w:p>
      <w:pPr>
        <w:ind w:left="-20" w:right="220" w:firstLine="436"/>
        <w:spacing w:after="0" w:line="258" w:lineRule="auto"/>
        <w:tabs>
          <w:tab w:leader="none" w:pos="6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At the Effective Time, each Cancelled Parent Option that is then outstanding shall be cancelled for no consideration. At and following the Effective Time, each Continuing Parent Option shall remain outstanding and exercisable in accordance with its terms as in effect as of immediately prior to the Effective Time (taking into account any equitable adjustment made to each Continuing Parent Option to reflect the Parent Pre-Closing Dividend). Prior to the Closing, the Parent Board shall have adopted appropriate resolutions and taken all other actions reasonably necessary and appropriate to provide for the foregoing.</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ESPP</w:t>
      </w:r>
      <w:r>
        <w:rPr>
          <w:rFonts w:ascii="Times New Roman" w:cs="Times New Roman" w:eastAsia="Times New Roman" w:hAnsi="Times New Roman"/>
          <w:sz w:val="18"/>
          <w:szCs w:val="18"/>
          <w:color w:val="auto"/>
        </w:rPr>
        <w:t>. As soon as reasonably practicable following the date of this Agreement, the Parent Board shall adopt appropriate resolutions to provide that (i) no new offering periods under the Parent ESPP shall be commenced following or in addition to the offering periods underway as of the date of this Agreement (the “</w:t>
      </w:r>
      <w:r>
        <w:rPr>
          <w:rFonts w:ascii="Times New Roman" w:cs="Times New Roman" w:eastAsia="Times New Roman" w:hAnsi="Times New Roman"/>
          <w:sz w:val="18"/>
          <w:szCs w:val="18"/>
          <w:b w:val="1"/>
          <w:bCs w:val="1"/>
          <w:color w:val="auto"/>
        </w:rPr>
        <w:t>Current Offering Periods</w:t>
      </w:r>
      <w:r>
        <w:rPr>
          <w:rFonts w:ascii="Times New Roman" w:cs="Times New Roman" w:eastAsia="Times New Roman" w:hAnsi="Times New Roman"/>
          <w:sz w:val="18"/>
          <w:szCs w:val="18"/>
          <w:color w:val="auto"/>
        </w:rPr>
        <w:t>”), (ii) no payroll deductions or other contributions shall be made or effected after the completion of the Current Offering Periods with respect to the Parent ESPP, (iii) no individual who is not participating in the Parent ESPP as of the date of this Agreement may commence participation therein, (iv) no participant may increase his or her rate of payroll contributions under the Parent ESPP from the rate in effect as of the date of this Agreement, and (iv) if any Current Offering Period would otherwise still be in effect at the Effective Time, then the last day (and purchase date) of such Current Offering Period shall be accelerated to a date determined by the Parent Board that is prior to the Closing Date.</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73" w:lineRule="auto"/>
        <w:tabs>
          <w:tab w:leader="none" w:pos="66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Parent or the Company, respectively (the “</w:t>
      </w:r>
      <w:r>
        <w:rPr>
          <w:rFonts w:ascii="Times New Roman" w:cs="Times New Roman" w:eastAsia="Times New Roman" w:hAnsi="Times New Roman"/>
          <w:sz w:val="17"/>
          <w:szCs w:val="17"/>
          <w:b w:val="1"/>
          <w:bCs w:val="1"/>
          <w:color w:val="auto"/>
        </w:rPr>
        <w:t>D&amp;O Indemnified Parties</w:t>
      </w:r>
      <w:r>
        <w:rPr>
          <w:rFonts w:ascii="Times New Roman" w:cs="Times New Roman" w:eastAsia="Times New Roman" w:hAnsi="Times New Roman"/>
          <w:sz w:val="17"/>
          <w:szCs w:val="17"/>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7"/>
          <w:szCs w:val="17"/>
          <w:b w:val="1"/>
          <w:bCs w:val="1"/>
          <w:color w:val="auto"/>
        </w:rPr>
        <w:t>Costs</w:t>
      </w:r>
      <w:r>
        <w:rPr>
          <w:rFonts w:ascii="Times New Roman" w:cs="Times New Roman" w:eastAsia="Times New Roman" w:hAnsi="Times New Roman"/>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Parent or of the Company (including in connection with this Agreement, any of the Contemplated Transactions or Parent’s initial public offering of shares of Parent Common Stock), whether asserted or claimed prior to, at or after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60" w:top="270" w:right="479" w:bottom="1440" w:gutter="0" w:footer="0" w:header="0"/>
        </w:sectPr>
      </w:pPr>
    </w:p>
    <w:bookmarkStart w:id="90" w:name="page91"/>
    <w:bookmarkEnd w:id="90"/>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Effective Time, in each case, to the fullest extent permitted under the DGCL. Each D&amp;O Indemnified Party will be entitled to advancement of expenses incurred in the defense of any such claim, action, suit, proceeding or investigation (in advance of the final disposition thereof) from each of Parent and the Surviving Corporation, jointly and severally, upon receipt by Parent or the Surviving Corporation from the D&amp;O Indemnified Party of a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Latham &amp; Watkins LLP or such other counsel selected by the D&amp;O Indemnified Parties.</w:t>
      </w:r>
    </w:p>
    <w:p>
      <w:pPr>
        <w:spacing w:after="0" w:line="189" w:lineRule="exact"/>
        <w:rPr>
          <w:sz w:val="20"/>
          <w:szCs w:val="20"/>
          <w:color w:val="auto"/>
        </w:rPr>
      </w:pPr>
    </w:p>
    <w:p>
      <w:pPr>
        <w:ind w:right="160" w:firstLine="436"/>
        <w:spacing w:after="0" w:line="255"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 The provisions of the certificate of incorporation and bylaws of Parent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D&amp;O Indemnified Party, unless such amendment, modification or repeal is required by applicable Law.</w:t>
      </w:r>
    </w:p>
    <w:p>
      <w:pPr>
        <w:spacing w:after="0" w:line="188" w:lineRule="exact"/>
        <w:rPr>
          <w:rFonts w:ascii="Times New Roman" w:cs="Times New Roman" w:eastAsia="Times New Roman" w:hAnsi="Times New Roman"/>
          <w:sz w:val="18"/>
          <w:szCs w:val="18"/>
          <w:color w:val="auto"/>
        </w:rPr>
      </w:pPr>
    </w:p>
    <w:p>
      <w:pPr>
        <w:ind w:right="120" w:firstLine="436"/>
        <w:spacing w:after="0" w:line="255"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Effective Time, a six-year prepaid “D&amp;O tail policy” for the non-cancelable extension of the directors’ and officers’ liability coverage of Parent’s existing directors’ and officers’ insurance policies for a claims reporting or discovery period of at least six years from and after the Effective Time (including in connection with this Agreement, any of the Contemplated Transactions or Parent’s initial public offering of shares of Parent Common Stock) with respect to any claim related to any period of time at or prior to the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Effective Time with respect to the procurement of such “D&amp;O tail policy.”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91" w:name="page92"/>
    <w:bookmarkEnd w:id="91"/>
    <w:p>
      <w:pPr>
        <w:ind w:right="60" w:firstLine="436"/>
        <w:spacing w:after="0" w:line="282"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after the Effective Time, Parent shall pay all expenses, including reasonable attorneys’ fees, that are incurred by the persons referred to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their enforcement of the rights provided to such persons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Parent shall cause the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or pursuant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At or prior to the Effective Time, Parent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cs="Times New Roman" w:eastAsia="Times New Roman" w:hAnsi="Times New Roman"/>
          <w:sz w:val="18"/>
          <w:szCs w:val="18"/>
          <w:b w:val="1"/>
          <w:bCs w:val="1"/>
          <w:color w:val="auto"/>
        </w:rPr>
        <w:t>Nasdaq Listing Application</w:t>
      </w:r>
      <w:r>
        <w:rPr>
          <w:rFonts w:ascii="Times New Roman" w:cs="Times New Roman" w:eastAsia="Times New Roman" w:hAnsi="Times New Roman"/>
          <w:sz w:val="18"/>
          <w:szCs w:val="18"/>
          <w:color w:val="auto"/>
        </w:rPr>
        <w:t>”)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All Nasdaq fees associated with any action contemplated by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including any fees related to the engagement of a consultant (the “</w:t>
      </w:r>
      <w:r>
        <w:rPr>
          <w:rFonts w:ascii="Times New Roman" w:cs="Times New Roman" w:eastAsia="Times New Roman" w:hAnsi="Times New Roman"/>
          <w:sz w:val="18"/>
          <w:szCs w:val="18"/>
          <w:b w:val="1"/>
          <w:bCs w:val="1"/>
          <w:color w:val="auto"/>
        </w:rPr>
        <w:t>Nasdaq Fees</w:t>
      </w:r>
      <w:r>
        <w:rPr>
          <w:rFonts w:ascii="Times New Roman" w:cs="Times New Roman" w:eastAsia="Times New Roman" w:hAnsi="Times New Roman"/>
          <w:sz w:val="18"/>
          <w:szCs w:val="18"/>
          <w:color w:val="auto"/>
        </w:rPr>
        <w:t>”), shall be paid by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5"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w:t>
      </w:r>
    </w:p>
    <w:p>
      <w:pPr>
        <w:spacing w:after="0" w:line="188"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promptly notify the Company if, at any time before the Effective Time, Parent becomes aware of any fact or circumstance that could reasonably be expected to prevent, cause a failure of, or impede the Intended Tax Treatment. The Company shall promptly notify Parent if, at any time before the Effective Time, the Company becomes aware of any fact or circumstance that could reasonably be expected to prevent, cause a failure of, or impede the Intended Tax Treatment.</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 requires that an opinion with respect to the Intended Tax Treatment be prepared and submitted in connection with the Registration Statement and Proxy Statement, (i) Parent and Company shall each use its reasonable best efforts to cause Latham &amp; Watkins LLP (or other nationally recognized law firm reasonably satisfactory to Parent) and Gibson, Dunn &amp; Crutcher LLP (or other nationally recognized law firm reasonably satisfactory to Company), respectively, to furnish such opinion (as so required and subject to customary assumptions and limitations) and (ii) Parent and Company shall each deliver to Latham &amp; Watkins LLP (or other nationally recognized law firm reasonably satisfactory to Parent) and Gibson, Dunn &amp; Crutcher LLP (or other nationally recognized law firm reasonably satisfactory to Company) a Tax certificate, dated as of the date the Registration Statement and Proxy Statement shall have been declared effective by the SEC and signed by an officer of Parent or Company, as applicable, containing customary representations and covenants reasonably acceptable to Company and Parent, as applicable, in each case, as reasonably necessary and appropriate to enable such advisor to render such opinion (the “</w:t>
      </w:r>
      <w:r>
        <w:rPr>
          <w:rFonts w:ascii="Times New Roman" w:cs="Times New Roman" w:eastAsia="Times New Roman" w:hAnsi="Times New Roman"/>
          <w:sz w:val="18"/>
          <w:szCs w:val="18"/>
          <w:b w:val="1"/>
          <w:bCs w:val="1"/>
          <w:color w:val="auto"/>
        </w:rPr>
        <w:t>Tax Certificates</w:t>
      </w:r>
      <w:r>
        <w:rPr>
          <w:rFonts w:ascii="Times New Roman" w:cs="Times New Roman" w:eastAsia="Times New Roman" w:hAnsi="Times New Roman"/>
          <w:sz w:val="18"/>
          <w:szCs w:val="18"/>
          <w:color w:val="auto"/>
        </w:rPr>
        <w:t>”). Each of Parent and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93" w:name="page94"/>
    <w:bookmarkEnd w:id="9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Parent shall be entitled to place appropriate legends on the book entries and/or certificates evidencing any shares of Parent Capital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 xml:space="preserve">. Until successors are duly elected or appointed and qualified in accordance with applicable Law, the Parties shall take all necessary action so that the Persons listed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 are elected or appointed, as applicable, to the positions of officers or directors of Parent and the Surviving Corporation, as set forth therein, to serve in such positions effective as of the Effective Time. If any Person listed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 is unable or unwilling to serve as officer or director of Parent or the Surviving Corporation, as set forth therein, the Company shall designate a successor. The Parties shall use reasonable best efforts to have each of the Persons that will serve as directors and officers of the Parent following the Closing to execute and deliver a Lock-Up Agreement prior to Closing. The number of directors constituting the board of directors of Parent and of the Surviving Corporation as of immediately following the Effective Time shall be determined by the Company in its sole discretion (subject to compliance with the director independence requirements of Nasdaq), and the individuals serving as such directors, and as the officers of Parent and the Surviving Corporation, shall be those designated by the Company as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Termination of Certain Agreements and Rights</w:t>
      </w:r>
      <w:r>
        <w:rPr>
          <w:rFonts w:ascii="Times New Roman" w:cs="Times New Roman" w:eastAsia="Times New Roman" w:hAnsi="Times New Roman"/>
          <w:sz w:val="18"/>
          <w:szCs w:val="18"/>
          <w:color w:val="auto"/>
        </w:rPr>
        <w:t>. Other than the Registration Rights Agreement, which shall remain in full force and effect following the Closing,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cs="Times New Roman" w:eastAsia="Times New Roman" w:hAnsi="Times New Roman"/>
          <w:sz w:val="18"/>
          <w:szCs w:val="18"/>
          <w:b w:val="1"/>
          <w:bCs w:val="1"/>
          <w:color w:val="auto"/>
        </w:rPr>
        <w:t>Investor Agreements</w:t>
      </w:r>
      <w:r>
        <w:rPr>
          <w:rFonts w:ascii="Times New Roman" w:cs="Times New Roman" w:eastAsia="Times New Roman" w:hAnsi="Times New Roman"/>
          <w:sz w:val="18"/>
          <w:szCs w:val="18"/>
          <w:color w:val="auto"/>
        </w:rPr>
        <w:t>”), including any such Contract granting any Person investor rights, rights of first refusal, registration rights or director registration rights, to be terminated immediately prior to the Effective Time, without any liability being imposed on the part of Parent or the Surviving Corporation.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Allocation Information</w:t>
      </w:r>
      <w:r>
        <w:rPr>
          <w:rFonts w:ascii="Times New Roman" w:cs="Times New Roman" w:eastAsia="Times New Roman" w:hAnsi="Times New Roman"/>
          <w:sz w:val="18"/>
          <w:szCs w:val="18"/>
          <w:color w:val="auto"/>
        </w:rPr>
        <w:t>. The Company will prepare and deliver to Parent prior to the Closing a spreadsheet setting forth (as of immediately prior to the Effective Time) (a) each holder of (i) Company Capital Stock, (ii) Company Options and (iii) Company Warrants, (b) such holder’s name and address, (c) with respect to holders of Company Capital Stock, the number or percentage and type of Company Capital Stock held as of the Closing Date for each such holder and (d) the number of shares of Parent Capital Stock, Assumed Options and Assumed Warrants to be issued to such holder pursuant to this Agreement in respect of the Company Capital Stock, Company Options and Company Warrants held by such holder as of immediately prior to the Effective Time (the “</w:t>
      </w:r>
      <w:r>
        <w:rPr>
          <w:rFonts w:ascii="Times New Roman" w:cs="Times New Roman" w:eastAsia="Times New Roman" w:hAnsi="Times New Roman"/>
          <w:sz w:val="18"/>
          <w:szCs w:val="18"/>
          <w:b w:val="1"/>
          <w:bCs w:val="1"/>
          <w:color w:val="auto"/>
        </w:rPr>
        <w:t>Allocation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From the date of this Agreement to the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its filing date, or if amended after the date of this Agreement, as of the date of the last such amendment, each SEC Document filed by Parent with the SEC (a) shall comply in all material respects with the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4" w:name="page95"/>
    <w:bookmarkEnd w:id="9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requirements of the Exchange Act and the Securities Act, and (b) other than with respect to information supplied by or on behalf of the Company to Parent for inclusion in such SEC Document, shall not contain any untrue statement of a material fact or omit to state any material fact required to be stated therein or necessary in order to make the statements made therein, in light of the circumstances under which they were made, not misleading. The Company shall (i) promptly provide all information reasonably requested by Parent to comply with Parent’s obligations under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(ii) review and provide comments on any portions of any SEC Document that relate to the Company or the Contemplated Transactions promptly following of receipt thereof, and (iii) promptly notify Parent if the Company becomes aware that any information previously provided by the Company for inclusion in any SEC Document has become inaccurate or incomplete in any material respect.</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as reasonably practicable following the issuance, sale, transfer or other disposition of any Company Capital Stock (or securities convertible or exercisable into shares of Company Capital Stock) prior to the Closing, the Company shall provide notice to Parent (email being sufficient) setting forth in reasonable detail the terms of such transaction, including (if applicable) the amount of proceeds actually received by the Company in connection with such transaction.</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will take all action necessary to cause each Merger Sub to perform its obligations under this Agreement and to consummate the Merger on the terms and conditions set forth in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 Unless otherwise approved in writing by Parent (which approval shall not be unreasonably withheld, conditioned, delayed or denied), the Company shall not (a) reduce the subscription amount under the Series A Financing Agreement or otherwise reduce the aggregate proceeds to be received by the Company from the Company Pre-Closing Financing below the Company Pre-Closing Financing Minimum Amount, or (b) amend, waive or modify the Series A Financing Agreement or the Subscription Agreement in any manner that could reasonably be expected to delay or impede the consummation of the Contemplated Transactions.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applicable Subscription Agreement in accordance with its terms. The Company shall use its commercially reasonable efforts to (A) maintain in effect the Subscription Agreement, (B) enforce its rights under the Subscription Agreement, and (C) comply with its obligations thereunder, and shall give Parent prompt notice of any actual or threatened breach, default, termination or repudiation by any party to the Subscription Agreement of which the Company becomes aware. The Company shall promptly provide information reasonably requested by Parent relating to any such breach, default, termination, or repudiation.</w:t>
      </w:r>
    </w:p>
    <w:p>
      <w:pPr>
        <w:spacing w:after="0" w:line="18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Parent Pre-Closing Dividend</w:t>
      </w:r>
      <w:r>
        <w:rPr>
          <w:rFonts w:ascii="Times New Roman" w:cs="Times New Roman" w:eastAsia="Times New Roman" w:hAnsi="Times New Roman"/>
          <w:sz w:val="18"/>
          <w:szCs w:val="18"/>
          <w:color w:val="auto"/>
        </w:rPr>
        <w:t>. If Parent declares the Parent Pre-Closing Dividend, then, prior to the Effective Time, Parent shall deposit the Parent Pre-Closing Dividend Amount with Parent’s transfer agent for further distribution to the holders of the shares of Parent Common Stock outstanding as of the record date of the Parent Pre-Closing Dividend.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OBLIGATIONS OF EACH PARTY</w:t>
      </w:r>
    </w:p>
    <w:p>
      <w:pPr>
        <w:spacing w:after="0" w:line="22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 Parent shall have obtained the Required Parent Stockholder Vote (but solely with respect to such items as are necessary to consummate the transactions contemplated by this Agreement) and (b) the Company shall have obtained the Required Company Stockholder Vote.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Nasdaq Listing Application shall have been approved by Nasdaq.</w:t>
      </w:r>
    </w:p>
    <w:p>
      <w:pPr>
        <w:spacing w:after="0" w:line="225"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rely on the failure of this condition to be satisfied to refuse to consummate the Contemplated Transactions to the extent such failure was caused by or resulted from the Company’s breach of its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Any applicable waiting periods (or extensions thereof) under the HSR Act shall have expired or otherwise been terminated.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ADDITIONAL CONDITIONS PRECEDENT TO OBLIGATIONS OF PARENT AND MERGER SUB</w:t>
      </w:r>
    </w:p>
    <w:p>
      <w:pPr>
        <w:spacing w:after="0" w:line="22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effect the Merger and otherwise consummate the transactions to be consummated at the Closing are subject to the satisfaction or the written waiver by Parent, at or prior to the Closing, of each of the following conditions: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5" w:right="459" w:bottom="1440" w:gutter="0" w:footer="0" w:header="0"/>
        </w:sectPr>
      </w:pPr>
    </w:p>
    <w:bookmarkStart w:id="96" w:name="page97"/>
    <w:bookmarkEnd w:id="9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Parent shall have received the following documents, each of which shall be in full force and effect:</w:t>
      </w:r>
    </w:p>
    <w:p>
      <w:pPr>
        <w:spacing w:after="0" w:line="225" w:lineRule="exact"/>
        <w:rPr>
          <w:sz w:val="20"/>
          <w:szCs w:val="20"/>
          <w:color w:val="auto"/>
        </w:rPr>
      </w:pPr>
    </w:p>
    <w:p>
      <w:pPr>
        <w:ind w:right="260" w:firstLine="436"/>
        <w:spacing w:after="0" w:line="266"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is true and accurate in all respects as of the Closing Date;</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Valuation Schedule;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Certificate;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the Persons listed on Section B of the Company Disclosure Letter, which shall be in full force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The Company Stockholder Written Consent executed by the stockholders of the Company collectively constituting the Required Company Stockholder Vote shall have been obtained and remain in full force and effect.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Termination of Investor Agreements</w:t>
      </w:r>
      <w:r>
        <w:rPr>
          <w:rFonts w:ascii="Times New Roman" w:cs="Times New Roman" w:eastAsia="Times New Roman" w:hAnsi="Times New Roman"/>
          <w:sz w:val="18"/>
          <w:szCs w:val="18"/>
          <w:color w:val="auto"/>
        </w:rPr>
        <w:t>. The Company’s Investor Agreements shall have been terminated (or will be terminated as of the Closing).</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The License Agreement shall be in full force and effect and shall not have been modified or amended in any manner that would have a materially adverse impact on the Surviving Corporation or Parent without Parent’s prior written consent.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7" w:name="page98"/>
    <w:bookmarkEnd w:id="97"/>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8.8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 The Subscription Agreement shall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transactions contemplated by the Subscription Agreement.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IX.</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ADDITIONAL CONDITIONS PRECEDENT TO OBLIGATION OF THE COMPANY</w:t>
      </w:r>
    </w:p>
    <w:p>
      <w:pPr>
        <w:spacing w:after="0" w:line="22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spacing w:after="0" w:line="195" w:lineRule="exact"/>
        <w:rPr>
          <w:sz w:val="20"/>
          <w:szCs w:val="20"/>
          <w:color w:val="auto"/>
        </w:rPr>
      </w:pPr>
    </w:p>
    <w:p>
      <w:pPr>
        <w:ind w:right="7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Company shall have received the following documents, each of which shall be in full force and effect:</w:t>
      </w:r>
    </w:p>
    <w:p>
      <w:pPr>
        <w:spacing w:after="0" w:line="225" w:lineRule="exact"/>
        <w:rPr>
          <w:sz w:val="20"/>
          <w:szCs w:val="20"/>
          <w:color w:val="auto"/>
        </w:rPr>
      </w:pPr>
    </w:p>
    <w:p>
      <w:pPr>
        <w:ind w:left="680" w:hanging="24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an executive officer of Parent certifying that the conditions set forth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have been duly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w:t>
      </w:r>
    </w:p>
    <w:p>
      <w:pPr>
        <w:spacing w:after="0" w:line="206"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hereof;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Parent Net Cash Schedule.</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Parent Pre-Closing Dividend</w:t>
      </w:r>
      <w:r>
        <w:rPr>
          <w:rFonts w:ascii="Times New Roman" w:cs="Times New Roman" w:eastAsia="Times New Roman" w:hAnsi="Times New Roman"/>
          <w:sz w:val="18"/>
          <w:szCs w:val="18"/>
          <w:color w:val="auto"/>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TERMINATION</w:t>
      </w:r>
    </w:p>
    <w:p>
      <w:pPr>
        <w:spacing w:after="0" w:line="22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(whether before or after adoption of this Agreement by the Company’s stockholders and whether before or after approval of the Parent Stockholder Matters by Parent’s stockholders, unless otherwise specified below):</w:t>
      </w:r>
    </w:p>
    <w:p>
      <w:pPr>
        <w:spacing w:after="0" w:line="176" w:lineRule="exact"/>
        <w:rPr>
          <w:sz w:val="20"/>
          <w:szCs w:val="20"/>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Merger shall not have been consummated by March 23, 2027 (subject to possible extension as provided in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the Company or Parent if such Party’s (or (x) in the case of Parent, Merger Sub’s or (y) in the case of the Company, any of the Company’s stockholders’ or Affiliates’) action or failure to act has been a principal cause of the failure of the Merger to occur on or before the End Date and such action or failure to act constitutes a breach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SEC has not declared effective under the Securities Act the Registration Statement by the date which is 90 days prior to the End Date, then either the Company or Parent shall be entitled to extend the End Date for an additional 90 days;</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 court of competent jurisdiction or other Governmental Authority shall have issued a final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non-appealable Order having the effect of permanently restraining, enjoining or otherwise prohibiting the Contemplated Transactions;</w:t>
      </w:r>
    </w:p>
    <w:p>
      <w:pPr>
        <w:spacing w:after="0" w:line="207" w:lineRule="exact"/>
        <w:rPr>
          <w:sz w:val="20"/>
          <w:szCs w:val="20"/>
          <w:color w:val="auto"/>
        </w:rPr>
      </w:pPr>
    </w:p>
    <w:p>
      <w:pPr>
        <w:ind w:right="60" w:firstLine="436"/>
        <w:spacing w:after="0" w:line="261"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Required Company Stockholder Vote shall not have been obtained and evidence thereof has not been delivered to Parent within two Business Days of the Registration Statement becoming effective in accordance with the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once the Required Company Stockholder Vote has been obtained (whether timely or not), Parent may not terminate this Agreement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60" w:firstLine="436"/>
        <w:spacing w:after="0" w:line="256"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(i) the Parent Stockholder Meeting (including any adjournments and postponements thereof) shall have been held and completed and Parent’s stockholders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9" w:name="page100"/>
    <w:bookmarkEnd w:id="99"/>
    <w:p>
      <w:pPr>
        <w:ind w:right="420" w:firstLine="436"/>
        <w:spacing w:after="0" w:line="282" w:lineRule="auto"/>
        <w:tabs>
          <w:tab w:leader="none" w:pos="6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(at any time prior to the approval of the Parent Stockholder Matters by the Required Parent Stockholder Vote) if a Parent Triggering Event shall have occurred;</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adoption of this Agreement and the approval of the Contemplated Transactions by the Required Company Stockholder Vote) if a Company Triggering Event shall have occurred;</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 Delisting Event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Delisting Event was primarily caused by the Company’s refusal or unreasonable delay in consenting to reasonable actions by Parent to maintain the listing of Parent Common Stock on Nasdaq, the Company shall not be permitted to terminate this Agreement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inaccuracy in Parent’s or Merger Sub’s representations and warranties or breach by Parent or Merger Sub is curable by Parent or Merger Sub, then the Company shall not be permitted to terminate this Agreement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until the earlier of (A) the expiration of a 30-day period commencing upon delivery of written notice from the Company to Parent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and (B)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(it being understood that the Company shall not be permitted to terminate this Agreement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if such breach by Parent or Merger Sub is cured prior to such termination becoming effective);</w:t>
      </w:r>
    </w:p>
    <w:p>
      <w:pPr>
        <w:spacing w:after="0" w:line="189" w:lineRule="exact"/>
        <w:rPr>
          <w:rFonts w:ascii="Times New Roman" w:cs="Times New Roman" w:eastAsia="Times New Roman" w:hAnsi="Times New Roman"/>
          <w:sz w:val="18"/>
          <w:szCs w:val="18"/>
          <w:color w:val="auto"/>
        </w:rPr>
      </w:pPr>
    </w:p>
    <w:p>
      <w:pPr>
        <w:ind w:right="60" w:firstLine="436"/>
        <w:spacing w:after="0" w:line="253"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is not then in material breach of any representation, warranty, covenant or agreement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inaccuracy in the Company’s representations and warranties or breach by the Company is curable by the Company then Parent shall not be permitted to terminate this Agreement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as a result of such particular breach or inaccuracy until the earlier of (i) the expiration of a 30-day period commencing upon delivery of written notice from Parent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(it being understood that Parent shall not be permitted to terminate this Agreement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as a result of such particular breach or inaccuracy if such breach by the Company is cured prior to such termination becoming effective);</w:t>
      </w:r>
    </w:p>
    <w:p>
      <w:pPr>
        <w:spacing w:after="0" w:line="191"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prior to the approval of the Parent Stockholder Matters by the Required Parent Stockholder Vote) and following compliance with all of the requirements set forth in the proviso to this </w:t>
      </w:r>
      <w:r>
        <w:rPr>
          <w:rFonts w:ascii="Times New Roman" w:cs="Times New Roman" w:eastAsia="Times New Roman" w:hAnsi="Times New Roman"/>
          <w:sz w:val="18"/>
          <w:szCs w:val="18"/>
          <w:u w:val="single" w:color="auto"/>
          <w:color w:val="auto"/>
        </w:rPr>
        <w:t>Section 10.1(k)</w:t>
      </w:r>
      <w:r>
        <w:rPr>
          <w:rFonts w:ascii="Times New Roman" w:cs="Times New Roman" w:eastAsia="Times New Roman" w:hAnsi="Times New Roman"/>
          <w:sz w:val="18"/>
          <w:szCs w:val="18"/>
          <w:color w:val="auto"/>
        </w:rPr>
        <w:t xml:space="preserve">, upon the Parent Board authorizing Parent to enter into a Permitted Alternative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shall not enter into any Permitted Alternative Agreement unless: (i) Parent shall have complied in all material respects with its obligations 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00" w:name="page101"/>
    <w:bookmarkEnd w:id="100"/>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firstLine="436"/>
        <w:spacing w:after="0" w:line="255"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(A)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satisfied or waived on the date the Closing was required to have occurred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(other than those conditions that by their nature are to be satisfied at the Closing but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conditions were capable of being satisfied if the Closing were to occur on such date), (B) the Company has failed to consummate the Closing on the date on which the Company is required to consummate the Closing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 Parent has, on or after the date the Closing was required to have occurred and at least two Business Days prior to seeking to terminate this Agreement pursuant to this </w:t>
      </w:r>
      <w:r>
        <w:rPr>
          <w:rFonts w:ascii="Times New Roman" w:cs="Times New Roman" w:eastAsia="Times New Roman" w:hAnsi="Times New Roman"/>
          <w:sz w:val="18"/>
          <w:szCs w:val="18"/>
          <w:u w:val="single" w:color="auto"/>
          <w:color w:val="auto"/>
        </w:rPr>
        <w:t>Section 10.1(l)</w:t>
      </w:r>
      <w:r>
        <w:rPr>
          <w:rFonts w:ascii="Times New Roman" w:cs="Times New Roman" w:eastAsia="Times New Roman" w:hAnsi="Times New Roman"/>
          <w:sz w:val="18"/>
          <w:szCs w:val="18"/>
          <w:color w:val="auto"/>
        </w:rPr>
        <w:t>, irrevocably confirmed in a written notice delivered to the Company that Parent is ready, willing and able to consummate the Closing and (D) the Company has not consummated the Closing by the earlier of (i) the End Date and (ii) the end of the second Business Day following delivery of such written confirmation.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shall give a notice of such termination to the other Party specifying the provisions hereof pursuant to which such termination is made and the basis therefor described in reasonable detail.</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this Agreement shall be of no further force or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Expenses; 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58"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all fees and expenses incurred in connection with this Agreement and the Contemplated Transactions shall be paid by the Party incurring such expenses, whether or not the Merger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and without limitation to the other applicable provisions of this Agreement, Parent and the Company shall each pay 50% of (i) the fees paid in connection with filing the Registration Statement and any amendments and supplements thereto and (ii) 50% of the fees and expenses in connection with the printing, mailing and distribution of the Proxy Statement and any amendments and supplements.</w:t>
      </w:r>
    </w:p>
    <w:p>
      <w:pPr>
        <w:spacing w:after="0" w:line="18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this Agreement is terminated by Parent or the Company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due to the failure of the Closing to occur on or prior to the End Date (as the same may have been extended), and such failure is primarily caused by (x) the Company’s failure or inability to timely provide the Company Required S-4 Information or any other information required or reasonably requested by Parent for inclusion in or in connection with the Registration Statement or Proxy Statement or (y) any material delay in the filing or effectiveness of the Registration Statement primarily attributable to the Company’s breach of its obligations under this Agreement, then the Company shall, within 10 Business Days after such termination, reimburse Parent for up to $1,000,000 of documented and reasonable out-of-pocket fees and expenses incurred by Parent in connection with the Contemplated Transactions (including fees and expenses of legal counsel, accountants, financial advisors, investment bankers, brokers, consultants and other advisors and service providers).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70" w:right="479" w:bottom="1440" w:gutter="0" w:footer="0" w:header="0"/>
        </w:sectPr>
      </w:pPr>
    </w:p>
    <w:bookmarkStart w:id="101" w:name="page102"/>
    <w:bookmarkEnd w:id="101"/>
    <w:p>
      <w:pPr>
        <w:ind w:firstLine="436"/>
        <w:spacing w:after="0" w:line="254"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(i) this Agreement is terminated by Parent or the Company pursuant to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Parent Stockholder Vote</w:t>
      </w:r>
      <w:r>
        <w:rPr>
          <w:rFonts w:ascii="Times New Roman" w:cs="Times New Roman" w:eastAsia="Times New Roman" w:hAnsi="Times New Roman"/>
          <w:sz w:val="18"/>
          <w:szCs w:val="18"/>
          <w:color w:val="auto"/>
        </w:rPr>
        <w:t xml:space="preserve">) or by the Company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Triggering Event</w:t>
      </w:r>
      <w:r>
        <w:rPr>
          <w:rFonts w:ascii="Times New Roman" w:cs="Times New Roman" w:eastAsia="Times New Roman" w:hAnsi="Times New Roman"/>
          <w:sz w:val="18"/>
          <w:szCs w:val="18"/>
          <w:color w:val="auto"/>
        </w:rPr>
        <w:t>) (and the Required Parent Stockholder Vote has not been obtained by Parent),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10 Business Days after termination (or, if applicable, upon such entry into a definitive agreement or consummation of a Subsequent Transaction), a nonrefundable fee in an amount equal to $1,000,000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00" w:firstLine="436"/>
        <w:spacing w:after="0" w:line="267"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Company Stockholder Vote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Triggering Event</w:t>
      </w:r>
      <w:r>
        <w:rPr>
          <w:rFonts w:ascii="Times New Roman" w:cs="Times New Roman" w:eastAsia="Times New Roman" w:hAnsi="Times New Roman"/>
          <w:sz w:val="18"/>
          <w:szCs w:val="18"/>
          <w:color w:val="auto"/>
        </w:rPr>
        <w:t>), then the Company shall pay to Parent, within 10 Business Days after termination, a nonrefundable fee in an amount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 (the “</w:t>
      </w:r>
      <w:r>
        <w:rPr>
          <w:rFonts w:ascii="Times New Roman" w:cs="Times New Roman" w:eastAsia="Times New Roman" w:hAnsi="Times New Roman"/>
          <w:sz w:val="18"/>
          <w:szCs w:val="18"/>
          <w:b w:val="1"/>
          <w:bCs w:val="1"/>
          <w:color w:val="auto"/>
        </w:rPr>
        <w:t>Parent Termination Fee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220" w:firstLine="436"/>
        <w:spacing w:after="0" w:line="257"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this Agreement is terminated by Parent pursuant to </w:t>
      </w:r>
      <w:r>
        <w:rPr>
          <w:rFonts w:ascii="Times New Roman" w:cs="Times New Roman" w:eastAsia="Times New Roman" w:hAnsi="Times New Roman"/>
          <w:sz w:val="18"/>
          <w:szCs w:val="18"/>
          <w:u w:val="single" w:color="auto"/>
          <w:color w:val="auto"/>
        </w:rPr>
        <w:t>Section 10.1(l)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Failure to Close</w:t>
      </w:r>
      <w:r>
        <w:rPr>
          <w:rFonts w:ascii="Times New Roman" w:cs="Times New Roman" w:eastAsia="Times New Roman" w:hAnsi="Times New Roman"/>
          <w:sz w:val="18"/>
          <w:szCs w:val="18"/>
          <w:color w:val="auto"/>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12 months after the date of such termination, the Company enters into a definitive agreement with respect to a Subsequent Transaction or consummates a Subsequent Transaction, then the Company shall pay to Parent, within 10 Business Days after termination (or, if applicable, upon such entry into a definitive agreement or consummation of a Subsequent Transaction), the Parent Termination Fee.</w:t>
      </w:r>
    </w:p>
    <w:p>
      <w:pPr>
        <w:spacing w:after="0" w:line="184" w:lineRule="exact"/>
        <w:rPr>
          <w:rFonts w:ascii="Times New Roman" w:cs="Times New Roman" w:eastAsia="Times New Roman" w:hAnsi="Times New Roman"/>
          <w:sz w:val="18"/>
          <w:szCs w:val="18"/>
          <w:color w:val="auto"/>
        </w:rPr>
      </w:pPr>
    </w:p>
    <w:p>
      <w:pPr>
        <w:ind w:right="80" w:firstLine="436"/>
        <w:spacing w:after="0" w:line="256" w:lineRule="auto"/>
        <w:tabs>
          <w:tab w:leader="none" w:pos="6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fails to pay when due any amount payable by it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87"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it being understood that in no event shall either Parent or the Company be required to pay the individual fees or damages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on more than one occasion.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following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440" w:top="268" w:right="439" w:bottom="1440" w:gutter="0" w:footer="0" w:header="0"/>
        </w:sectPr>
      </w:pPr>
    </w:p>
    <w:bookmarkStart w:id="102" w:name="page103"/>
    <w:bookmarkEnd w:id="10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10.3(g)</w:t>
      </w:r>
      <w:r>
        <w:rPr>
          <w:rFonts w:ascii="Times New Roman" w:cs="Times New Roman" w:eastAsia="Times New Roman" w:hAnsi="Times New Roman"/>
          <w:sz w:val="18"/>
          <w:szCs w:val="18"/>
          <w:color w:val="auto"/>
        </w:rPr>
        <w:t xml:space="preserve"> shall limit the rights of the Parties under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Effective Time.</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Required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Confidentiality Agreement shall not be superseded and shall remain in full force and effect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only Exhibit D (including Exhibit A to such Exhibit) is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103" w:name="page104"/>
    <w:bookmarkEnd w:id="103"/>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11.5 </w:t>
      </w:r>
      <w:r>
        <w:rPr>
          <w:rFonts w:ascii="Times New Roman" w:cs="Times New Roman" w:eastAsia="Times New Roman" w:hAnsi="Times New Roman"/>
          <w:sz w:val="18"/>
          <w:szCs w:val="18"/>
          <w:u w:val="single" w:color="auto"/>
          <w:color w:val="auto"/>
        </w:rPr>
        <w:t>Applicable Law; Jurisdiction; WAIVER OF RIGHT TO TRIAL BY JURY</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94"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9:00 p.m. (New York City time), otherwise on the next succeeding Business Day, in each case to the intended recipient as set forth below:</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Boundless Bio,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11099 North Torrey Pines Road, Suite 150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ind w:left="980"/>
        <w:spacing w:after="0" w:line="196" w:lineRule="auto"/>
        <w:rPr>
          <w:sz w:val="20"/>
          <w:szCs w:val="20"/>
          <w:color w:val="auto"/>
        </w:rPr>
      </w:pPr>
      <w:r>
        <w:rPr>
          <w:rFonts w:ascii="Times New Roman" w:cs="Times New Roman" w:eastAsia="Times New Roman" w:hAnsi="Times New Roman"/>
          <w:sz w:val="18"/>
          <w:szCs w:val="18"/>
          <w:color w:val="auto"/>
        </w:rPr>
        <w:t>650 Town Center Drive,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Daniel Rees, Shannon Cheng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Daniel.Rees@lw.com, Shannon.Cheng@lw.com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20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105" w:name="page106"/>
    <w:bookmarkEnd w:id="10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equity. The Parties acknowledge and agree that (a) each of the Parties shall be entitled to specific performance, injunctive relief or other equitable relief to prevent breaches of this Agreement and to enforce specifically the terms and provisions of this Agreement, in each case, without proof of damages, this being in addition to any other remedy to which the Parties are entitled under this Agreement, and (b) that the right of specific enforcement under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is an integral part of the transactions contemplated by this Agreement and without that right, none of the Parties would have entered into this Agreement.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Zachary D. Hornby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OULDER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Jessica Oien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Jesssica Oien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ERAPHA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Alice Lee</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Alice Lee</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 and Reorganization</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66" w:right="4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PARENT STOCKHOLDER SUPPORT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9019"/>
          </w:cols>
          <w:pgMar w:left="1440" w:top="266"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COMPANY STOCKHOLDER SUPPORT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9019"/>
          </w:cols>
          <w:pgMar w:left="1440" w:top="266"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MERGER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266"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COMPANY STOCKHOLDER WRITTEN CONSENT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266"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229"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22, 2026, by and among Serapha 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Boundless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stock and/or option holder of Parent (the “</w:t>
      </w:r>
      <w:r>
        <w:rPr>
          <w:rFonts w:ascii="Times New Roman" w:cs="Times New Roman" w:eastAsia="Times New Roman" w:hAnsi="Times New Roman"/>
          <w:sz w:val="18"/>
          <w:szCs w:val="18"/>
          <w:u w:val="single" w:color="auto"/>
          <w:color w:val="auto"/>
        </w:rPr>
        <w:t>Equityholder</w:t>
      </w:r>
      <w:r>
        <w:rPr>
          <w:rFonts w:ascii="Times New Roman" w:cs="Times New Roman" w:eastAsia="Times New Roman" w:hAnsi="Times New Roman"/>
          <w:sz w:val="18"/>
          <w:szCs w:val="18"/>
          <w:color w:val="auto"/>
        </w:rPr>
        <w:t>” and each of the Equityholder, Company, and Parent,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but not otherwise defined shall have the respective meanings ascribed to such terms in the Merger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Parent, the Company and Boulder Merger Sub Corp., a Delaware corporation and a wholly owned subsidiary of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Equityholder is the beneficial owner (as defined in Rule 13d-3 under the Exchange Act) of such number of shares of Parent Capital Stock and any other equity securities of Parent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the Company to enter into the Merger Agreement, Parent has required that Equityholder enter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117" w:lineRule="exact"/>
        <w:rPr>
          <w:sz w:val="20"/>
          <w:szCs w:val="20"/>
          <w:color w:val="auto"/>
        </w:rPr>
      </w:pPr>
    </w:p>
    <w:p>
      <w:pPr>
        <w:ind w:right="60" w:firstLine="436"/>
        <w:spacing w:after="0" w:line="282" w:lineRule="auto"/>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79"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Equityholder Matters</w:t>
      </w:r>
      <w:r>
        <w:rPr>
          <w:rFonts w:ascii="Times New Roman" w:cs="Times New Roman" w:eastAsia="Times New Roman" w:hAnsi="Times New Roman"/>
          <w:sz w:val="18"/>
          <w:szCs w:val="18"/>
          <w:color w:val="auto"/>
        </w:rPr>
        <w:t>” means the approval of (i) the issuance of Parent Common Stock that represent (or are convertible into) more than twenty percent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clause (i) of the definition of “Parent Charter Amendment”.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266" w:right="439" w:bottom="1440" w:gutter="0" w:footer="0" w:header="0"/>
        </w:sectPr>
      </w:pPr>
    </w:p>
    <w:bookmarkStart w:id="114" w:name="page115"/>
    <w:bookmarkEnd w:id="114"/>
    <w:p>
      <w:pPr>
        <w:ind w:right="120" w:firstLine="987"/>
        <w:spacing w:after="0" w:line="254" w:lineRule="auto"/>
        <w:tabs>
          <w:tab w:leader="none" w:pos="123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(i) all shares of Parent Capital Stock and any other equity securities of Parent beneficially owned by the Equityholder as of the date hereof, including such securities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(ii) all additional shares of Parent Capital Stock issued or otherwise acquired, whether beneficially owned or of record, or owned by the Equityholder during the period commencing with the execution and delivery of this Agreement and expiring on the Expiration Date, and (iii) any shares of capital stock or other equity securities of Parent that such Equityholder acquires or with respect to which such Equityholder otherwise acquires sole or shared voting power (including any proxy), whether beneficial or of record, or otherwise owned by such Equityholder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Equityholder covenants to Parent and the Company as follows:</w:t>
      </w:r>
    </w:p>
    <w:p>
      <w:pPr>
        <w:spacing w:after="0" w:line="117"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Equityholder shall not Transfer any of the Equityholder’s Shares, publicly announce its intention to Transfer any of its Shares or enter into any contract with respect to any Transfer of, its Shares or any interest therein.</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Equityholder will not commit any act that would restrict the Equityholder’s legal power, authority and right to vote all of the Shares held by the Equityholder or otherwise prevent or disable the Equityholder from performing any of his, her or its obligations under this Agreement. Without limiting the generality of the foregoing, except for this Agreement, and as otherwise permitted by this Agreement, the Equityholder shall not enter into any voting agreement with any person or entity with respect to any of the Equityholder’s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Equityholder’s legal power, authority or right to vote the Equityholder’s Shares in favor of the Parent Equityholder Matters.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70" w:right="459" w:bottom="1440" w:gutter="0" w:footer="0" w:header="0"/>
        </w:sectPr>
      </w:pPr>
    </w:p>
    <w:bookmarkStart w:id="115" w:name="page116"/>
    <w:bookmarkEnd w:id="115"/>
    <w:p>
      <w:pPr>
        <w:ind w:right="20" w:firstLine="987"/>
        <w:spacing w:after="0" w:line="255" w:lineRule="auto"/>
        <w:tabs>
          <w:tab w:leader="none" w:pos="123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permitted by this Agreement or otherwise permitted or required by order of a court of competent jurisdiction or a Governmental Authority, the Equityholder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Equityholder contained herein untrue or incorrect or have the effect of restricting the Equityholder’s legal power, authority and right to vote all of the Shares or would otherwise prevent or disable such Equityholder from performing any of such Equityholder’s obligations under this Agreement.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herein to the contrary, the Equityholder may, at any time, Transfer Shares (i) by will or other testamentary document or by intestacy to the legal representative, heir, beneficiary or a member of the immediate family of the Equityholder, (ii) to such Equityholder’s Affiliates (in each case, directly or indirectly), (iii) to any trust or other entity for the direct or indirect benefit of the Equityholder or the immediate family of the Equityholder (or, if the Equityholder is a corporation, partnership or other entity, for the direct or indirect benefit of an immediate family member of a beneficial owner of the Shares held by the Equityholder) or otherwise for estate tax or estate planning purposes, (iv) in the case of a Equityholder who is not a natural person, by pro rata distributions from the Equityholder to its members, partners, or shareholders pursuant to the Equityholder’s organizational documents, (v) to the extent required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Equityholder shall remain liable for any failure of such transferee to comply with or perform its obligations under this Agreement. Any action taken in violation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null and void ab initio.</w:t>
      </w:r>
    </w:p>
    <w:p>
      <w:pPr>
        <w:spacing w:after="0" w:line="187"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shall obligate the Equityholder to exercise any option or any other right to acquire any shares of Parent Capital Stock.</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Equityholder covenants to Parent and the Company as follows:</w:t>
      </w:r>
    </w:p>
    <w:p>
      <w:pPr>
        <w:spacing w:after="0" w:line="117"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every meeting of the stockholders of Parent called to vote upon the Parent Equityholder Matters, however called, and at every adjournment or postponement thereof, and on every action or approval by written consent of the Equityholders of Parent, the Equityholder shall be present (in person or by proxy) and vote, or exercise its right to consent with respect to, all Shares held by the Equityholder (A) in favor of the Parent Equityholder Matters, and (B) against any Acquisition Proposal.</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312" w:lineRule="auto"/>
        <w:tabs>
          <w:tab w:leader="none" w:pos="1246"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Equityholder is the beneficial owner, but not the record holder, of Shares, the Equityholder agrees to take all actions necessary to cause the record holder and any nominees to be present (in person or by proxy) and vote all the Equityholder’s Shares in accordance with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70" w:right="459" w:bottom="1440" w:gutter="0" w:footer="0" w:header="0"/>
        </w:sectPr>
      </w:pPr>
    </w:p>
    <w:bookmarkStart w:id="116" w:name="page117"/>
    <w:bookmarkEnd w:id="116"/>
    <w:p>
      <w:pPr>
        <w:ind w:right="100" w:firstLine="987"/>
        <w:spacing w:after="0" w:line="261" w:lineRule="auto"/>
        <w:tabs>
          <w:tab w:leader="none" w:pos="123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in Equityholder Capacity Only</w:t>
      </w:r>
      <w:r>
        <w:rPr>
          <w:rFonts w:ascii="Times New Roman" w:cs="Times New Roman" w:eastAsia="Times New Roman" w:hAnsi="Times New Roman"/>
          <w:sz w:val="18"/>
          <w:szCs w:val="18"/>
          <w:color w:val="auto"/>
        </w:rPr>
        <w:t>. The Equityholder is entering into this Agreement solely in the Equityholder’s capacity as a record holder and beneficial owner, as applicable, of its Shares and not in the Equityholder’s capacity as a director or officer of Parent. Nothing herein shall limit or affect the Equityholder’s ability to exercise Equityholder’s fiduciary duties as an officer or director of Parent.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Equityholder hereby revokes (or agrees to cause to be revoked) any proxies that the Equityholder has heretofore granted with respect to its Shares. In the event and to the extent that the Equityholder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Parent or pursuant to any applicable written consent of the stockholders of Parent, the Equityholder shall be deemed to have irrevocably granted to, and appointed, Parent as his, her or its proxy and attorney-in-fact (with full power of substitution), for and in its name, place and stead, to (a) attend any all meetings of the Parent stockholders with respect to any of the matters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Parent agrees not to exercise the proxy granted herein for any purpose other than the purposes described in this Agreement. Except as otherwise provided for herein (including the next sentence), the Equityholder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Equityholder, as applicable) and shall not be terminated by operation of law or upon the occurrence of any other event. Notwithstanding any other provisions of this Agreement, the irrevocable proxy granted hereunder shall automatically terminate on the Expiration Date. The Equityholder authorizes such attorney and proxy to substitute any other Person to act hereunder, to revoke any substitution and to file this proxy and any substitution or revocation with the Secretary of Parent. The Equityholder hereby affirms that the proxy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given in connection with and granted in consideration of and as an inducement to Parent, Merger Sub and the Company to enter into the Merger Agreement and that such proxy is given to secure the obligations of the Equityholder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any Shares that are owned beneficially by the Equityholder but are not held of record by the Equityholder (other than shares beneficially owned by the Equityholder that are held in the name of a bank, broker or nominee), the Equityholder shall take all action necessary to cause the record holder of such Shares to grant the irrevocable proxy and take all other actions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 respect to such Shares.</w:t>
      </w:r>
    </w:p>
    <w:p>
      <w:pPr>
        <w:spacing w:after="0" w:line="190" w:lineRule="exact"/>
        <w:rPr>
          <w:rFonts w:ascii="Times New Roman" w:cs="Times New Roman" w:eastAsia="Times New Roman" w:hAnsi="Times New Roman"/>
          <w:sz w:val="18"/>
          <w:szCs w:val="18"/>
          <w:color w:val="auto"/>
        </w:rPr>
      </w:pPr>
    </w:p>
    <w:p>
      <w:pPr>
        <w:jc w:val="both"/>
        <w:ind w:right="120" w:firstLine="436"/>
        <w:spacing w:after="0" w:line="289" w:lineRule="auto"/>
        <w:tabs>
          <w:tab w:leader="none" w:pos="6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 xml:space="preserve">. The Equityholder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The Equityholder hereby represents and warrants that the Equityholder has read Section 5.4 of the Merger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00"/>
          </w:cols>
          <w:pgMar w:left="440" w:top="270" w:right="459" w:bottom="1440" w:gutter="0" w:footer="0" w:header="0"/>
        </w:sectPr>
      </w:pPr>
    </w:p>
    <w:bookmarkStart w:id="117" w:name="page118"/>
    <w:bookmarkEnd w:id="117"/>
    <w:p>
      <w:pPr>
        <w:ind w:left="-40" w:right="140" w:firstLine="436"/>
        <w:spacing w:after="0" w:line="261" w:lineRule="auto"/>
        <w:tabs>
          <w:tab w:leader="none" w:pos="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and Information</w:t>
      </w:r>
      <w:r>
        <w:rPr>
          <w:rFonts w:ascii="Times New Roman" w:cs="Times New Roman" w:eastAsia="Times New Roman" w:hAnsi="Times New Roman"/>
          <w:sz w:val="18"/>
          <w:szCs w:val="18"/>
          <w:color w:val="auto"/>
        </w:rPr>
        <w:t>. The Equityholder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Equityholder’s identity and ownership of the Shares and the nature of the Equityholder’s commitments and obligations under this Agreement.</w:t>
      </w:r>
    </w:p>
    <w:p>
      <w:pPr>
        <w:spacing w:after="0" w:line="179"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Equityholder</w:t>
      </w:r>
      <w:r>
        <w:rPr>
          <w:rFonts w:ascii="Times New Roman" w:cs="Times New Roman" w:eastAsia="Times New Roman" w:hAnsi="Times New Roman"/>
          <w:sz w:val="18"/>
          <w:szCs w:val="18"/>
          <w:color w:val="auto"/>
        </w:rPr>
        <w:t>. The Equityholder hereby represents and warrants to Parent and the Company as follows:</w:t>
      </w:r>
    </w:p>
    <w:p>
      <w:pPr>
        <w:spacing w:after="0" w:line="117" w:lineRule="exact"/>
        <w:rPr>
          <w:rFonts w:ascii="Times New Roman" w:cs="Times New Roman" w:eastAsia="Times New Roman" w:hAnsi="Times New Roman"/>
          <w:sz w:val="18"/>
          <w:szCs w:val="18"/>
          <w:color w:val="auto"/>
        </w:rPr>
      </w:pPr>
    </w:p>
    <w:p>
      <w:pPr>
        <w:ind w:left="-40" w:right="40" w:firstLine="987"/>
        <w:spacing w:after="0" w:line="277" w:lineRule="auto"/>
        <w:tabs>
          <w:tab w:leader="none" w:pos="1196"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Equityholder is the beneficial or record owner of the shares of Parent Capital Stock and other securities of the Company indicated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(each of which shall be deemed to be “held” by the Equityholder for purposes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unless otherwise expressly stated with respect to any shares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free and clear of any and all Encumbrances (except for any Encumbrance that may be imposed pursuant to this Agreement and Encumbrances arising under applicable securities or community property laws); and (ii) the Equityholder does not beneficially own any securities of Parent other than the shares of Parent Capital Stock and rights to purchase shares of Parent Capital Stock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0" w:firstLine="987"/>
        <w:spacing w:after="0" w:line="255" w:lineRule="auto"/>
        <w:tabs>
          <w:tab w:leader="none" w:pos="120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Equityholder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Equityholder has not entered into any voting agreement (other than this Agreement) with any person with respect to any of the Equityholder’s Shares, granted any person any proxy (revocable or irrevocable) or power of attorney with respect to any of the Equityholder’s Shares, deposited any of the Equityholder’s Shares in a voting trust or entered into any arrangement or agreement with any person limiting or affecting the Equityholder’s legal power, authority or right to vote the Equityholder’s Shares on any matter.</w:t>
      </w:r>
    </w:p>
    <w:p>
      <w:pPr>
        <w:spacing w:after="0" w:line="188" w:lineRule="exact"/>
        <w:rPr>
          <w:rFonts w:ascii="Times New Roman" w:cs="Times New Roman" w:eastAsia="Times New Roman" w:hAnsi="Times New Roman"/>
          <w:sz w:val="18"/>
          <w:szCs w:val="18"/>
          <w:color w:val="auto"/>
        </w:rPr>
      </w:pPr>
    </w:p>
    <w:p>
      <w:pPr>
        <w:ind w:left="-40" w:firstLine="987"/>
        <w:spacing w:after="0" w:line="253" w:lineRule="auto"/>
        <w:tabs>
          <w:tab w:leader="none" w:pos="119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Equityholder and (assuming the due authorization, execution and delivery by the other Parties) constitutes a valid and binding agreement of the Equityholder enforceable against the Equityholder in accordance with its terms, subject to the Enforceability Exceptions. The execution and delivery of this Agreement by the Equityholder and the performance by the Equityholder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Equityholder is a party or by which the Equityholder is bound, or any applicable Law to which the Equityholder or any of the Equityholder’s assets is subject or bound, (ii) give to others any rights of termination, amendment, acceleration or cancellation of, or require any consent, waiver or approval under, any Contract or other legally binding instrument or obligation to which the Equityholder is a party or by which the Equityholder or any of the Equityholder’s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Equityholder’s ability to perform its obligations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920"/>
          </w:cols>
          <w:pgMar w:left="480" w:top="270" w:right="499" w:bottom="1440" w:gutter="0" w:footer="0" w:header="0"/>
        </w:sectPr>
      </w:pPr>
    </w:p>
    <w:bookmarkStart w:id="118" w:name="page119"/>
    <w:bookmarkEnd w:id="118"/>
    <w:p>
      <w:pPr>
        <w:ind w:right="40" w:firstLine="987"/>
        <w:spacing w:after="0" w:line="261"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Equityholder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Equityholder’s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Equityholder has had the opportunity to review the Merger Agreement and this Agreement with counsel of the Equityholder’s own choosing. The Equityholder has had an opportunity to review with its own tax advisors the tax consequences of the Merger and the Contemplated Transactions. The Equityholder understands that it must rely solely on its advisors and not on any statements or representations made by Parent, the Company or any of their respective agents or representatives with respect to the tax consequences of the Merger and the Contemplated Transactions. The Equityholder understands that such Equityholder (and not Parent, the Company or the Surviving Corporation) shall be responsible for such Equityholder’s tax liability that may arise as a result of the Merger or the Contemplated Transactions. The Equityholder understands and acknowledges that the Company, Parent and Merger Sub are entering into the Merger Agreement in reliance upon the Equityholder’s execution, delivery and performance of this Agreement.</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Equityholder, as of the date hereof, there is no action, suit, investigation or proceeding pending against, or, to the knowledge of the Equityholder, threatened against, the Equityholder or any of the Equityholder’s properties or assets (including the Shares) that would reasonably be expected to prevent or materially delay or impair the ability of the Equityholder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Equityholder.</w:t>
      </w:r>
    </w:p>
    <w:p>
      <w:pPr>
        <w:spacing w:after="0" w:line="176" w:lineRule="exact"/>
        <w:rPr>
          <w:sz w:val="20"/>
          <w:szCs w:val="20"/>
          <w:color w:val="auto"/>
        </w:rPr>
      </w:pPr>
    </w:p>
    <w:p>
      <w:pPr>
        <w:ind w:right="20" w:firstLine="436"/>
        <w:spacing w:after="0" w:line="258" w:lineRule="auto"/>
        <w:tabs>
          <w:tab w:leader="none" w:pos="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Equityholder, the Company and Parent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from any liability for any material and willful breach of this Agreement prior to the Effective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00"/>
          </w:cols>
          <w:pgMar w:left="440" w:top="270" w:right="459" w:bottom="1440" w:gutter="0" w:footer="0" w:header="0"/>
        </w:sectPr>
      </w:pPr>
    </w:p>
    <w:bookmarkStart w:id="119" w:name="page120"/>
    <w:bookmarkEnd w:id="119"/>
    <w:p>
      <w:pPr>
        <w:ind w:left="700" w:hanging="264"/>
        <w:spacing w:after="0"/>
        <w:tabs>
          <w:tab w:leader="none" w:pos="7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not be amended, supplemented or modified, and no provisions hereof may be modified or waived, except by an instrument in writing and signed by each of the Parties.</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 or Facsimile</w:t>
      </w:r>
      <w:r>
        <w:rPr>
          <w:rFonts w:ascii="Times New Roman" w:cs="Times New Roman" w:eastAsia="Times New Roman" w:hAnsi="Times New Roman"/>
          <w:sz w:val="18"/>
          <w:szCs w:val="18"/>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Rights</w:t>
      </w:r>
      <w:r>
        <w:rPr>
          <w:rFonts w:ascii="Times New Roman" w:cs="Times New Roman" w:eastAsia="Times New Roman" w:hAnsi="Times New Roman"/>
          <w:sz w:val="18"/>
          <w:szCs w:val="18"/>
          <w:color w:val="auto"/>
        </w:rPr>
        <w:t>. Nothing in this Agreement, express or implied, is intended to or shall confer upon any Person any right, benefit or remedy of any nature whatsoever under or by reason of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00"/>
          </w:cols>
          <w:pgMar w:left="440" w:top="270" w:right="459" w:bottom="1440" w:gutter="0" w:footer="0" w:header="0"/>
        </w:sectPr>
      </w:pPr>
    </w:p>
    <w:bookmarkStart w:id="120" w:name="page121"/>
    <w:bookmarkEnd w:id="120"/>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sz w:val="20"/>
          <w:szCs w:val="20"/>
          <w:color w:val="auto"/>
        </w:rPr>
      </w:pPr>
    </w:p>
    <w:p>
      <w:pPr>
        <w:ind w:left="4" w:firstLine="987"/>
        <w:spacing w:after="0" w:line="253" w:lineRule="auto"/>
        <w:tabs>
          <w:tab w:leader="none" w:pos="12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9"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Restrictions</w:t>
      </w:r>
      <w:r>
        <w:rPr>
          <w:rFonts w:ascii="Times New Roman" w:cs="Times New Roman" w:eastAsia="Times New Roman" w:hAnsi="Times New Roman"/>
          <w:sz w:val="17"/>
          <w:szCs w:val="17"/>
          <w:color w:val="auto"/>
        </w:rPr>
        <w:t>. Subject to the other terms of this Agreement, the Equityholder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9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validity of, or seeking to enjoin the operation of, any provision of the Merger Agreement or this Agreement or (B) alleging a breach of any fiduciary duty of the Company Board in connection with the Merger Agreement or the transactions contemplated thereby.</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Equityholder, to the Equityholder’s address, electronic mail address or facsimile shown below Equityholder’s signature to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4"/>
          </w:cols>
          <w:pgMar w:left="436" w:top="270" w:right="459" w:bottom="1440" w:gutter="0" w:footer="0" w:header="0"/>
        </w:sectPr>
      </w:pPr>
    </w:p>
    <w:bookmarkStart w:id="121" w:name="page122"/>
    <w:bookmarkEnd w:id="121"/>
    <w:p>
      <w:pPr>
        <w:ind w:left="-40" w:right="20" w:firstLine="987"/>
        <w:spacing w:after="0" w:line="254" w:lineRule="auto"/>
        <w:tabs>
          <w:tab w:leader="none" w:pos="116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xml:space="preserve">. Except to the extent required by applicable Law or regulation, the Equityholder shall hold any non-public information regarding the Company, this Agreement, the Merger Agreement and the Contemplated Transactions in strict confidence and shall not divulge any such information to any third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Equityholder may disclose such information to its Affiliates, attorneys, accountants, consultants, and other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Persons are subject to confidentiality obligations at least as restrictive as those contained herein). Neither the Equityholder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88" w:lineRule="exact"/>
        <w:rPr>
          <w:rFonts w:ascii="Times New Roman" w:cs="Times New Roman" w:eastAsia="Times New Roman" w:hAnsi="Times New Roman"/>
          <w:sz w:val="18"/>
          <w:szCs w:val="18"/>
          <w:color w:val="auto"/>
        </w:rPr>
      </w:pPr>
    </w:p>
    <w:p>
      <w:pPr>
        <w:ind w:left="-40" w:firstLine="987"/>
        <w:spacing w:after="0" w:line="267" w:lineRule="auto"/>
        <w:tabs>
          <w:tab w:leader="none" w:pos="120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940"/>
          </w:cols>
          <w:pgMar w:left="480" w:top="270" w:right="479" w:bottom="1440" w:gutter="0" w:footer="0" w:header="0"/>
        </w:sectPr>
      </w:pPr>
    </w:p>
    <w:bookmarkStart w:id="122" w:name="page123"/>
    <w:bookmarkEnd w:id="122"/>
    <w:p>
      <w:pPr>
        <w:ind w:left="-80" w:firstLine="987"/>
        <w:spacing w:after="0" w:line="266" w:lineRule="auto"/>
        <w:tabs>
          <w:tab w:leader="none" w:pos="11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w:t>
      </w:r>
    </w:p>
    <w:p>
      <w:pPr>
        <w:spacing w:after="0" w:line="175" w:lineRule="exact"/>
        <w:rPr>
          <w:rFonts w:ascii="Times New Roman" w:cs="Times New Roman" w:eastAsia="Times New Roman" w:hAnsi="Times New Roman"/>
          <w:sz w:val="18"/>
          <w:szCs w:val="18"/>
          <w:color w:val="auto"/>
        </w:rPr>
      </w:pPr>
    </w:p>
    <w:p>
      <w:pPr>
        <w:ind w:left="-80" w:right="580" w:firstLine="987"/>
        <w:spacing w:after="0" w:line="289" w:lineRule="auto"/>
        <w:tabs>
          <w:tab w:leader="none" w:pos="121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0860"/>
          </w:cols>
          <w:pgMar w:left="520" w:top="270" w:right="51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Equityholder: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891540</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600075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50" w:lineRule="exact"/>
        <w:rPr>
          <w:sz w:val="20"/>
          <w:szCs w:val="20"/>
          <w:color w:val="auto"/>
        </w:rPr>
      </w:pPr>
    </w:p>
    <w:p>
      <w:pPr>
        <w:ind w:left="114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Parent Capital Stock</w:t>
      </w:r>
      <w:r>
        <w:rPr>
          <w:sz w:val="20"/>
          <w:szCs w:val="20"/>
          <w:color w:val="auto"/>
        </w:rPr>
        <w:tab/>
      </w:r>
      <w:r>
        <w:rPr>
          <w:rFonts w:ascii="Times New Roman" w:cs="Times New Roman" w:eastAsia="Times New Roman" w:hAnsi="Times New Roman"/>
          <w:sz w:val="14"/>
          <w:szCs w:val="14"/>
          <w:b w:val="1"/>
          <w:bCs w:val="1"/>
          <w:color w:val="auto"/>
        </w:rPr>
        <w:t>Parent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222250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STOCKHOLDER SUPPORT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22, 2026, by and among Serapha Bio, Inc., a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Boundless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stockholder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each of the Stockholder, Company, and Parent,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shall have the respective meanings ascribed to such terms in the Merger Agreement (as defined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Parent, the Company and Boulder Merger Sub Corp., a Delaware corporation and a wholly owned subsidiary of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Stockholder is the beneficial owner (as defined in Rule 13d-3 under the Exchange Act) of such number of shares of Company Capital Stock and any other equity securities of the Company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Parent to enter into the Merger Agreement, Parent has required that Stockholder enter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117" w:lineRule="exact"/>
        <w:rPr>
          <w:sz w:val="20"/>
          <w:szCs w:val="20"/>
          <w:color w:val="auto"/>
        </w:rPr>
      </w:pPr>
    </w:p>
    <w:p>
      <w:pPr>
        <w:ind w:right="60" w:firstLine="436"/>
        <w:spacing w:after="0" w:line="282" w:lineRule="auto"/>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79"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(i) all shares of Company Capital Stock and any other equity securities of the Company beneficially owned by the Stockholder as of the date hereof, including such securities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(ii) all additional shares of Company Capital Stock issued or otherwise acquired, whether beneficially owned or of record, or owned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266" w:right="439" w:bottom="1440" w:gutter="0" w:footer="0" w:header="0"/>
        </w:sectPr>
      </w:pPr>
    </w:p>
    <w:bookmarkStart w:id="128" w:name="page129"/>
    <w:bookmarkEnd w:id="128"/>
    <w:p>
      <w:pPr>
        <w:ind w:right="20" w:firstLine="987"/>
        <w:spacing w:after="0" w:line="255" w:lineRule="auto"/>
        <w:tabs>
          <w:tab w:leader="none" w:pos="123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Stockholder covenants to Parent and the Company as follows:</w:t>
      </w:r>
    </w:p>
    <w:p>
      <w:pPr>
        <w:spacing w:after="0" w:line="117"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Stockholder shall not Transfer any of the Stockholder’s Shares, publicly announce its intention to Transfer any of its Shares or enter into any contract with respect to any Transfer of, its Shares or any interest therein.</w:t>
      </w:r>
    </w:p>
    <w:p>
      <w:pPr>
        <w:spacing w:after="0" w:line="175"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70" w:right="439" w:bottom="1440" w:gutter="0" w:footer="0" w:header="0"/>
        </w:sectPr>
      </w:pPr>
    </w:p>
    <w:bookmarkStart w:id="129" w:name="page130"/>
    <w:bookmarkEnd w:id="129"/>
    <w:p>
      <w:pPr>
        <w:ind w:firstLine="987"/>
        <w:spacing w:after="0" w:line="253" w:lineRule="auto"/>
        <w:tabs>
          <w:tab w:leader="none" w:pos="12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else herein to the contrary, the Stockholder may, at any time, Transfer Shares (i) by will or other testamentary document or by intestacy to the legal representative, heir, beneficiary or a member of the immediate family of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and (v) to the extent required by operation of law pursuant to a qualified domestic relations order or in connection with a divorce settlement;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Stockholder shall remain liable for any failure of such transferee to comply with or perform its obligations under this Agreement. Any action taken in violation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null and void ab initio.</w:t>
      </w:r>
    </w:p>
    <w:p>
      <w:pPr>
        <w:spacing w:after="0" w:line="189"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shall obligate the Stockholder to exercise any option or any other right to acquire any shares of Company Capital Stock.</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Stockholder covenants to Parent and the Company as follows:</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spacing w:after="0" w:line="183"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70" w:right="459" w:bottom="1440" w:gutter="0" w:footer="0" w:header="0"/>
        </w:sectPr>
      </w:pPr>
    </w:p>
    <w:bookmarkStart w:id="130" w:name="page131"/>
    <w:bookmarkEnd w:id="130"/>
    <w:p>
      <w:pPr>
        <w:ind w:left="4" w:firstLine="436"/>
        <w:spacing w:after="0" w:line="266" w:lineRule="auto"/>
        <w:tabs>
          <w:tab w:leader="none" w:pos="62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in Stockholder Capacity Only</w:t>
      </w:r>
      <w:r>
        <w:rPr>
          <w:rFonts w:ascii="Times New Roman" w:cs="Times New Roman" w:eastAsia="Times New Roman" w:hAnsi="Times New Roman"/>
          <w:sz w:val="18"/>
          <w:szCs w:val="18"/>
          <w:color w:val="auto"/>
        </w:rPr>
        <w:t xml:space="preserve">. The Stockholder is entering into this Agreement solely in the Stockholder’s capacity as a record holder and beneficial owner, as applicable, of its Shares and not in the Stockholder’s capacity as a director or officer of the Company. Nothing herein shall limit or affect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ability to exercise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fiduciary duties as an officer or director of the Company.</w:t>
      </w:r>
    </w:p>
    <w:p>
      <w:pPr>
        <w:spacing w:after="0" w:line="17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the Company or pursuant to any applicable written consent of the stockholders of the Company, the Stockholder shall be deemed to have irrevocably granted to, and appointed, the Company as his, her or its proxy and attorney-in-fact (with full power of substitution), for and in its name, place and stead, to (a) attend any all meetings of the Company stockholders with respect to any of the matters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 respect to such Shares.</w:t>
      </w:r>
    </w:p>
    <w:p>
      <w:pPr>
        <w:spacing w:after="0" w:line="190"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2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Stockholder hereby represents and warrants that the Stockholder has read Section 5.4 of the Merger Agreement.</w:t>
      </w:r>
    </w:p>
    <w:p>
      <w:pPr>
        <w:spacing w:after="0" w:line="179"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2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04"/>
          </w:cols>
          <w:pgMar w:left="436" w:top="270" w:right="459" w:bottom="1440" w:gutter="0" w:footer="0" w:header="0"/>
        </w:sectPr>
      </w:pPr>
    </w:p>
    <w:bookmarkStart w:id="131" w:name="page132"/>
    <w:bookmarkEnd w:id="131"/>
    <w:p>
      <w:pPr>
        <w:ind w:left="620" w:hanging="184"/>
        <w:spacing w:after="0"/>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Stockholder</w:t>
      </w:r>
      <w:r>
        <w:rPr>
          <w:rFonts w:ascii="Times New Roman" w:cs="Times New Roman" w:eastAsia="Times New Roman" w:hAnsi="Times New Roman"/>
          <w:sz w:val="18"/>
          <w:szCs w:val="18"/>
          <w:color w:val="auto"/>
        </w:rPr>
        <w:t>. The Stockholder hereby represents and warrants to Parent and the Company as follows:</w:t>
      </w:r>
    </w:p>
    <w:p>
      <w:pPr>
        <w:spacing w:after="0" w:line="117" w:lineRule="exact"/>
        <w:rPr>
          <w:rFonts w:ascii="Times New Roman" w:cs="Times New Roman" w:eastAsia="Times New Roman" w:hAnsi="Times New Roman"/>
          <w:sz w:val="18"/>
          <w:szCs w:val="18"/>
          <w:color w:val="auto"/>
        </w:rPr>
      </w:pPr>
    </w:p>
    <w:p>
      <w:pPr>
        <w:ind w:right="200" w:firstLine="987"/>
        <w:spacing w:after="0" w:line="255"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Stockholder is the beneficial or record owner of the shares of Company Capital Stock and other securities of the Company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(each of which shall be deemed to be “held” by the Stockholder for purposes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unless otherwise expressly stated with respect to any shares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equity securities of the Company and rights to purchase shares of Company Capital Stock set forth in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188"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Stockholder is a party or bound, or any applicable Law to which the Stockholder (or any of the Stockholder’s assets) is subject or bound, (ii) give to others any rights of termination, amendment, acceleration or cancellation of, or require any consent, waiver or approval under, any Contract or other legally binding instrument or obligation to which the Stockholder is a party or by which the Stockholder or any of the Stockholder’s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Stockholder’s ability to perform its obligations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00"/>
          </w:cols>
          <w:pgMar w:left="440" w:top="270" w:right="459" w:bottom="1440" w:gutter="0" w:footer="0" w:header="0"/>
        </w:sectPr>
      </w:pPr>
    </w:p>
    <w:bookmarkStart w:id="132" w:name="page133"/>
    <w:bookmarkEnd w:id="132"/>
    <w:p>
      <w:pPr>
        <w:ind w:left="-20" w:right="40" w:firstLine="987"/>
        <w:spacing w:after="0" w:line="261" w:lineRule="auto"/>
        <w:tabs>
          <w:tab w:leader="none" w:pos="12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Stockholder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left="-20" w:right="160" w:firstLine="987"/>
        <w:spacing w:after="0" w:line="254" w:lineRule="auto"/>
        <w:tabs>
          <w:tab w:leader="none" w:pos="12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the Merger or the Contemplated Transactions. The Stockholder understands and acknowledges that the Company, Parent and Merger Sub are entering into the Merger Agreement in reliance upon the Stockholder’s execution, delivery and performance of this Agreement.</w:t>
      </w:r>
    </w:p>
    <w:p>
      <w:pPr>
        <w:spacing w:after="0" w:line="191"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9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2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Merger Agreement and the Company Disclosure Letter,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Stockholder.</w:t>
      </w:r>
    </w:p>
    <w:p>
      <w:pPr>
        <w:spacing w:after="0" w:line="179" w:lineRule="exact"/>
        <w:rPr>
          <w:rFonts w:ascii="Times New Roman" w:cs="Times New Roman" w:eastAsia="Times New Roman" w:hAnsi="Times New Roman"/>
          <w:sz w:val="18"/>
          <w:szCs w:val="18"/>
          <w:color w:val="auto"/>
        </w:rPr>
      </w:pPr>
    </w:p>
    <w:p>
      <w:pPr>
        <w:ind w:left="-20" w:firstLine="436"/>
        <w:spacing w:after="0" w:line="253" w:lineRule="auto"/>
        <w:tabs>
          <w:tab w:leader="none" w:pos="6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w:t>
      </w:r>
      <w:r>
        <w:rPr>
          <w:rFonts w:ascii="Times New Roman" w:cs="Times New Roman" w:eastAsia="Times New Roman" w:hAnsi="Times New Roman"/>
          <w:sz w:val="18"/>
          <w:szCs w:val="18"/>
          <w:color w:val="auto"/>
        </w:rPr>
        <w:t>. Each Stockholder, by this Agreement, and with respect to such Stockholder’s Shares, severally and not jointly, hereby agrees to terminate, subject to the occurrence of, and effective immediately prior to, the Effective Time, other than the Registration Rights Agreement,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0980"/>
          </w:cols>
          <w:pgMar w:left="460" w:top="270" w:right="459" w:bottom="1440" w:gutter="0" w:footer="0" w:header="0"/>
        </w:sectPr>
      </w:pPr>
    </w:p>
    <w:bookmarkStart w:id="133" w:name="page134"/>
    <w:bookmarkEnd w:id="133"/>
    <w:p>
      <w:pPr>
        <w:ind w:right="20" w:firstLine="436"/>
        <w:spacing w:after="0" w:line="258"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Stockholder, the Company and Parent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from any liability for any material and willful breach of this Agreement prior to the Effective Time.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not be amended, supplemented or modified, and no provisions hereof may be modified or waived, except by an instrument in writing and signed by each of the Parties.</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 or Facsimile</w:t>
      </w:r>
      <w:r>
        <w:rPr>
          <w:rFonts w:ascii="Times New Roman" w:cs="Times New Roman" w:eastAsia="Times New Roman" w:hAnsi="Times New Roman"/>
          <w:sz w:val="18"/>
          <w:szCs w:val="18"/>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00"/>
          </w:cols>
          <w:pgMar w:left="440" w:top="270" w:right="459" w:bottom="1440" w:gutter="0" w:footer="0" w:header="0"/>
        </w:sectPr>
      </w:pPr>
    </w:p>
    <w:bookmarkStart w:id="134" w:name="page135"/>
    <w:bookmarkEnd w:id="134"/>
    <w:p>
      <w:pPr>
        <w:ind w:right="4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Third-Party Rights</w:t>
      </w:r>
      <w:r>
        <w:rPr>
          <w:rFonts w:ascii="Times New Roman" w:cs="Times New Roman" w:eastAsia="Times New Roman" w:hAnsi="Times New Roman"/>
          <w:sz w:val="18"/>
          <w:szCs w:val="18"/>
          <w:color w:val="auto"/>
        </w:rPr>
        <w:t>. Nothing in this Agreement, express or implied, is intended to or shall confer upon any Person any right, benefit or remedy of any nature whatsoever under or by reason of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9"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 Subject to the other terms of this Agreement, the Stockholder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0"/>
          </w:cols>
          <w:pgMar w:left="440" w:top="270" w:right="459" w:bottom="1440" w:gutter="0" w:footer="0" w:header="0"/>
        </w:sectPr>
      </w:pPr>
    </w:p>
    <w:bookmarkStart w:id="135" w:name="page136"/>
    <w:bookmarkEnd w:id="135"/>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w:t>
      </w:r>
    </w:p>
    <w:p>
      <w:pPr>
        <w:spacing w:after="0" w:line="180" w:lineRule="exact"/>
        <w:rPr>
          <w:sz w:val="20"/>
          <w:szCs w:val="20"/>
          <w:color w:val="auto"/>
        </w:rPr>
      </w:pPr>
    </w:p>
    <w:p>
      <w:pPr>
        <w:ind w:firstLine="987"/>
        <w:spacing w:after="0" w:line="256"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spacing w:after="0" w:line="187" w:lineRule="exact"/>
        <w:rPr>
          <w:rFonts w:ascii="Times New Roman" w:cs="Times New Roman" w:eastAsia="Times New Roman" w:hAnsi="Times New Roman"/>
          <w:sz w:val="18"/>
          <w:szCs w:val="18"/>
          <w:color w:val="auto"/>
        </w:rPr>
      </w:pPr>
    </w:p>
    <w:p>
      <w:pPr>
        <w:ind w:right="160" w:firstLine="987"/>
        <w:spacing w:after="0" w:line="254"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 may disclose such information to its Affiliates, attorneys, accountants, consultants, and other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88" w:lineRule="exact"/>
        <w:rPr>
          <w:rFonts w:ascii="Times New Roman" w:cs="Times New Roman" w:eastAsia="Times New Roman" w:hAnsi="Times New Roman"/>
          <w:sz w:val="18"/>
          <w:szCs w:val="18"/>
          <w:color w:val="auto"/>
        </w:rPr>
      </w:pPr>
    </w:p>
    <w:p>
      <w:pPr>
        <w:ind w:right="160" w:firstLine="987"/>
        <w:spacing w:after="0" w:line="253"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000"/>
          </w:cols>
          <w:pgMar w:left="440" w:top="270" w:right="459" w:bottom="1440" w:gutter="0" w:footer="0" w:header="0"/>
        </w:sectPr>
      </w:pPr>
    </w:p>
    <w:bookmarkStart w:id="136" w:name="page137"/>
    <w:bookmarkEnd w:id="1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w:t>
      </w:r>
    </w:p>
    <w:p>
      <w:pPr>
        <w:spacing w:after="0" w:line="188" w:lineRule="exact"/>
        <w:rPr>
          <w:sz w:val="20"/>
          <w:szCs w:val="20"/>
          <w:color w:val="auto"/>
        </w:rPr>
      </w:pPr>
    </w:p>
    <w:p>
      <w:pPr>
        <w:ind w:right="60" w:firstLine="987"/>
        <w:spacing w:after="0" w:line="266"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w:t>
      </w:r>
    </w:p>
    <w:p>
      <w:pPr>
        <w:spacing w:after="0" w:line="175" w:lineRule="exact"/>
        <w:rPr>
          <w:rFonts w:ascii="Times New Roman" w:cs="Times New Roman" w:eastAsia="Times New Roman" w:hAnsi="Times New Roman"/>
          <w:sz w:val="18"/>
          <w:szCs w:val="18"/>
          <w:color w:val="auto"/>
        </w:rPr>
      </w:pPr>
    </w:p>
    <w:p>
      <w:pPr>
        <w:ind w:right="640" w:firstLine="987"/>
        <w:spacing w:after="0" w:line="289" w:lineRule="auto"/>
        <w:tabs>
          <w:tab w:leader="none" w:pos="129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Remainder of Page Left Intentionally Blank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000"/>
          </w:cols>
          <w:pgMar w:left="440" w:top="270" w:right="45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8" w:name="page139"/>
    <w:bookmarkEnd w:id="13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Stockholder: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891540</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600075</wp:posOffset>
            </wp:positionV>
            <wp:extent cx="27946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222250</wp:posOffset>
            </wp:positionV>
            <wp:extent cx="2237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16510</wp:posOffset>
            </wp:positionV>
            <wp:extent cx="2237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Company Stockholder Support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ind w:left="4" w:right="40" w:firstLine="440"/>
        <w:spacing w:after="0" w:line="317"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dated as of June 22, 2026, by and among Serapha Bio, Inc., a Delaware corporation (“</w:t>
      </w:r>
      <w:r>
        <w:rPr>
          <w:rFonts w:ascii="Times New Roman" w:cs="Times New Roman" w:eastAsia="Times New Roman" w:hAnsi="Times New Roman"/>
          <w:sz w:val="17"/>
          <w:szCs w:val="17"/>
          <w:b w:val="1"/>
          <w:bCs w:val="1"/>
          <w:color w:val="auto"/>
        </w:rPr>
        <w:t>Serapha</w:t>
      </w:r>
      <w:r>
        <w:rPr>
          <w:rFonts w:ascii="Times New Roman" w:cs="Times New Roman" w:eastAsia="Times New Roman" w:hAnsi="Times New Roman"/>
          <w:sz w:val="17"/>
          <w:szCs w:val="17"/>
          <w:color w:val="auto"/>
        </w:rPr>
        <w:t xml:space="preserve">”), and each of the Persons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to this Agreement (each,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and the Investors are executing and delivering this Agreement in reliance upon the exemption from securities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desires to sell to the Investors, and each Investor desires to purchase from Serapha, severally and not jointly, upon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conditions stated in this Agreement, (A)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the Company’s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per share purchase price equal to the Share Price, and/or (B)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at a per warrant price equal to the Pre-Funded Warrant Price (as defined below);</w:t>
      </w:r>
    </w:p>
    <w:p>
      <w:pPr>
        <w:spacing w:after="0" w:line="179"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Initial Shares and/or the Pre-Funded Warrants, Serapha and the Investors will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a Registration Rights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Company will agree to provide certain registration rights in respect of the Shares (as defined below) under the Securities Act and applicable state securities laws; and</w:t>
      </w:r>
    </w:p>
    <w:p>
      <w:pPr>
        <w:spacing w:after="0" w:line="171" w:lineRule="exact"/>
        <w:rPr>
          <w:sz w:val="20"/>
          <w:szCs w:val="20"/>
          <w:color w:val="auto"/>
        </w:rPr>
      </w:pPr>
    </w:p>
    <w:p>
      <w:pPr>
        <w:ind w:left="4" w:right="120" w:firstLine="440"/>
        <w:spacing w:after="0" w:line="23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is party to that certain Agreement and Plan of Merger and Reorganization by and among Serapha, Boundless Bio,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Boulder Merger Sub Corp., a Delaware corporation and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dated June 22, 2026 (as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(i) Merger Sub will merge with and into Serapha, with Serapha surviving and becoming a wholly-owned subsidiary of Parent, and (ii) Parent will change its name to Serapha Bio, Inc.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(Parent, as renamed, “</w:t>
      </w:r>
      <w:r>
        <w:rPr>
          <w:rFonts w:ascii="Times New Roman" w:cs="Times New Roman" w:eastAsia="Times New Roman" w:hAnsi="Times New Roman"/>
          <w:sz w:val="18"/>
          <w:szCs w:val="18"/>
          <w:b w:val="1"/>
          <w:bCs w:val="1"/>
          <w:color w:val="auto"/>
        </w:rPr>
        <w:t>TopCo</w:t>
      </w:r>
      <w:r>
        <w:rPr>
          <w:rFonts w:ascii="Times New Roman" w:cs="Times New Roman" w:eastAsia="Times New Roman" w:hAnsi="Times New Roman"/>
          <w:sz w:val="18"/>
          <w:szCs w:val="18"/>
          <w:color w:val="auto"/>
        </w:rPr>
        <w:t>” and the transactions described in the foregoing clauses (i) and (ii),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51" w:lineRule="exact"/>
        <w:rPr>
          <w:sz w:val="20"/>
          <w:szCs w:val="20"/>
          <w:color w:val="auto"/>
        </w:rPr>
      </w:pPr>
    </w:p>
    <w:p>
      <w:pPr>
        <w:ind w:left="444" w:right="2760" w:hanging="4"/>
        <w:spacing w:after="0" w:line="407" w:lineRule="auto"/>
        <w:tabs>
          <w:tab w:leader="none" w:pos="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hereof.</w:t>
      </w:r>
    </w:p>
    <w:p>
      <w:pPr>
        <w:spacing w:after="0" w:line="50"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8" w:lineRule="exact"/>
        <w:rPr>
          <w:sz w:val="20"/>
          <w:szCs w:val="20"/>
          <w:color w:val="auto"/>
        </w:rPr>
      </w:pPr>
    </w:p>
    <w:p>
      <w:pPr>
        <w:ind w:left="5464" w:right="3420" w:hanging="5464"/>
        <w:spacing w:after="0" w:line="338" w:lineRule="auto"/>
        <w:tabs>
          <w:tab w:leader="none" w:pos="433" w:val="left"/>
        </w:tabs>
        <w:numPr>
          <w:ilvl w:val="0"/>
          <w:numId w:val="1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The Company will change its name prior to closing so that Parent is able to adopt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Aggregate Purchase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bylaws of the Company, as currently in effect and as in effect on the Closing Date.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Amended and Restated Certificate of Incorporation of the Company, as currently in effect and as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Company for all periods prior to the Effective Time (as defined in the Merger Agreement) and TopCo for all periods following the Effective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5.9(a).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Majority</w:t>
      </w:r>
      <w:r>
        <w:rPr>
          <w:rFonts w:ascii="Times New Roman" w:cs="Times New Roman" w:eastAsia="Times New Roman" w:hAnsi="Times New Roman"/>
          <w:sz w:val="18"/>
          <w:szCs w:val="18"/>
          <w:color w:val="auto"/>
        </w:rPr>
        <w:t>” means, (i) prior to the Closing, the Investors committed to purchase at least a majority of the Securities, which majority shall include each of RTW and RA Capital, and (ii) following the Closing, the Investors who hold (as of such time) at least a majority of the Securities (including any Pre-Funded Warrant Shares). For the avoidance of doubt, the Securities which RA Capital Healthcare Fund, L.P. and RA Capital Nexus Fund IV, L.P. have committed to purchase shall be aggregated and treated as held by “RA Capital” for all purposes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79" w:lineRule="exact"/>
        <w:rPr>
          <w:sz w:val="20"/>
          <w:szCs w:val="20"/>
          <w:color w:val="auto"/>
        </w:rPr>
      </w:pPr>
    </w:p>
    <w:p>
      <w:pPr>
        <w:ind w:left="440" w:right="80" w:firstLine="419"/>
        <w:spacing w:after="0" w:line="266" w:lineRule="auto"/>
        <w:tabs>
          <w:tab w:leader="none" w:pos="10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4" w:name="page145"/>
    <w:bookmarkEnd w:id="144"/>
    <w:p>
      <w:pPr>
        <w:ind w:left="440" w:right="60" w:firstLine="419"/>
        <w:spacing w:after="0" w:line="282" w:lineRule="auto"/>
        <w:tabs>
          <w:tab w:leader="none" w:pos="11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financial, credit or capital market conditions, including interest rates or exchange rates, or any changes therein, provided that the Company or its subsidiaries are not disproportionately affected thereby;</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and its subsidiaries conduct business, provided that the Company and its subsidiaries are not disproportionately affected thereby;</w:t>
      </w:r>
    </w:p>
    <w:p>
      <w:pPr>
        <w:spacing w:after="0" w:line="53"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epidemic or similar health emergency, and other force majeure events in the United States or any other location, provided that the Company and its subsidiaries are not disproportionately affected thereby;</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 and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1" w:lineRule="auto"/>
        <w:tabs>
          <w:tab w:leader="none" w:pos="12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(i) on and prior to the Closing Date, The Nasdaq Global Select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6"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5" w:name="page146"/>
    <w:bookmarkEnd w:id="1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Price</w:t>
      </w:r>
      <w:r>
        <w:rPr>
          <w:rFonts w:ascii="Times New Roman" w:cs="Times New Roman" w:eastAsia="Times New Roman" w:hAnsi="Times New Roman"/>
          <w:sz w:val="18"/>
          <w:szCs w:val="18"/>
          <w:color w:val="auto"/>
        </w:rPr>
        <w:t>” means an amount equal to (i) the Share Price minus (ii) $0.00001.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 Capital</w:t>
      </w:r>
      <w:r>
        <w:rPr>
          <w:rFonts w:ascii="Times New Roman" w:cs="Times New Roman" w:eastAsia="Times New Roman" w:hAnsi="Times New Roman"/>
          <w:sz w:val="18"/>
          <w:szCs w:val="18"/>
          <w:color w:val="auto"/>
        </w:rPr>
        <w:t>” means collectively, RA Capital Healthcare Fund, L.P., and RA Capital Nexus Fund IV, L.P.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RTW</w:t>
      </w:r>
      <w:r>
        <w:rPr>
          <w:rFonts w:ascii="Times New Roman" w:cs="Times New Roman" w:eastAsia="Times New Roman" w:hAnsi="Times New Roman"/>
          <w:sz w:val="18"/>
          <w:szCs w:val="18"/>
          <w:color w:val="auto"/>
        </w:rPr>
        <w:t>” means RTW Holdings X, LLC.</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means $4.4997.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Initial Shares and the Pre-Funded Warrant Shares.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46" w:name="page147"/>
    <w:bookmarkEnd w:id="146"/>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the Pre-Funded Warrants, the Registration Rights Agreement and any other documents or agreements explicitly contemplated hereunder.</w:t>
      </w:r>
    </w:p>
    <w:p>
      <w:pPr>
        <w:spacing w:after="0" w:line="15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Computershare Trust Company, N.A., or such other financial institution that provides transfer agent services as the Company may engage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9" w:lineRule="exact"/>
        <w:rPr>
          <w:sz w:val="20"/>
          <w:szCs w:val="20"/>
          <w:color w:val="auto"/>
        </w:rPr>
      </w:pPr>
    </w:p>
    <w:p>
      <w:pPr>
        <w:ind w:left="620" w:hanging="184"/>
        <w:spacing w:after="0"/>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(a) the aggregate commitment amount set forth under the heading “Commitment Amount” and opposite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divided by (b) the Share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any Investor that has provided notice to the Company at least ten (10)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47" w:name="page148"/>
    <w:bookmarkEnd w:id="14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prior to the Closing will not be effective until the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Notwithstanding anything to the contrary set forth in this Agreement, for any Investor that has provided notice to the Company that this sentence shall apply to it, (A) the Investor shall not be required to purchase Pre-Funded Warrants and</w:t>
      </w:r>
    </w:p>
    <w:p>
      <w:pPr>
        <w:spacing w:after="0" w:line="3" w:lineRule="exact"/>
        <w:rPr>
          <w:sz w:val="20"/>
          <w:szCs w:val="20"/>
          <w:color w:val="auto"/>
        </w:rPr>
      </w:pPr>
    </w:p>
    <w:p>
      <w:pPr>
        <w:ind w:left="4" w:right="140" w:hanging="4"/>
        <w:spacing w:after="0" w:line="253" w:lineRule="auto"/>
        <w:tabs>
          <w:tab w:leader="none" w:pos="2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9.99%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the closing of the purchase and sale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occur remotely via the exchange of documents and signatures immediately prior to the Effective Time, or at such other time as agreed to by the Company and the Investor Majority. Not less than three Business Days prior to the anticipated Closing Date, the Company shall provide written notice to the Investors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xml:space="preserve">”) of the anticipated Closing Date and the wire instructions for delivery of the Aggregate Purchase Amount.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each case against payment to the Company of the purchase price therefor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in full, by wire transfer to the Company of immediately available funds (a “</w:t>
      </w:r>
      <w:r>
        <w:rPr>
          <w:rFonts w:ascii="Times New Roman" w:cs="Times New Roman" w:eastAsia="Times New Roman" w:hAnsi="Times New Roman"/>
          <w:sz w:val="18"/>
          <w:szCs w:val="18"/>
          <w:b w:val="1"/>
          <w:bCs w:val="1"/>
          <w:color w:val="auto"/>
        </w:rPr>
        <w:t>Wire</w:t>
      </w:r>
      <w:r>
        <w:rPr>
          <w:rFonts w:ascii="Times New Roman" w:cs="Times New Roman" w:eastAsia="Times New Roman" w:hAnsi="Times New Roman"/>
          <w:sz w:val="18"/>
          <w:szCs w:val="18"/>
          <w:color w:val="auto"/>
        </w:rPr>
        <w:t>”), at or prior to the Closing,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wire instructions provided by the Company to the Investors in the Closing Notice. On the Closing Date, the Company will (a) cause the Transfer Agent to issue the Initial Shares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respect to such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 sell, the Securities at the</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48" w:name="page149"/>
    <w:bookmarkEnd w:id="14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Closing. Notwithstanding the foregoing and anything in this Agreement to the contrary, (i) the Company may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 to three Business Days prior to the Closing, without the consent of the other parties hereto, to reflect the number of Securities purchased and the Aggregate Purchase Amount to be paid, in each case, by each applicable Investor, and shall provide such updated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an Investor upon request (provided, however, for the avoidance of doubt, that the Company may not increase or decrease an Investor’s “Commitment Amount”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without the prior written consent of such Investor),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spacing w:after="0" w:line="194" w:lineRule="exact"/>
        <w:rPr>
          <w:sz w:val="20"/>
          <w:szCs w:val="20"/>
          <w:color w:val="auto"/>
        </w:rPr>
      </w:pPr>
    </w:p>
    <w:p>
      <w:pPr>
        <w:ind w:right="40" w:firstLine="436"/>
        <w:spacing w:after="0" w:line="266" w:lineRule="auto"/>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hereby represents and warrants to each of the Investors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68"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(a) duly incorporated and validly existing and in good standing under the laws of the jurisdiction of its incorporation and has the requisite power and authority to carry on its business as now conducted and to own or lease its properties and (b) qualified to do business as a foreign corporation and in good standing in each jurisdiction in which such qualification is required, except in each case as would not reasonably be expected to have, a Material Adverse Effect.</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as of the date hereof consists of (a) 100,000,000 shares of Common Stock, 6,100,000 of which are issued and outstanding, and (b) 60,000,000 shares of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which (i) 35,000,000 shares have been designated Series A Preferred Stock, 30,668,708 of which are issued and outstanding, and (ii) 25,000,000 shares have been designated Series A-1 Preferred Stock, none of which are issued and outstanding. All of the issued and outstanding shares of Common Stock and Preferred Stock have been duly authorized and validly issued and are fully paid and non-assessable. None of the outstanding shares of Common Stock or Preferred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9" w:name="page150"/>
    <w:bookmarkEnd w:id="149"/>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other than such rights and obligations that have been satisfied or waived.</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to the extent applicable, the approval of the Board of Directors (or a committee thereof)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93"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0" w:name="page151"/>
    <w:bookmarkEnd w:id="150"/>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Initial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the offer and sale of the Securities to the Investors is, and will be,</w:t>
      </w:r>
    </w:p>
    <w:p>
      <w:pPr>
        <w:ind w:left="4" w:right="600" w:hanging="4"/>
        <w:spacing w:after="0" w:line="260" w:lineRule="auto"/>
        <w:tabs>
          <w:tab w:leader="none" w:pos="2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(a) violate any provision of the Certificate of Incorporation or Bylaws, (b)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(c)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(b) and (c), as would not, individually or in the aggregate, be reasonably expected to have a Material Adverse Effect.</w:t>
      </w:r>
    </w:p>
    <w:p>
      <w:pPr>
        <w:spacing w:after="0" w:line="194"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Assuming the accuracy of the representations and warranties of each Investor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for the filing of any requisite notices and/or application(s) to the National Exchange for the issuance and sale of the Shares and the listing of the Shares for trading or quotation, as the case may be, thereon in the time and manner required thereby, (c) for any customary post-closing filings with the SEC or pursuant to state securities laws in connection with the offer and sale of the Shares by the Company in the manner contemplated herein, which will be filed on a timely basis, (d) for the filing of the registration statement required to be filed by the Registration Rights Agreement, or (e) such that the failure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51" w:name="page152"/>
    <w:bookmarkEnd w:id="151"/>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Except for the execution and performance of this Agreement and the discussions, negotiations and transactions related thereto, including the Merger Agreement and transactions related thereto, since the Company’s inception: (a) the Company has conducted its business only in the ordinary course of business and there have been no material transactions entered into by the Company or any of its subsidiaries;</w:t>
      </w:r>
    </w:p>
    <w:p>
      <w:pPr>
        <w:spacing w:after="0" w:line="2" w:lineRule="exact"/>
        <w:rPr>
          <w:sz w:val="20"/>
          <w:szCs w:val="20"/>
          <w:color w:val="auto"/>
        </w:rPr>
      </w:pPr>
    </w:p>
    <w:p>
      <w:pPr>
        <w:ind w:left="4" w:right="40" w:hanging="4"/>
        <w:spacing w:after="0" w:line="255"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 to any material contract or arrangement by which the Company or any of its subsidiaries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w:t>
      </w:r>
    </w:p>
    <w:p>
      <w:pPr>
        <w:spacing w:after="0" w:line="18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10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189"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Compliance with Law; Permits</w:t>
      </w:r>
      <w:r>
        <w:rPr>
          <w:rFonts w:ascii="Times New Roman" w:cs="Times New Roman" w:eastAsia="Times New Roman" w:hAnsi="Times New Roman"/>
          <w:sz w:val="17"/>
          <w:szCs w:val="17"/>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7"/>
          <w:szCs w:val="17"/>
          <w:b w:val="1"/>
          <w:bCs w:val="1"/>
          <w:color w:val="auto"/>
        </w:rPr>
        <w:t>Governmental Authorizations</w:t>
      </w:r>
      <w:r>
        <w:rPr>
          <w:rFonts w:ascii="Times New Roman" w:cs="Times New Roman" w:eastAsia="Times New Roman" w:hAnsi="Times New Roman"/>
          <w:sz w:val="17"/>
          <w:szCs w:val="17"/>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52" w:name="page153"/>
    <w:bookmarkEnd w:id="152"/>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that is necessary for, or used in the conduct of their respective businesses (collectively,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to any Intellectual Property, including no liens, security interests, or other encumbrances; and</w:t>
      </w:r>
    </w:p>
    <w:p>
      <w:pPr>
        <w:spacing w:after="0" w:line="2" w:lineRule="exact"/>
        <w:rPr>
          <w:sz w:val="20"/>
          <w:szCs w:val="20"/>
          <w:color w:val="auto"/>
        </w:rPr>
      </w:pPr>
    </w:p>
    <w:p>
      <w:pPr>
        <w:ind w:left="4" w:hanging="4"/>
        <w:spacing w:after="0" w:line="251" w:lineRule="auto"/>
        <w:tabs>
          <w:tab w:leader="none" w:pos="2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3"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89"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53" w:name="page154"/>
    <w:bookmarkEnd w:id="15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have received all permits and other Governmental Authorizations required under applicable Environmental Laws to conduct their business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9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54" w:name="page155"/>
    <w:bookmarkEnd w:id="154"/>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inception, the Company has not received any notice or other communication regarding any actual or possible: (a) cancellation or invalidation of any material insurance policy or (b) refusal or denial of any coverage, reservation of rights or rejection of any material claim under any insurance policy.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Except as would not reasonably be expected to result in a Material Adverse Effect: (a)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(b) each description of the results of such Studies is accurate and complete in all material respects and fairly presents the data derived from such Studies, and the Company and its subsidiaries have no knowledge of any other studies the results of would be required to be disclosed in accordance with the Exchange Act; (c)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its business; (d) neither the Company nor any of its subsidiaries has received any notice of, or correspondence from, any of the Regulatory Agencies requiring the termination or suspension of or imposing any clinical hold on any clinical trials; and (e) the Company and its subsidiaries have each operated and currently are in compliance in all material respects with all applicable rules, regulations and policies of the Regulatory Agencies.</w:t>
      </w:r>
    </w:p>
    <w:p>
      <w:pPr>
        <w:spacing w:after="0" w:line="19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(a) the Federal Food, Drug, and Cosmetic Act (21 U.S.C. Section 301 et seq.) and the Public Health Service Act (42 U.S.C. Section 201 et seq.), and the regulations promulgated thereunder; (b) all applicable federal, state, local and foreign health care fraud and abuse laws, including, without limitation, the Anti-Kickback Statute (42 U.S.C. Section 1320a-7b(b)); (c) HIPAA, as amended by the Health Information Technology for Economic and Clinical Health Act (42 U.S.C. Section 17921 et seq.); (d) the Patient Protection and Affordable Care Act of 2010, as amended by the Health Care and Education Reconciliation Act of 2010; (e)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 536/2014); (f) the EU Regulation regarding community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55" w:name="page156"/>
    <w:bookmarkEnd w:id="1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for authorization and supervision of medicinal products for human and veterinary use and establishing a European Medicines Agency (Regulation (EC) No. 726/2004); (g) licensure, quality, safety and accreditation requirements under applicable federal, state, local or foreign laws or regulatory bodies; (h) all other local, state, federal, national, supranational and foreign laws, relating to the regulation of the Company or its subsidiaries, and (i)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9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Shares.</w:t>
      </w:r>
    </w:p>
    <w:p>
      <w:pPr>
        <w:spacing w:after="0" w:line="162"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(a) integrated with the offer and sale of the Securities pursuant to this Agreement for purposes of the Securities Act or (b)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56" w:name="page157"/>
    <w:bookmarkEnd w:id="156"/>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the Company nor any other Person authorized by the Company to act on its behalf has retained, utilized or been represented by any broker or finder in connection with the transactions contemplated by this Agreement.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and any Investor with respect to the transactions contemplated by the Transaction Agreements other than as specified in the Transaction Agreements, including any agreements or understandings with any other Investor or potential investor with respect to the purchase of securities of the Company which include terms and conditions (economic or otherwise) that are more advantageous with respect to the transactions contemplated by the Transaction Agreements to any such other investor or potential investor (as compared to each Investor).</w:t>
      </w:r>
    </w:p>
    <w:p>
      <w:pPr>
        <w:spacing w:after="0" w:line="183"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Anti-Bribery and Anti-Money Laundering Laws; Sanctions</w:t>
      </w:r>
      <w:r>
        <w:rPr>
          <w:rFonts w:ascii="Times New Roman" w:cs="Times New Roman" w:eastAsia="Times New Roman" w:hAnsi="Times New Roman"/>
          <w:sz w:val="18"/>
          <w:szCs w:val="18"/>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157" w:name="page158"/>
    <w:bookmarkEnd w:id="157"/>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3.29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(a) a natural person’s name, street address, telephone number, e-mail address, photograph, social security number or other tax identification number, driver’s license number, passport number, credit card number or bank information; (b) information that identifies or may reasonably be used to identify an individual; (c)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(d)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9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90"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stockholders, customers or suppliers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58" w:name="page159"/>
    <w:bookmarkEnd w:id="1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3.32 </w:t>
      </w:r>
      <w:r>
        <w:rPr>
          <w:rFonts w:ascii="Times New Roman" w:cs="Times New Roman" w:eastAsia="Times New Roman" w:hAnsi="Times New Roman"/>
          <w:sz w:val="18"/>
          <w:szCs w:val="18"/>
          <w:u w:val="single" w:color="auto"/>
          <w:color w:val="auto"/>
        </w:rPr>
        <w:t>Shell Company</w:t>
      </w:r>
      <w:r>
        <w:rPr>
          <w:rFonts w:ascii="Times New Roman" w:cs="Times New Roman" w:eastAsia="Times New Roman" w:hAnsi="Times New Roman"/>
          <w:sz w:val="18"/>
          <w:szCs w:val="18"/>
          <w:color w:val="auto"/>
        </w:rPr>
        <w:t>. The Company is not, and has never been, an issuer that meets the description set forth under Rule 144(i)(1)(i).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Additional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66" w:lineRule="auto"/>
        <w:tabs>
          <w:tab w:leader="none" w:pos="16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w:t>
      </w:r>
    </w:p>
    <w:p>
      <w:pPr>
        <w:spacing w:after="0" w:line="175" w:lineRule="exact"/>
        <w:rPr>
          <w:rFonts w:ascii="Times New Roman" w:cs="Times New Roman" w:eastAsia="Times New Roman" w:hAnsi="Times New Roman"/>
          <w:sz w:val="18"/>
          <w:szCs w:val="18"/>
          <w:color w:val="auto"/>
        </w:rPr>
      </w:pPr>
    </w:p>
    <w:p>
      <w:pPr>
        <w:ind w:right="420" w:firstLine="1428"/>
        <w:spacing w:after="0" w:line="266" w:lineRule="auto"/>
        <w:tabs>
          <w:tab w:leader="none" w:pos="16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the Closing Date, to the Company’s knowledge, the representations and warranties of Parent contained in Section 4 of the Merger Agreement and in any certificate or other writing delivered by Parent pursuant thereto are true and correct as though given in accordance with Section 9.1 of the Merger Agreement.</w:t>
      </w:r>
    </w:p>
    <w:p>
      <w:pPr>
        <w:spacing w:after="0" w:line="175"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Securities Act (each a “</w:t>
      </w:r>
      <w:r>
        <w:rPr>
          <w:rFonts w:ascii="Times New Roman" w:cs="Times New Roman" w:eastAsia="Times New Roman" w:hAnsi="Times New Roman"/>
          <w:sz w:val="18"/>
          <w:szCs w:val="18"/>
          <w:b w:val="1"/>
          <w:bCs w:val="1"/>
          <w:color w:val="auto"/>
        </w:rPr>
        <w:t>Regulation M-A Filing</w:t>
      </w:r>
      <w:r>
        <w:rPr>
          <w:rFonts w:ascii="Times New Roman" w:cs="Times New Roman" w:eastAsia="Times New Roman" w:hAnsi="Times New Roman"/>
          <w:sz w:val="18"/>
          <w:szCs w:val="18"/>
          <w:color w:val="auto"/>
        </w:rPr>
        <w:t>”), will not, as of the time the Registration Statement or any such Regulation M-A Filing is filed with the SEC, at any time it is amended or supplemented or at the time the Registration Statement is declared effective by the SEC,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8"/>
          <w:szCs w:val="18"/>
          <w:b w:val="1"/>
          <w:bCs w:val="1"/>
          <w:color w:val="auto"/>
        </w:rPr>
        <w:t>Public Company Meeting</w:t>
      </w:r>
      <w:r>
        <w:rPr>
          <w:rFonts w:ascii="Times New Roman" w:cs="Times New Roman" w:eastAsia="Times New Roman" w:hAnsi="Times New Roman"/>
          <w:sz w:val="18"/>
          <w:szCs w:val="18"/>
          <w:color w:val="auto"/>
        </w:rPr>
        <w:t>”), shall not, on the date the proxy statement/prospectus included in the Registration Statement is first mailed to stockholders of Parent,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59" w:name="page160"/>
    <w:bookmarkEnd w:id="159"/>
    <w:p>
      <w:pPr>
        <w:jc w:val="both"/>
        <w:ind w:right="460" w:firstLine="436"/>
        <w:spacing w:after="0" w:line="266"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represents and warrants to the Company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of this Agreement and the Closing Date (except for the representations and warranties that speak as of a specific date, which shall be made as of such date):</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(a) any provision of the organizational documents of the Investor, including, without limitation, its incorporation or formation papers, bylaws, indenture of trust or partnership or operating agreement, as may be applicable or (b) any agreement or instrument, undertaking, credit facility, franchise, license, judgment, order, ruling, statute, law, ordinance, rule or regulations, applicable to such Investor or its respective properties or assets, except, in the case of clause (b), as would not, individually or in the aggregate, be reasonably expected to materially delay or hinder the ability of the Investor to perform its obligations under the Transaction Agreements.</w:t>
      </w:r>
    </w:p>
    <w:p>
      <w:pPr>
        <w:spacing w:after="0" w:line="18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The Investor’s residence (if an individual) or offices in which its investment decision with respect to the Securities was made (if an entity) are located at the address immediately below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except as otherwise communicated by the Investor to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60" w:name="page161"/>
    <w:bookmarkEnd w:id="160"/>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Investor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The Investor hereby represents and warrants that, it (a) as of the date of this Agreement is, if an entity, a “qualified institutional buyer” (as defined in Rule 144A under the Securities Act) or an institutional “accredited investor” as that term is defined in Rule 501(a) under Regulation D promulgated pursuant to the Securities Act; or (b)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9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94"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161" w:name="page162"/>
    <w:bookmarkEnd w:id="16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acknowledges that the Investor (a) is a sophisticated investor, experienced in investing in private placements of equity securities and capable of evaluating investment risks independently, both in general and with regard to all transactions and investment strategies involving a security or securities and (b) has exercised independent judgment in evaluating its participation in the purchase of the Securities. The Investor acknowledges that the Investor is aware that there are substantial risks incident to the purchase and ownership of the Securities, including those set forth in Parent’s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9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Investor understands that any certificates or book entry notations evidencing the Securities may bear one or more legends in substantially the following form and substance:</w:t>
      </w:r>
    </w:p>
    <w:p>
      <w:pPr>
        <w:spacing w:after="0" w:line="54"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162" w:name="page163"/>
    <w:bookmarkEnd w:id="162"/>
    <w:p>
      <w:pPr>
        <w:ind w:left="440"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 provided that the Company will notify the Investor in advance of Closing if such a legend is to be placed on its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The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Investor and the Company and/or its representatives. The Investor did not become aware of this offering of the Securities, nor were the Securities offered to the Investor, by any other means, and none of the Company and/or its representatives acted as investment advisor, broker or dealer to the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such Investor has relied solely upon independent investigation made by such Investor, upon the representations, warranties and covenants set forth herein. Such Investor acknowledges and agrees that the Investor and such Investor’s professional advisor(s), if any, have had the opportunity to ask such questions, receive such answers and obtain such information from the Company regarding Parent, the Company, their respective businesses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163" w:name="page164"/>
    <w:bookmarkEnd w:id="16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9" w:lineRule="exact"/>
        <w:rPr>
          <w:sz w:val="20"/>
          <w:szCs w:val="20"/>
          <w:color w:val="auto"/>
        </w:rPr>
      </w:pPr>
    </w:p>
    <w:p>
      <w:pPr>
        <w:ind w:left="620" w:hanging="184"/>
        <w:spacing w:after="0"/>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no longer accurate and the Company agrees to promptly notify each Investor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no longer accurate.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64" w:name="page165"/>
    <w:bookmarkEnd w:id="164"/>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use commercially reasonable efforts (a) to cause Parent to maintain the listing and trading of the common stock, $0.0001 par value per share, of Parent (“</w:t>
      </w:r>
      <w:r>
        <w:rPr>
          <w:rFonts w:ascii="Times New Roman" w:cs="Times New Roman" w:eastAsia="Times New Roman" w:hAnsi="Times New Roman"/>
          <w:sz w:val="17"/>
          <w:szCs w:val="17"/>
          <w:b w:val="1"/>
          <w:bCs w:val="1"/>
          <w:color w:val="auto"/>
        </w:rPr>
        <w:t>Parent Common Stock</w:t>
      </w:r>
      <w:r>
        <w:rPr>
          <w:rFonts w:ascii="Times New Roman" w:cs="Times New Roman" w:eastAsia="Times New Roman" w:hAnsi="Times New Roman"/>
          <w:sz w:val="17"/>
          <w:szCs w:val="17"/>
          <w:color w:val="auto"/>
        </w:rPr>
        <w:t>”) on Nasdaq and, in accordance therewith, will use reasonable best efforts to cause Parent to comply in all material respects with Parent’s reporting, filing and other obligations under the rules and regulations of Nasdaq, and (b) to obtain approval of the listing of the shares of Parent Common Stock issued in exchange for the Initial Shares and Pre-Funded Warrant Shares.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2" w:lineRule="auto"/>
        <w:tabs>
          <w:tab w:leader="none" w:pos="167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9:00 a.m., New York City time, on the first Business Day immediately following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this Agreement is executed between midnight and 9:00 a.m., New York City time on any Business Day, no later than 9:01 a.m. on the date of this Agreement), issue a press release and ensure that Parent shall substantially contemporaneously file with the SEC a Current Report on Form 8-K (including, if applicable,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and the actual filing of such press release and/or Current Report on Form 8-K, the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and the transactions contemplated hereby or the transactions contemplated by the Merger Agreement disclosed to the Investors prior to the Disclosure Time. Following the Disclosure Time,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(A) as required by the federal securities law in connection with (1) any registration statement contemplated by the Registration Rights Agreement and (2) the filing of final Transaction Agreements with the SEC or pursuant to other routine proceedings of regulatory authorities, or (B) to the extent such disclosure is required by law, at the request of the staff of the SEC or regulatory agency or under the regulations of Nasdaq.</w:t>
      </w:r>
    </w:p>
    <w:p>
      <w:pPr>
        <w:spacing w:after="0" w:line="19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5" w:lineRule="auto"/>
        <w:tabs>
          <w:tab w:leader="none" w:pos="167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such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88"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5.5(b)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pacing w:after="0" w:line="19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 accordance with the engagement letter relating hereto.</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Indemnification.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66" w:name="page167"/>
    <w:bookmarkEnd w:id="166"/>
    <w:p>
      <w:pPr>
        <w:ind w:right="280" w:firstLine="1428"/>
        <w:spacing w:after="0" w:line="254" w:lineRule="auto"/>
        <w:tabs>
          <w:tab w:leader="none" w:pos="167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Person’s fraud or willful misconduct.</w:t>
      </w:r>
    </w:p>
    <w:p>
      <w:pPr>
        <w:spacing w:after="0" w:line="191"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(1) imposes no liability or obligation on, (2) includes as an unconditional term thereof the giving of a complete, explicit and unconditional release from the party bringing such indemnified claims of all liability of the indemnified party in respect of such claim or litigation in favor of, and (3)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91"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67" w:name="page168"/>
    <w:bookmarkEnd w:id="167"/>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Amendment or Waiver of Merger Agreement Terms</w:t>
      </w:r>
      <w:r>
        <w:rPr>
          <w:rFonts w:ascii="Times New Roman" w:cs="Times New Roman" w:eastAsia="Times New Roman" w:hAnsi="Times New Roman"/>
          <w:sz w:val="18"/>
          <w:szCs w:val="18"/>
          <w:color w:val="auto"/>
        </w:rPr>
        <w:t>.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xml:space="preserve">. The restrictive legends described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promptly be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w:t>
      </w:r>
    </w:p>
    <w:p>
      <w:pPr>
        <w:spacing w:after="0" w:line="183" w:lineRule="exact"/>
        <w:rPr>
          <w:sz w:val="20"/>
          <w:szCs w:val="20"/>
          <w:color w:val="auto"/>
        </w:rPr>
      </w:pPr>
    </w:p>
    <w:p>
      <w:pPr>
        <w:ind w:left="620" w:hanging="184"/>
        <w:spacing w:after="0"/>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68" w:lineRule="exact"/>
        <w:rPr>
          <w:sz w:val="20"/>
          <w:szCs w:val="20"/>
          <w:color w:val="auto"/>
        </w:rPr>
      </w:pPr>
    </w:p>
    <w:p>
      <w:pPr>
        <w:ind w:firstLine="1428"/>
        <w:spacing w:after="0" w:line="256" w:lineRule="auto"/>
        <w:tabs>
          <w:tab w:leader="none" w:pos="167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168" w:name="page169"/>
    <w:bookmarkEnd w:id="168"/>
    <w:p>
      <w:pPr>
        <w:ind w:right="260" w:firstLine="1428"/>
        <w:spacing w:after="0" w:line="282"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1" w:lineRule="exact"/>
        <w:rPr>
          <w:rFonts w:ascii="Times New Roman" w:cs="Times New Roman" w:eastAsia="Times New Roman" w:hAnsi="Times New Roman"/>
          <w:sz w:val="18"/>
          <w:szCs w:val="18"/>
          <w:color w:val="auto"/>
        </w:rPr>
      </w:pPr>
    </w:p>
    <w:p>
      <w:pPr>
        <w:ind w:right="360" w:firstLine="1428"/>
        <w:spacing w:after="0" w:line="282" w:lineRule="auto"/>
        <w:tabs>
          <w:tab w:leader="none" w:pos="167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 the Initial Shares at the Closing.</w:t>
      </w:r>
    </w:p>
    <w:p>
      <w:pPr>
        <w:spacing w:after="0" w:line="161" w:lineRule="exact"/>
        <w:rPr>
          <w:rFonts w:ascii="Times New Roman" w:cs="Times New Roman" w:eastAsia="Times New Roman" w:hAnsi="Times New Roman"/>
          <w:sz w:val="18"/>
          <w:szCs w:val="18"/>
          <w:color w:val="auto"/>
        </w:rPr>
      </w:pPr>
    </w:p>
    <w:p>
      <w:pPr>
        <w:ind w:right="500" w:firstLine="1428"/>
        <w:spacing w:after="0" w:line="282" w:lineRule="auto"/>
        <w:tabs>
          <w:tab w:leader="none" w:pos="165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 or a Company Material Adverse Effect (as defined in the Merger Agreement).</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the opinion of Gibson, Dunn &amp; Crutcher LLP, dated as of the Closing Date, in customary form and substance to be reasonably agreed upon with the Investor Majority and addressing such legal matters as the Investor Majority and the Company reasonably agree.</w:t>
      </w:r>
    </w:p>
    <w:p>
      <w:pPr>
        <w:spacing w:after="0" w:line="175" w:lineRule="exact"/>
        <w:rPr>
          <w:rFonts w:ascii="Times New Roman" w:cs="Times New Roman" w:eastAsia="Times New Roman" w:hAnsi="Times New Roman"/>
          <w:sz w:val="18"/>
          <w:szCs w:val="18"/>
          <w:color w:val="auto"/>
        </w:rPr>
      </w:pPr>
    </w:p>
    <w:p>
      <w:pPr>
        <w:ind w:right="300" w:firstLine="1428"/>
        <w:spacing w:after="0" w:line="276" w:lineRule="auto"/>
        <w:tabs>
          <w:tab w:leader="none" w:pos="1687"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17"/>
          <w:szCs w:val="17"/>
          <w:u w:val="single" w:color="auto"/>
          <w:color w:val="auto"/>
        </w:rPr>
        <w:t>Sections 6.1(a)</w:t>
      </w:r>
      <w:r>
        <w:rPr>
          <w:rFonts w:ascii="Times New Roman" w:cs="Times New Roman" w:eastAsia="Times New Roman" w:hAnsi="Times New Roman"/>
          <w:sz w:val="17"/>
          <w:szCs w:val="17"/>
          <w:color w:val="auto"/>
        </w:rPr>
        <w:t xml:space="preserve"> (Representations and Warranties), </w:t>
      </w:r>
      <w:r>
        <w:rPr>
          <w:rFonts w:ascii="Times New Roman" w:cs="Times New Roman" w:eastAsia="Times New Roman" w:hAnsi="Times New Roman"/>
          <w:sz w:val="17"/>
          <w:szCs w:val="17"/>
          <w:u w:val="single" w:color="auto"/>
          <w:color w:val="auto"/>
        </w:rPr>
        <w:t>6.1(b)</w:t>
      </w:r>
      <w:r>
        <w:rPr>
          <w:rFonts w:ascii="Times New Roman" w:cs="Times New Roman" w:eastAsia="Times New Roman" w:hAnsi="Times New Roman"/>
          <w:sz w:val="17"/>
          <w:szCs w:val="17"/>
          <w:color w:val="auto"/>
        </w:rPr>
        <w:t xml:space="preserve"> (Performance), </w:t>
      </w:r>
      <w:r>
        <w:rPr>
          <w:rFonts w:ascii="Times New Roman" w:cs="Times New Roman" w:eastAsia="Times New Roman" w:hAnsi="Times New Roman"/>
          <w:sz w:val="17"/>
          <w:szCs w:val="17"/>
          <w:u w:val="single" w:color="auto"/>
          <w:color w:val="auto"/>
        </w:rPr>
        <w:t>6.1(c)</w:t>
      </w:r>
      <w:r>
        <w:rPr>
          <w:rFonts w:ascii="Times New Roman" w:cs="Times New Roman" w:eastAsia="Times New Roman" w:hAnsi="Times New Roman"/>
          <w:sz w:val="17"/>
          <w:szCs w:val="17"/>
          <w:color w:val="auto"/>
        </w:rPr>
        <w:t xml:space="preserve"> (No Injunction),</w:t>
      </w:r>
    </w:p>
    <w:p>
      <w:pPr>
        <w:ind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(Consents), </w:t>
      </w:r>
      <w:r>
        <w:rPr>
          <w:rFonts w:ascii="Times New Roman" w:cs="Times New Roman" w:eastAsia="Times New Roman" w:hAnsi="Times New Roman"/>
          <w:sz w:val="18"/>
          <w:szCs w:val="18"/>
          <w:u w:val="single" w:color="auto"/>
          <w:color w:val="auto"/>
        </w:rPr>
        <w:t>6.1(f)</w:t>
      </w:r>
      <w:r>
        <w:rPr>
          <w:rFonts w:ascii="Times New Roman" w:cs="Times New Roman" w:eastAsia="Times New Roman" w:hAnsi="Times New Roman"/>
          <w:sz w:val="18"/>
          <w:szCs w:val="18"/>
          <w:color w:val="auto"/>
        </w:rPr>
        <w:t xml:space="preserve"> (Adverse Changes), 6.1(k) (Registration Statement; No Stop Orders)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(Nasdaq), and </w:t>
      </w:r>
      <w:r>
        <w:rPr>
          <w:rFonts w:ascii="Times New Roman" w:cs="Times New Roman" w:eastAsia="Times New Roman" w:hAnsi="Times New Roman"/>
          <w:sz w:val="18"/>
          <w:szCs w:val="18"/>
          <w:u w:val="single" w:color="auto"/>
          <w:color w:val="auto"/>
        </w:rPr>
        <w:t>6.1(m)</w:t>
      </w:r>
      <w:r>
        <w:rPr>
          <w:rFonts w:ascii="Times New Roman" w:cs="Times New Roman" w:eastAsia="Times New Roman" w:hAnsi="Times New Roman"/>
          <w:sz w:val="18"/>
          <w:szCs w:val="18"/>
          <w:color w:val="auto"/>
        </w:rPr>
        <w:t xml:space="preserve"> (Merger) of this Agreement have been fulfilled.</w:t>
      </w:r>
    </w:p>
    <w:p>
      <w:pPr>
        <w:spacing w:after="0" w:line="181" w:lineRule="exact"/>
        <w:rPr>
          <w:rFonts w:ascii="Times New Roman" w:cs="Times New Roman" w:eastAsia="Times New Roman" w:hAnsi="Times New Roman"/>
          <w:sz w:val="17"/>
          <w:szCs w:val="17"/>
          <w:color w:val="auto"/>
        </w:rPr>
      </w:pPr>
    </w:p>
    <w:p>
      <w:pPr>
        <w:ind w:right="300" w:firstLine="1428"/>
        <w:spacing w:after="0" w:line="261" w:lineRule="auto"/>
        <w:tabs>
          <w:tab w:leader="none" w:pos="164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79"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169" w:name="page170"/>
    <w:bookmarkEnd w:id="169"/>
    <w:p>
      <w:pPr>
        <w:ind w:right="40" w:firstLine="1428"/>
        <w:spacing w:after="0" w:line="258" w:lineRule="auto"/>
        <w:tabs>
          <w:tab w:leader="none" w:pos="168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No Stop Orders</w:t>
      </w:r>
      <w:r>
        <w:rPr>
          <w:rFonts w:ascii="Times New Roman" w:cs="Times New Roman" w:eastAsia="Times New Roman" w:hAnsi="Times New Roman"/>
          <w:sz w:val="18"/>
          <w:szCs w:val="18"/>
          <w:color w:val="auto"/>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w:t>
      </w:r>
    </w:p>
    <w:p>
      <w:pPr>
        <w:spacing w:after="0" w:line="183" w:lineRule="exact"/>
        <w:rPr>
          <w:rFonts w:ascii="Times New Roman" w:cs="Times New Roman" w:eastAsia="Times New Roman" w:hAnsi="Times New Roman"/>
          <w:sz w:val="18"/>
          <w:szCs w:val="18"/>
          <w:color w:val="auto"/>
        </w:rPr>
      </w:pPr>
    </w:p>
    <w:p>
      <w:pPr>
        <w:jc w:val="both"/>
        <w:ind w:right="400" w:firstLine="1428"/>
        <w:spacing w:after="0" w:line="266" w:lineRule="auto"/>
        <w:tabs>
          <w:tab w:leader="none" w:pos="164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spacing w:after="0" w:line="175" w:lineRule="exact"/>
        <w:rPr>
          <w:rFonts w:ascii="Times New Roman" w:cs="Times New Roman" w:eastAsia="Times New Roman" w:hAnsi="Times New Roman"/>
          <w:sz w:val="18"/>
          <w:szCs w:val="18"/>
          <w:color w:val="auto"/>
        </w:rPr>
      </w:pPr>
    </w:p>
    <w:p>
      <w:pPr>
        <w:ind w:firstLine="1428"/>
        <w:spacing w:after="0" w:line="256" w:lineRule="auto"/>
        <w:tabs>
          <w:tab w:leader="none" w:pos="173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w:t>
      </w:r>
    </w:p>
    <w:p>
      <w:pPr>
        <w:spacing w:after="0" w:line="18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w:t>
      </w:r>
    </w:p>
    <w:p>
      <w:pPr>
        <w:spacing w:after="0" w:line="180"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68" w:lineRule="exact"/>
        <w:rPr>
          <w:sz w:val="20"/>
          <w:szCs w:val="20"/>
          <w:color w:val="auto"/>
        </w:rPr>
      </w:pPr>
    </w:p>
    <w:p>
      <w:pPr>
        <w:ind w:right="80" w:firstLine="1428"/>
        <w:spacing w:after="0" w:line="258" w:lineRule="auto"/>
        <w:tabs>
          <w:tab w:leader="none" w:pos="167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70" w:name="page171"/>
    <w:bookmarkEnd w:id="170"/>
    <w:p>
      <w:pPr>
        <w:ind w:right="100" w:firstLine="1428"/>
        <w:spacing w:after="0" w:line="282" w:lineRule="auto"/>
        <w:tabs>
          <w:tab w:leader="none" w:pos="168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right="480" w:firstLine="1428"/>
        <w:spacing w:after="0" w:line="282" w:lineRule="auto"/>
        <w:tabs>
          <w:tab w:leader="none" w:pos="168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40" w:firstLine="1428"/>
        <w:spacing w:after="0" w:line="266" w:lineRule="auto"/>
        <w:tabs>
          <w:tab w:leader="none" w:pos="167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one or more Investors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obligations of the Company, on the one hand, and each Investor, on the other hand, to effect the Closing shall terminate as follows:</w:t>
      </w:r>
    </w:p>
    <w:p>
      <w:pPr>
        <w:spacing w:after="0" w:line="162" w:lineRule="exact"/>
        <w:rPr>
          <w:sz w:val="20"/>
          <w:szCs w:val="20"/>
          <w:color w:val="auto"/>
        </w:rPr>
      </w:pPr>
    </w:p>
    <w:p>
      <w:pPr>
        <w:ind w:left="1640" w:hanging="212"/>
        <w:spacing w:after="0"/>
        <w:tabs>
          <w:tab w:leader="none" w:pos="16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the Investor Majority prior to the Closing;</w:t>
      </w:r>
    </w:p>
    <w:p>
      <w:pPr>
        <w:spacing w:after="0" w:line="225" w:lineRule="exact"/>
        <w:rPr>
          <w:rFonts w:ascii="Times New Roman" w:cs="Times New Roman" w:eastAsia="Times New Roman" w:hAnsi="Times New Roman"/>
          <w:sz w:val="18"/>
          <w:szCs w:val="18"/>
          <w:color w:val="auto"/>
        </w:rPr>
      </w:pPr>
    </w:p>
    <w:p>
      <w:pPr>
        <w:ind w:right="160" w:firstLine="1428"/>
        <w:spacing w:after="0" w:line="282" w:lineRule="auto"/>
        <w:tabs>
          <w:tab w:leader="none" w:pos="169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460" w:firstLine="1428"/>
        <w:spacing w:after="0" w:line="282" w:lineRule="auto"/>
        <w:tabs>
          <w:tab w:leader="none" w:pos="17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 Investor (with respect to itself only) if the Closing has not occurred on or before March 23, 2027;</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Investor of its obligations to effect the Closing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other Investors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171" w:name="page172"/>
    <w:bookmarkEnd w:id="171"/>
    <w:p>
      <w:pPr>
        <w:ind w:left="624" w:hanging="184"/>
        <w:spacing w:after="0"/>
        <w:tabs>
          <w:tab w:leader="none" w:pos="6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publicly disclose the name of any Investor or any Affiliate or investment advisor of any Investor without such Investor’s prior written consent (email being sufficient).</w:t>
      </w:r>
    </w:p>
    <w:p>
      <w:pPr>
        <w:spacing w:after="0" w:line="183"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3" w:lineRule="exact"/>
        <w:rPr>
          <w:sz w:val="20"/>
          <w:szCs w:val="20"/>
          <w:color w:val="auto"/>
        </w:rPr>
      </w:pPr>
    </w:p>
    <w:p>
      <w:pPr>
        <w:ind w:left="4" w:right="420" w:hanging="4"/>
        <w:spacing w:after="0" w:line="260"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deposit with a nationally recognized overnight courier, freight prepaid, specifying next Business Day delivery, with written verification of receipt:</w:t>
      </w:r>
    </w:p>
    <w:p>
      <w:pPr>
        <w:spacing w:after="0" w:line="181" w:lineRule="exact"/>
        <w:rPr>
          <w:sz w:val="20"/>
          <w:szCs w:val="20"/>
          <w:color w:val="auto"/>
        </w:rPr>
      </w:pPr>
    </w:p>
    <w:p>
      <w:pPr>
        <w:jc w:val="center"/>
        <w:ind w:right="4896"/>
        <w:spacing w:after="0"/>
        <w:rPr>
          <w:sz w:val="20"/>
          <w:szCs w:val="20"/>
          <w:color w:val="auto"/>
        </w:rPr>
      </w:pPr>
      <w:r>
        <w:rPr>
          <w:rFonts w:ascii="Times New Roman" w:cs="Times New Roman" w:eastAsia="Times New Roman" w:hAnsi="Times New Roman"/>
          <w:sz w:val="18"/>
          <w:szCs w:val="18"/>
          <w:color w:val="auto"/>
        </w:rPr>
        <w:t>(a) If to the Company, addressed as follows:</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Alice Lee, President</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207" w:lineRule="exact"/>
        <w:rPr>
          <w:sz w:val="20"/>
          <w:szCs w:val="20"/>
          <w:color w:val="auto"/>
        </w:rPr>
      </w:pPr>
    </w:p>
    <w:p>
      <w:pPr>
        <w:ind w:left="4" w:right="260" w:firstLine="1428"/>
        <w:spacing w:after="0" w:line="282" w:lineRule="auto"/>
        <w:tabs>
          <w:tab w:leader="none" w:pos="16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address or e-mail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4"/>
          </w:cols>
          <w:pgMar w:left="436" w:top="270" w:right="519" w:bottom="1440" w:gutter="0" w:footer="0" w:header="0"/>
        </w:sectPr>
      </w:pPr>
    </w:p>
    <w:bookmarkStart w:id="172" w:name="page173"/>
    <w:bookmarkEnd w:id="172"/>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Investor consents to the delivery of any stockholder notice pursuant to Section 232 of the Delaware General Corporation Law, as amended or superseded from time to time, at the e-mail address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1428"/>
        <w:spacing w:after="0" w:line="282" w:lineRule="auto"/>
        <w:tabs>
          <w:tab w:leader="none" w:pos="167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Investors hereby irrevocably and unconditionally:</w:t>
      </w:r>
    </w:p>
    <w:p>
      <w:pPr>
        <w:spacing w:after="0" w:line="225" w:lineRule="exact"/>
        <w:rPr>
          <w:sz w:val="20"/>
          <w:szCs w:val="20"/>
          <w:color w:val="auto"/>
        </w:rPr>
      </w:pPr>
    </w:p>
    <w:p>
      <w:pPr>
        <w:ind w:right="380" w:firstLine="1428"/>
        <w:spacing w:after="0" w:line="266" w:lineRule="auto"/>
        <w:tabs>
          <w:tab w:leader="none" w:pos="164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75"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ind w:right="360" w:firstLine="1428"/>
        <w:spacing w:after="0" w:line="266" w:lineRule="auto"/>
        <w:tabs>
          <w:tab w:leader="none" w:pos="174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73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173" w:name="page174"/>
    <w:bookmarkEnd w:id="173"/>
    <w:p>
      <w:pPr>
        <w:ind w:right="200" w:firstLine="1428"/>
        <w:spacing w:after="0" w:line="266" w:lineRule="auto"/>
        <w:tabs>
          <w:tab w:leader="none" w:pos="173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None of the parties may assign its rights or obligations under this Agreement or designate another person (a) to perform all or part of its obligations under this Agreement or (b)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77" w:lineRule="auto"/>
        <w:tabs>
          <w:tab w:leader="none" w:pos="1677"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Investor covenants that until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174" w:name="page175"/>
    <w:bookmarkEnd w:id="174"/>
    <w:p>
      <w:pPr>
        <w:ind w:firstLine="1428"/>
        <w:spacing w:after="0" w:line="255" w:lineRule="auto"/>
        <w:tabs>
          <w:tab w:leader="none" w:pos="168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Parent and/or the Company may file a form of this Agreement and the Registration Rights Agreement with the SEC as exhibits to a periodic report or a registration statement of Parent and/or the Company.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 except as expressly set forth in this Agreement. Notwithstanding the foregoing, the Indemnified Persons are intended third-party beneficiaries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5.9.</w:t>
      </w:r>
    </w:p>
    <w:p>
      <w:pPr>
        <w:spacing w:after="0" w:line="18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8.12 </w:t>
      </w:r>
      <w:r>
        <w:rPr>
          <w:rFonts w:ascii="Times New Roman" w:cs="Times New Roman" w:eastAsia="Times New Roman" w:hAnsi="Times New Roman"/>
          <w:sz w:val="17"/>
          <w:szCs w:val="17"/>
          <w:u w:val="single" w:color="auto"/>
          <w:color w:val="auto"/>
        </w:rPr>
        <w:t>Independent Nature of Investors’ Obligations and Right .</w:t>
      </w:r>
      <w:r>
        <w:rPr>
          <w:rFonts w:ascii="Times New Roman" w:cs="Times New Roman" w:eastAsia="Times New Roman" w:hAnsi="Times New Roman"/>
          <w:sz w:val="17"/>
          <w:szCs w:val="17"/>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Gibson, Dunn &amp; Crutcher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175" w:name="page176"/>
    <w:bookmarkEnd w:id="17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w:t>
      </w:r>
    </w:p>
    <w:p>
      <w:pPr>
        <w:spacing w:after="0" w:line="3"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binding upon the signatory thereto with the same force and effect as if the signature were an original, not a facsimile or pdf (or other electronic reproduction of a) signature.</w:t>
      </w:r>
    </w:p>
    <w:p>
      <w:pPr>
        <w:spacing w:after="0" w:line="181" w:lineRule="exact"/>
        <w:rPr>
          <w:sz w:val="20"/>
          <w:szCs w:val="20"/>
          <w:color w:val="auto"/>
        </w:rPr>
      </w:pPr>
    </w:p>
    <w:p>
      <w:pPr>
        <w:ind w:right="100" w:firstLine="991"/>
        <w:spacing w:after="0" w:line="269" w:lineRule="auto"/>
        <w:rPr>
          <w:sz w:val="20"/>
          <w:szCs w:val="20"/>
          <w:color w:val="auto"/>
        </w:rPr>
      </w:pPr>
      <w:r>
        <w:rPr>
          <w:rFonts w:ascii="Times New Roman" w:cs="Times New Roman" w:eastAsia="Times New Roman" w:hAnsi="Times New Roman"/>
          <w:sz w:val="17"/>
          <w:szCs w:val="17"/>
          <w:color w:val="auto"/>
        </w:rPr>
        <w:t xml:space="preserve">8.15 </w:t>
      </w:r>
      <w:r>
        <w:rPr>
          <w:rFonts w:ascii="Times New Roman" w:cs="Times New Roman" w:eastAsia="Times New Roman" w:hAnsi="Times New Roman"/>
          <w:sz w:val="17"/>
          <w:szCs w:val="17"/>
          <w:u w:val="single" w:color="auto"/>
          <w:color w:val="auto"/>
        </w:rPr>
        <w:t>Entire Agreement; Amendments</w:t>
      </w:r>
      <w:r>
        <w:rPr>
          <w:rFonts w:ascii="Times New Roman" w:cs="Times New Roman" w:eastAsia="Times New Roman" w:hAnsi="Times New Roman"/>
          <w:sz w:val="17"/>
          <w:szCs w:val="17"/>
          <w:color w:val="auto"/>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cs="Times New Roman" w:eastAsia="Times New Roman" w:hAnsi="Times New Roman"/>
          <w:sz w:val="17"/>
          <w:szCs w:val="17"/>
          <w:b w:val="1"/>
          <w:bCs w:val="1"/>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to one or more Persons (whether or not an existing Investor) shall only require the approval of the Company and the Investor Majority.</w:t>
      </w:r>
    </w:p>
    <w:p>
      <w:pPr>
        <w:spacing w:after="0" w:line="18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8.17 </w:t>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176" w:name="page177"/>
    <w:bookmarkEnd w:id="176"/>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SERAPHA:</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0</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Beneficial Ownership Limitation: [•]</w:t>
      </w:r>
    </w:p>
    <w:p>
      <w:pPr>
        <w:spacing w:after="0" w:line="1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22, 2026, is entered into by and among Serapha 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b w:val="1"/>
          <w:bCs w:val="1"/>
          <w:color w:val="auto"/>
        </w:rPr>
        <w:t>Serapha</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Serapha and the Investors party thereto, dated as of June 22, 2026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Serapha is party to that certain Agreement and Plan of Merger and Reorganization by and among Serapha, Boundless Bio,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Boulder Merger Sub Corp., a Delaware corporation and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dated June 22, 2026 (as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(i) Merger Sub will merge with and into Serapha, with Serapha surviving and becoming a wholly-owned subsidiary of Parent, and (ii) Parent will change its name to “Serapha Bio, Inc.” (“</w:t>
      </w:r>
      <w:r>
        <w:rPr>
          <w:rFonts w:ascii="Times New Roman" w:cs="Times New Roman" w:eastAsia="Times New Roman" w:hAnsi="Times New Roman"/>
          <w:sz w:val="18"/>
          <w:szCs w:val="18"/>
          <w:b w:val="1"/>
          <w:bCs w:val="1"/>
          <w:color w:val="auto"/>
        </w:rPr>
        <w:t>TopCo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 Upon the terms and subject to the conditions of the Purchase Agreement, Serapha has agreed to issue to certain Investors, and such Investors have agreed to purchase, severally and not jointly, an aggregate of up to $92,000,000 of (x)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Company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(y) pre-funded warrants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to purchase shares of Common Stock, in each case, pursuant to the Purchase Agreement. The Initial Shares and the shares of Common Stock issuable upon exercise of the Pre-Funded Warrants are collectively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Serapha and the Investors hereby agree as follows:</w:t>
      </w:r>
    </w:p>
    <w:p>
      <w:pPr>
        <w:spacing w:after="0" w:line="60" w:lineRule="exact"/>
        <w:rPr>
          <w:sz w:val="20"/>
          <w:szCs w:val="20"/>
          <w:color w:val="auto"/>
        </w:rPr>
      </w:pPr>
    </w:p>
    <w:p>
      <w:pPr>
        <w:ind w:left="960" w:hanging="532"/>
        <w:spacing w:after="0"/>
        <w:tabs>
          <w:tab w:leader="none" w:pos="9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1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Serapha for all periods prior to the Effective Time and TopCo for all periods following the Effective Time.</w:t>
      </w:r>
    </w:p>
    <w:p>
      <w:pPr>
        <w:sectPr>
          <w:pgSz w:w="11900" w:h="16838" w:orient="portrait"/>
          <w:cols w:equalWidth="0" w:num="1">
            <w:col w:w="11020"/>
          </w:cols>
          <w:pgMar w:left="440" w:top="266" w:right="439" w:bottom="1440" w:gutter="0" w:footer="0" w:header="0"/>
        </w:sectPr>
      </w:pPr>
    </w:p>
    <w:bookmarkStart w:id="183" w:name="page184"/>
    <w:bookmarkEnd w:id="183"/>
    <w:p>
      <w:pPr>
        <w:ind w:left="4" w:right="80" w:firstLine="987"/>
        <w:spacing w:after="0" w:line="274" w:lineRule="auto"/>
        <w:tabs>
          <w:tab w:leader="none" w:pos="1250"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means, with respect to the Initial Registration Statement required hereunder, the 45th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w:t>
      </w:r>
    </w:p>
    <w:p>
      <w:pPr>
        <w:ind w:left="264" w:hanging="264"/>
        <w:spacing w:after="0"/>
        <w:tabs>
          <w:tab w:leader="none" w:pos="26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becomes aware of the necessity of filing such New Registration Statement related to the Registrable Securities.</w:t>
      </w:r>
    </w:p>
    <w:p>
      <w:pPr>
        <w:spacing w:after="0" w:line="202" w:lineRule="exact"/>
        <w:rPr>
          <w:rFonts w:ascii="Times New Roman" w:cs="Times New Roman" w:eastAsia="Times New Roman" w:hAnsi="Times New Roman"/>
          <w:sz w:val="18"/>
          <w:szCs w:val="18"/>
          <w:color w:val="auto"/>
        </w:rPr>
      </w:pPr>
    </w:p>
    <w:p>
      <w:pPr>
        <w:ind w:left="4" w:right="240" w:firstLine="987"/>
        <w:spacing w:after="0" w:line="317" w:lineRule="auto"/>
        <w:tabs>
          <w:tab w:leader="none" w:pos="124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spacing w:after="0" w:line="131" w:lineRule="exact"/>
        <w:rPr>
          <w:rFonts w:ascii="Times New Roman" w:cs="Times New Roman" w:eastAsia="Times New Roman" w:hAnsi="Times New Roman"/>
          <w:sz w:val="17"/>
          <w:szCs w:val="17"/>
          <w:color w:val="auto"/>
        </w:rPr>
      </w:pPr>
    </w:p>
    <w:p>
      <w:pPr>
        <w:ind w:left="4" w:right="400" w:firstLine="987"/>
        <w:spacing w:after="0" w:line="268" w:lineRule="auto"/>
        <w:tabs>
          <w:tab w:leader="none" w:pos="125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Shares, (ii) any Shares of TopCo common stock issued or issuable to an Investor pursuant to the Merger Agreement, and (iii) any shares of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of TopCo common stock under an effective registration statement on Form S-4, if available, or if unavailable, another appropriate form filed with the SEC, provided, however, that the Shares underlying the Pre-Funded Warrants shall constitute Registrable Securities to the extent that the exemption from registration provided by Section 3(a)(9) of the Securities Act or similar exemption from registration under the Securities Act is not available to exempt from such registration requirements the Shares issuable upon exercise of the Pre-Funded Warrants, and (E) the later of (1) five years following the entry into this Agreement by such Investor and (2) such time as such Investor is no longer an affiliate of TopCo for purposes of Rule 144 under the Securities Act.</w:t>
      </w:r>
    </w:p>
    <w:p>
      <w:pPr>
        <w:spacing w:after="0" w:line="18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any legal fees or other costs of the Investors.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84" w:name="page185"/>
    <w:bookmarkEnd w:id="184"/>
    <w:p>
      <w:pPr>
        <w:ind w:left="-20" w:right="80" w:firstLine="987"/>
        <w:spacing w:after="0" w:line="257" w:lineRule="auto"/>
        <w:tabs>
          <w:tab w:leader="none" w:pos="122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20" w:firstLine="987"/>
        <w:spacing w:after="0" w:line="268" w:lineRule="auto"/>
        <w:tabs>
          <w:tab w:leader="none" w:pos="122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w:t>
      </w:r>
    </w:p>
    <w:p>
      <w:pPr>
        <w:spacing w:after="0" w:line="170" w:lineRule="exact"/>
        <w:rPr>
          <w:rFonts w:ascii="Times New Roman" w:cs="Times New Roman" w:eastAsia="Times New Roman" w:hAnsi="Times New Roman"/>
          <w:sz w:val="18"/>
          <w:szCs w:val="18"/>
          <w:color w:val="auto"/>
        </w:rPr>
      </w:pPr>
    </w:p>
    <w:p>
      <w:pPr>
        <w:ind w:left="-20" w:right="140" w:firstLine="987"/>
        <w:spacing w:after="0" w:line="268" w:lineRule="auto"/>
        <w:tabs>
          <w:tab w:leader="none" w:pos="118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70" w:lineRule="exact"/>
        <w:rPr>
          <w:rFonts w:ascii="Times New Roman" w:cs="Times New Roman" w:eastAsia="Times New Roman" w:hAnsi="Times New Roman"/>
          <w:sz w:val="18"/>
          <w:szCs w:val="18"/>
          <w:color w:val="auto"/>
        </w:rPr>
      </w:pPr>
    </w:p>
    <w:p>
      <w:pPr>
        <w:ind w:left="-20" w:right="200" w:firstLine="987"/>
        <w:spacing w:after="0" w:line="286" w:lineRule="auto"/>
        <w:tabs>
          <w:tab w:leader="none" w:pos="118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an Investor’s disposition of its Registrable Securities.</w:t>
      </w:r>
    </w:p>
    <w:p>
      <w:pPr>
        <w:spacing w:after="0" w:line="303"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ind w:left="-20" w:right="80" w:firstLine="987"/>
        <w:spacing w:after="0" w:line="253" w:lineRule="auto"/>
        <w:tabs>
          <w:tab w:leader="none" w:pos="121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185" w:name="page186"/>
    <w:bookmarkEnd w:id="18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prior to being so filed with the SEC, and (b) not file any Registration Statement or related prospectus or any amendment or supplement thereto containing information regarding the Investor to which Investor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with respect to such Investor as shall be reasonably required in connection with any registration referred to in this Agreement.</w:t>
      </w:r>
    </w:p>
    <w:p>
      <w:pPr>
        <w:spacing w:after="0" w:line="187" w:lineRule="exact"/>
        <w:rPr>
          <w:sz w:val="20"/>
          <w:szCs w:val="20"/>
          <w:color w:val="auto"/>
        </w:rPr>
      </w:pPr>
    </w:p>
    <w:p>
      <w:pPr>
        <w:ind w:firstLine="987"/>
        <w:spacing w:after="0" w:line="251"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Company shall use its reasonable best efforts to have the Initial Registration Statement and any amendment thereto declared effective by the SEC at the earliest possible date but no later than the earlier of (a) the 60th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provided that, the Effectiveness Deadline shall be extended by the same number of Business Days on which the SEC remains closed in the event of a government shutdown resulting in the SEC’s inability to review or declare effective the Initial Registration Statement during such time (such days, “</w:t>
      </w:r>
      <w:r>
        <w:rPr>
          <w:rFonts w:ascii="Times New Roman" w:cs="Times New Roman" w:eastAsia="Times New Roman" w:hAnsi="Times New Roman"/>
          <w:sz w:val="18"/>
          <w:szCs w:val="18"/>
          <w:b w:val="1"/>
          <w:bCs w:val="1"/>
          <w:color w:val="auto"/>
        </w:rPr>
        <w:t>Tolled Days</w:t>
      </w:r>
      <w:r>
        <w:rPr>
          <w:rFonts w:ascii="Times New Roman" w:cs="Times New Roman" w:eastAsia="Times New Roman" w:hAnsi="Times New Roman"/>
          <w:sz w:val="18"/>
          <w:szCs w:val="18"/>
          <w:color w:val="auto"/>
        </w:rPr>
        <w:t>”). Notwithstanding the foregoing, if, after the 30th consecutive Tolled Day, the SEC remains closed from such government shutdown and is unable to review or declare effective the Initial Registration Statement during such time, then the Company shall promptly, and no later than the fifth Business Day after such 30th consecutive Tolled Day, file an amendment to the Initial Registration Statement to remove the delaying amendment language such that the Initial Registration Statement shall become effective in accordance with Section 8(a) of the Securities Act within 20 calendar days after such filing; provided, that if the SEC re-opens during such 20-day period, the Company may, but is not required to, amend the Initial Registration Statement to re-add the delaying amendment language. The Company shall notify the Investor by e-mail as promptly as practicable, and in any event, within 24 hours, after the Initial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Registration Statement or otherwise);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(iii) upon exchange of all Registrable Securities for unrestricted shares of TopCo common stock under an effective registration statement on Form S-4, if available, or if unavailable, another appropriate form filed with the SEC, provided, however, that the Shares underlying the Pre-Funded Warrants shall constitute Registrable Securities to the extent that the exemption from registration provided by Section 3(a)(9) of the Securities Act or similar exemption from registration under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86" w:name="page187"/>
    <w:bookmarkEnd w:id="18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is not available to exempt from such registration requirements the Shares issuable upon exercise of the Pre-Funded Warrants; and (iv) the later of (A) five years following the date of this Agreement and (B) such time as no Investor is an affiliate of TopCo for purposes of Rule 144 under the Securities Act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3" w:lineRule="exact"/>
        <w:rPr>
          <w:sz w:val="20"/>
          <w:szCs w:val="20"/>
          <w:color w:val="auto"/>
        </w:rPr>
      </w:pPr>
    </w:p>
    <w:p>
      <w:pPr>
        <w:ind w:firstLine="987"/>
        <w:spacing w:after="0" w:line="254" w:lineRule="auto"/>
        <w:tabs>
          <w:tab w:leader="none" w:pos="1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provisions of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If (i) the Initial Registration Statement has not been filed by the Filing Deadline, (ii) the Initial Registration Statement has not been declared effective by the Effectiveness Deadline, (iii) the New Registration Statement has not been filed by the Filing Deadline for such New Registration Statement, (iv) the New Registration Statement has not been declared effective by the Effectiveness Deadline for such New Registration Statement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cs="Times New Roman" w:eastAsia="Times New Roman" w:hAnsi="Times New Roman"/>
          <w:sz w:val="18"/>
          <w:szCs w:val="18"/>
          <w:b w:val="1"/>
          <w:bCs w:val="1"/>
          <w:color w:val="auto"/>
        </w:rPr>
        <w:t>Blackout Period Payment Date</w:t>
      </w:r>
      <w:r>
        <w:rPr>
          <w:rFonts w:ascii="Times New Roman" w:cs="Times New Roman" w:eastAsia="Times New Roman" w:hAnsi="Times New Roman"/>
          <w:sz w:val="18"/>
          <w:szCs w:val="18"/>
          <w:color w:val="auto"/>
        </w:rPr>
        <w:t>”). Interest shall accrue at the rate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within three Business Days of the Company’s request, any liquidated damages that would otherwise accrue as to such Investor only shall be tolled until such information is delivered to the Company.</w:t>
      </w:r>
    </w:p>
    <w:p>
      <w:pPr>
        <w:spacing w:after="0" w:line="189" w:lineRule="exact"/>
        <w:rPr>
          <w:sz w:val="20"/>
          <w:szCs w:val="20"/>
          <w:color w:val="auto"/>
        </w:rPr>
      </w:pPr>
    </w:p>
    <w:p>
      <w:pPr>
        <w:ind w:right="60" w:firstLine="987"/>
        <w:spacing w:after="0" w:line="252" w:lineRule="auto"/>
        <w:tabs>
          <w:tab w:leader="none" w:pos="12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On no more than two occasions in any 12-month period for not more than 30 consecutive days or for a total of not more than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(i)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(ii)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reasonable best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xml:space="preserve">”) to the Company requesting that such Investor not receive notices from the Company otherwise required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such Investor and such Investor shall no longer be entitled to the rights associated with any such notice (for the avoidance of doubt, without limitation to the Company’s obligation to deliver any notice described in </w:t>
      </w:r>
      <w:r>
        <w:rPr>
          <w:rFonts w:ascii="Times New Roman" w:cs="Times New Roman" w:eastAsia="Times New Roman" w:hAnsi="Times New Roman"/>
          <w:sz w:val="18"/>
          <w:szCs w:val="18"/>
          <w:u w:val="single" w:color="auto"/>
          <w:color w:val="auto"/>
        </w:rPr>
        <w:t>Section 3(e)(iii)</w:t>
      </w:r>
      <w:r>
        <w:rPr>
          <w:rFonts w:ascii="Times New Roman" w:cs="Times New Roman" w:eastAsia="Times New Roman" w:hAnsi="Times New Roman"/>
          <w:sz w:val="18"/>
          <w:szCs w:val="18"/>
          <w:color w:val="auto"/>
        </w:rPr>
        <w:t xml:space="preserve"> hereof).</w:t>
      </w:r>
    </w:p>
    <w:p>
      <w:pPr>
        <w:spacing w:after="0" w:line="189"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be obligated to use reasonable best efforts to advocate with the SEC for the registration of all of the Registrable Securities) or requires any Investor to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88" w:name="page189"/>
    <w:bookmarkEnd w:id="18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including to comment on any written submission made to the SEC with respect thereto. In the event that, despite the Company’s reasonable best efforts and compliance with the terms of this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spacing w:after="0" w:line="193" w:lineRule="exact"/>
        <w:rPr>
          <w:sz w:val="20"/>
          <w:szCs w:val="20"/>
          <w:color w:val="auto"/>
        </w:rPr>
      </w:pPr>
    </w:p>
    <w:p>
      <w:pPr>
        <w:ind w:right="20" w:firstLine="987"/>
        <w:spacing w:after="0" w:line="256" w:lineRule="auto"/>
        <w:tabs>
          <w:tab w:leader="none" w:pos="124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pacing w:after="0" w:line="33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72" w:lineRule="exact"/>
        <w:rPr>
          <w:sz w:val="20"/>
          <w:szCs w:val="20"/>
          <w:color w:val="auto"/>
        </w:rPr>
      </w:pPr>
    </w:p>
    <w:p>
      <w:pPr>
        <w:ind w:right="20" w:firstLine="987"/>
        <w:spacing w:after="0" w:line="258"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9" w:name="page190"/>
    <w:bookmarkEnd w:id="189"/>
    <w:p>
      <w:pPr>
        <w:ind w:left="-60" w:right="80" w:firstLine="987"/>
        <w:spacing w:after="0" w:line="256" w:lineRule="auto"/>
        <w:tabs>
          <w:tab w:leader="none" w:pos="11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The Company will prepare and file with the SEC any amendments, post-effective amendments or supplements to the Initial Registration Statement, any New Registration Statement or any related prospectus, as applicable, that, (i)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(ii) in the reasonable opinion of the Investors and the Company, as may be necessary or advisable in connection with any acquisition or sale of Registrable Securities by the Investors.</w:t>
      </w:r>
    </w:p>
    <w:p>
      <w:pPr>
        <w:spacing w:after="0" w:line="187" w:lineRule="exact"/>
        <w:rPr>
          <w:rFonts w:ascii="Times New Roman" w:cs="Times New Roman" w:eastAsia="Times New Roman" w:hAnsi="Times New Roman"/>
          <w:sz w:val="18"/>
          <w:szCs w:val="18"/>
          <w:color w:val="auto"/>
        </w:rPr>
      </w:pPr>
    </w:p>
    <w:p>
      <w:pPr>
        <w:ind w:left="-60" w:right="260" w:firstLine="987"/>
        <w:spacing w:after="0" w:line="258" w:lineRule="auto"/>
        <w:tabs>
          <w:tab w:leader="none" w:pos="1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(i) such Investor and its counsel shall have been advised and afforded the opportunity to review and comment thereon at least three Business Days prior to filing with the SEC and (ii) the Company shall have given reasonable due consideration to any comments thereon received from such Investor or its counsel.</w:t>
      </w:r>
    </w:p>
    <w:p>
      <w:pPr>
        <w:spacing w:after="0" w:line="183" w:lineRule="exact"/>
        <w:rPr>
          <w:rFonts w:ascii="Times New Roman" w:cs="Times New Roman" w:eastAsia="Times New Roman" w:hAnsi="Times New Roman"/>
          <w:sz w:val="18"/>
          <w:szCs w:val="18"/>
          <w:color w:val="auto"/>
        </w:rPr>
      </w:pPr>
    </w:p>
    <w:p>
      <w:pPr>
        <w:ind w:left="-60" w:firstLine="987"/>
        <w:spacing w:after="0" w:line="270" w:lineRule="auto"/>
        <w:tabs>
          <w:tab w:leader="none" w:pos="1186"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to furnish any document to such Investor to the extent such document is available on EDGAR.</w:t>
      </w:r>
    </w:p>
    <w:p>
      <w:pPr>
        <w:spacing w:after="0" w:line="176" w:lineRule="exact"/>
        <w:rPr>
          <w:rFonts w:ascii="Times New Roman" w:cs="Times New Roman" w:eastAsia="Times New Roman" w:hAnsi="Times New Roman"/>
          <w:sz w:val="17"/>
          <w:szCs w:val="17"/>
          <w:color w:val="auto"/>
        </w:rPr>
      </w:pPr>
    </w:p>
    <w:p>
      <w:pPr>
        <w:ind w:left="-60" w:firstLine="987"/>
        <w:spacing w:after="0" w:line="255" w:lineRule="auto"/>
        <w:tabs>
          <w:tab w:leader="none" w:pos="1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(A) of the Company’s receipt of notice of any request by the SEC or any other federal or state governmental authority for amendment of or a supplement to the Registration Statement or any prospectus or for any additional information; (B)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190" w:name="page191"/>
    <w:bookmarkEnd w:id="19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Registration Statement, or of the Company’s receipt of any notification of the suspension of qualification of the Registrable Securities for offering or sale in any jurisdiction or the initiation or contemplated initiation of any proceeding for such purpose; and (C)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(A) through (C)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reasonable best efforts to publicly disclose such event as soon as reasonably practicable, or otherwise resolve the matter such that sales under Registration Statements may resume.</w:t>
      </w:r>
    </w:p>
    <w:p>
      <w:pPr>
        <w:spacing w:after="0" w:line="193" w:lineRule="exact"/>
        <w:rPr>
          <w:sz w:val="20"/>
          <w:szCs w:val="20"/>
          <w:color w:val="auto"/>
        </w:rPr>
      </w:pPr>
    </w:p>
    <w:p>
      <w:pPr>
        <w:ind w:right="220" w:firstLine="987"/>
        <w:spacing w:after="0" w:line="261" w:lineRule="auto"/>
        <w:tabs>
          <w:tab w:leader="none" w:pos="121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reasonable best efforts to cause all Registrable Securities covered by a Registration Statement to be listed on the Nasdaq Stock Market and/or any other national exchange upon which the Registrable Securities are listed.</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1" w:name="page192"/>
    <w:bookmarkEnd w:id="191"/>
    <w:p>
      <w:pPr>
        <w:ind w:left="4" w:right="120"/>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 such Registration Statement, except that, if such fourth fiscal quarter is the last quarter of the Company’s fiscal year, “Availability Date” means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end of such fourth fiscal quarter).</w:t>
      </w:r>
    </w:p>
    <w:p>
      <w:pPr>
        <w:spacing w:after="0" w:line="72" w:lineRule="exact"/>
        <w:rPr>
          <w:sz w:val="20"/>
          <w:szCs w:val="20"/>
          <w:color w:val="auto"/>
        </w:rPr>
      </w:pPr>
    </w:p>
    <w:p>
      <w:pPr>
        <w:ind w:left="4" w:firstLine="987"/>
        <w:spacing w:after="0" w:line="256" w:lineRule="auto"/>
        <w:tabs>
          <w:tab w:leader="none" w:pos="121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reasonable best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7"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21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use reasonable best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file with the SEC in a timely manner all reports and other documents required of the Company under the Exchange Act, (iii) furnish electronically to each Investor upon request, as long as such Investor owns any Registrable Securities,</w:t>
      </w:r>
    </w:p>
    <w:p>
      <w:pPr>
        <w:spacing w:after="0" w:line="2" w:lineRule="exact"/>
        <w:rPr>
          <w:rFonts w:ascii="Times New Roman" w:cs="Times New Roman" w:eastAsia="Times New Roman" w:hAnsi="Times New Roman"/>
          <w:sz w:val="17"/>
          <w:szCs w:val="17"/>
          <w:color w:val="auto"/>
        </w:rPr>
      </w:pPr>
    </w:p>
    <w:p>
      <w:pPr>
        <w:ind w:left="4" w:right="120" w:hanging="4"/>
        <w:spacing w:after="0" w:line="252" w:lineRule="auto"/>
        <w:tabs>
          <w:tab w:leader="none" w:pos="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in furtherance of (iii)(C) above, use reasonable best efforts to provide such other information as may be reasonably requested by such Investor to allow counsel for such Investor to provide, at such Investor’s sole cost, any legal opinions in connection with the sale or transfer of Registrable Securities pursuant to Rule 144 or any other exemption from registration under the Securities Act.</w:t>
      </w:r>
    </w:p>
    <w:p>
      <w:pPr>
        <w:spacing w:after="0" w:line="189"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92" w:name="page193"/>
    <w:bookmarkEnd w:id="192"/>
    <w:p>
      <w:pPr>
        <w:ind w:right="320" w:firstLine="987"/>
        <w:spacing w:after="0" w:line="289" w:lineRule="auto"/>
        <w:tabs>
          <w:tab w:leader="none" w:pos="1206"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 of Restrictive Legends</w:t>
      </w:r>
      <w:r>
        <w:rPr>
          <w:rFonts w:ascii="Times New Roman" w:cs="Times New Roman" w:eastAsia="Times New Roman" w:hAnsi="Times New Roman"/>
          <w:sz w:val="17"/>
          <w:szCs w:val="17"/>
          <w:color w:val="auto"/>
        </w:rPr>
        <w:t>.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30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ind w:right="100" w:firstLine="987"/>
        <w:spacing w:after="0" w:line="258" w:lineRule="auto"/>
        <w:tabs>
          <w:tab w:leader="none" w:pos="123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of questionnaire or information reasonably required by the Company in connection with the registration of the Registrable Securities within three Business Days of request by the Company and no later than the end of the third Business Day following the date on which such Investor receives draft materials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If the Company has not received such completed questionnaire from an Investor within five business days of the Company’s request, the Company may file the Registration Statement without including such Investor’s Registrable Securities.</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32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an Investor shall be borne by such Investor.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93" w:name="page194"/>
    <w:bookmarkEnd w:id="193"/>
    <w:p>
      <w:pPr>
        <w:ind w:left="940" w:hanging="532"/>
        <w:spacing w:after="0"/>
        <w:tabs>
          <w:tab w:leader="none" w:pos="9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21" w:lineRule="exact"/>
        <w:rPr>
          <w:rFonts w:ascii="Times New Roman" w:cs="Times New Roman" w:eastAsia="Times New Roman" w:hAnsi="Times New Roman"/>
          <w:sz w:val="18"/>
          <w:szCs w:val="18"/>
          <w:b w:val="1"/>
          <w:bCs w:val="1"/>
          <w:color w:val="auto"/>
        </w:rPr>
      </w:pPr>
    </w:p>
    <w:p>
      <w:pPr>
        <w:ind w:left="-20" w:firstLine="987"/>
        <w:spacing w:after="0" w:line="251" w:lineRule="auto"/>
        <w:tabs>
          <w:tab w:leader="none" w:pos="121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each Person, if any, who controls each Investor, the members, shareholders, directors, officers, partners, employees,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or reasonable and documented expenses (collectively, “</w:t>
      </w:r>
      <w:r>
        <w:rPr>
          <w:rFonts w:ascii="Times New Roman" w:cs="Times New Roman" w:eastAsia="Times New Roman" w:hAnsi="Times New Roman"/>
          <w:sz w:val="18"/>
          <w:szCs w:val="18"/>
          <w:b w:val="1"/>
          <w:bCs w:val="1"/>
          <w:color w:val="auto"/>
        </w:rPr>
        <w:t>Indemnified Losses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whether or not an Indemnified Person is or may be a party thereto (the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Indemnified Losses are incurred and are due and payable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66" w:right="459" w:bottom="1440" w:gutter="0" w:footer="0" w:header="0"/>
        </w:sectPr>
      </w:pPr>
    </w:p>
    <w:bookmarkStart w:id="194" w:name="page195"/>
    <w:bookmarkEnd w:id="194"/>
    <w:p>
      <w:pPr>
        <w:ind w:left="4" w:right="40" w:firstLine="987"/>
        <w:spacing w:after="0" w:line="270" w:lineRule="auto"/>
        <w:tabs>
          <w:tab w:leader="none" w:pos="1250"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against any losses, claims, damages, liabilities and expense (including reasonable attorney fees) resulting from</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or omission or alleged omission of any material fact contained in any Registration Statement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or alleged violation by Investor of its obligations under this Agreement, in each case to the extent, and only to the extent, that such untrue statement or alleged untrue statement or omission or alleged omission or such violation or alleged violation occurs in reliance upon and in conformity with information about the relevant Investor furnished and approved in writing by such Investor to the Company expressly for use in connection with the preparation of the Registration Statement, any New Registration Statement, any prospectus or any amendment thereof or supplement thereto. In no event shall the liability of an Investor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be greater in amount than the dollar amount of the proceeds (net of all expense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95" w:name="page196"/>
    <w:bookmarkEnd w:id="19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w:t>
      </w:r>
    </w:p>
    <w:p>
      <w:pPr>
        <w:spacing w:after="0" w:line="6" w:lineRule="exact"/>
        <w:rPr>
          <w:sz w:val="20"/>
          <w:szCs w:val="20"/>
          <w:color w:val="auto"/>
        </w:rPr>
      </w:pPr>
    </w:p>
    <w:p>
      <w:pPr>
        <w:ind w:left="4" w:right="100" w:hanging="4"/>
        <w:spacing w:after="0" w:line="251" w:lineRule="auto"/>
        <w:tabs>
          <w:tab w:leader="none" w:pos="21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93"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25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121" w:lineRule="exact"/>
        <w:rPr>
          <w:sz w:val="20"/>
          <w:szCs w:val="20"/>
          <w:color w:val="auto"/>
        </w:rPr>
      </w:pPr>
    </w:p>
    <w:p>
      <w:pPr>
        <w:ind w:left="4"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 seller of Registrable Securities guilty of fraudulent misrepresentation (within the meaning of Section 11(f) of the Securities Act) shall be entitled to contribution from any seller of Registrable Securities who was not guilty of fraudulent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96" w:name="page197"/>
    <w:bookmarkEnd w:id="196"/>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misrepresentation; and (b)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324" w:lineRule="exact"/>
        <w:rPr>
          <w:sz w:val="20"/>
          <w:szCs w:val="20"/>
          <w:color w:val="auto"/>
        </w:rPr>
      </w:pPr>
    </w:p>
    <w:p>
      <w:pPr>
        <w:ind w:left="960" w:hanging="532"/>
        <w:spacing w:after="0"/>
        <w:tabs>
          <w:tab w:leader="none" w:pos="9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1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not assign this Agreement or any rights or obligations hereunder (whether by operation of law or otherwise) without the prior written consent of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8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An Investor may transfer or assign its rights hereunder, in whole or from time to time in part,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370" w:lineRule="exact"/>
        <w:rPr>
          <w:sz w:val="20"/>
          <w:szCs w:val="20"/>
          <w:color w:val="auto"/>
        </w:rPr>
      </w:pPr>
    </w:p>
    <w:p>
      <w:pPr>
        <w:ind w:left="960" w:hanging="532"/>
        <w:spacing w:after="0"/>
        <w:tabs>
          <w:tab w:leader="none" w:pos="9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the provisions of this sentence, may be amended, modified or supplemented, or waived only by a written instrument executed by (a) the Company and (b)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 provided such consenting Investors shall not in any event be paid any separate consideration in connection with any such amendment or waiver.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7" w:name="page198"/>
    <w:bookmarkEnd w:id="197"/>
    <w:p>
      <w:pPr>
        <w:ind w:left="964" w:hanging="532"/>
        <w:spacing w:after="0"/>
        <w:tabs>
          <w:tab w:leader="none" w:pos="964"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70" w:lineRule="auto"/>
        <w:tabs>
          <w:tab w:leader="none" w:pos="1240" w:val="left"/>
        </w:tabs>
        <w:numPr>
          <w:ilvl w:val="2"/>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days after having been sent by certified or registered mail, return-receipt requested and postage prepaid, or</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 nationally recognized overnight courier, freight prepaid, specifying next business day delivery, with written verification of receipt:</w:t>
      </w:r>
    </w:p>
    <w:p>
      <w:pPr>
        <w:spacing w:after="0" w:line="73" w:lineRule="exact"/>
        <w:rPr>
          <w:rFonts w:ascii="Times New Roman" w:cs="Times New Roman" w:eastAsia="Times New Roman" w:hAnsi="Times New Roman"/>
          <w:sz w:val="18"/>
          <w:szCs w:val="18"/>
          <w:color w:val="auto"/>
        </w:rPr>
      </w:pPr>
    </w:p>
    <w:p>
      <w:pPr>
        <w:ind w:left="1524" w:hanging="132"/>
        <w:spacing w:after="0"/>
        <w:tabs>
          <w:tab w:leader="none" w:pos="1524" w:val="left"/>
        </w:tabs>
        <w:numPr>
          <w:ilvl w:val="3"/>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Alice Lee</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99" w:lineRule="exact"/>
        <w:rPr>
          <w:sz w:val="20"/>
          <w:szCs w:val="20"/>
          <w:color w:val="auto"/>
        </w:rPr>
      </w:pPr>
    </w:p>
    <w:p>
      <w:pPr>
        <w:ind w:left="444" w:firstLine="948"/>
        <w:spacing w:after="0" w:line="282" w:lineRule="auto"/>
        <w:tabs>
          <w:tab w:leader="none" w:pos="15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left="4" w:right="20" w:firstLine="987"/>
        <w:spacing w:after="0" w:line="281" w:lineRule="auto"/>
        <w:tabs>
          <w:tab w:leader="none" w:pos="125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Each Investor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xml:space="preserve">”), as amended or superseded from time to time, by electronic mail pursuant to Section 232 of the DGCL (or any successor thereto) at the e-mail address set forth on the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Purchase Agreement, as updated from time to time by notice to the Company. Each party agrees to promptly notify the other parties of any change in its e-mail address, and that failure to do so shall not affect the foregoing.</w:t>
      </w:r>
    </w:p>
    <w:p>
      <w:pPr>
        <w:spacing w:after="0" w:line="97"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04"/>
          </w:cols>
          <w:pgMar w:left="436" w:top="266" w:right="659" w:bottom="1440" w:gutter="0" w:footer="0" w:header="0"/>
        </w:sectPr>
      </w:pPr>
    </w:p>
    <w:bookmarkStart w:id="198" w:name="page199"/>
    <w:bookmarkEnd w:id="198"/>
    <w:p>
      <w:pPr>
        <w:ind w:left="-20" w:right="320" w:firstLine="987"/>
        <w:spacing w:after="0" w:line="266"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Waiver</w:t>
      </w:r>
      <w:r>
        <w:rPr>
          <w:rFonts w:ascii="Times New Roman" w:cs="Times New Roman" w:eastAsia="Times New Roman" w:hAnsi="Times New Roman"/>
          <w:sz w:val="18"/>
          <w:szCs w:val="18"/>
          <w:color w:val="auto"/>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7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 xml:space="preserve">. The provisions of Section 8.5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1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right="400" w:firstLine="987"/>
        <w:spacing w:after="0" w:line="282" w:lineRule="auto"/>
        <w:tabs>
          <w:tab w:leader="none" w:pos="11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this Agreement, nothing in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rFonts w:ascii="Times New Roman" w:cs="Times New Roman" w:eastAsia="Times New Roman" w:hAnsi="Times New Roman"/>
          <w:sz w:val="18"/>
          <w:szCs w:val="18"/>
          <w:color w:val="auto"/>
        </w:rPr>
      </w:pPr>
    </w:p>
    <w:p>
      <w:pPr>
        <w:ind w:left="-20" w:right="200" w:firstLine="987"/>
        <w:spacing w:after="0" w:line="261"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199" w:name="page200"/>
    <w:bookmarkEnd w:id="199"/>
    <w:p>
      <w:pPr>
        <w:ind w:left="-40" w:firstLine="987"/>
        <w:spacing w:after="0" w:line="254" w:lineRule="auto"/>
        <w:tabs>
          <w:tab w:leader="none" w:pos="116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40" w:right="480" w:firstLine="987"/>
        <w:spacing w:after="0" w:line="266" w:lineRule="auto"/>
        <w:tabs>
          <w:tab w:leader="none" w:pos="125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70"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SERAPHA: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202" w:name="page203"/>
    <w:bookmarkEnd w:id="202"/>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42"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40" w:top="266" w:right="579" w:bottom="1440" w:gutter="0" w:footer="0" w:header="0"/>
        </w:sectPr>
      </w:pPr>
    </w:p>
    <w:bookmarkStart w:id="203" w:name="page204"/>
    <w:bookmarkEnd w:id="20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w:t>
      </w:r>
    </w:p>
    <w:p>
      <w:pPr>
        <w:spacing w:after="0" w:line="1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04" w:name="page205"/>
    <w:bookmarkEnd w:id="20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05" w:name="page206"/>
    <w:bookmarkEnd w:id="205"/>
    <w:p>
      <w:pPr>
        <w:jc w:val="center"/>
        <w:ind w:right="-3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184" w:hanging="184"/>
        <w:spacing w:after="0"/>
        <w:tabs>
          <w:tab w:leader="none" w:pos="184"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56"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7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79"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-1068070</wp:posOffset>
            </wp:positionV>
            <wp:extent cx="63607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-467995</wp:posOffset>
            </wp:positionV>
            <wp:extent cx="63607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602615</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64"/>
          </w:cols>
          <w:pgMar w:left="436" w:top="266" w:right="799" w:bottom="1440" w:gutter="0" w:footer="0" w:header="0"/>
        </w:sectPr>
      </w:pPr>
    </w:p>
    <w:bookmarkStart w:id="206" w:name="page207"/>
    <w:bookmarkEnd w:id="20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 w:hanging="184"/>
        <w:spacing w:after="0"/>
        <w:tabs>
          <w:tab w:leader="none" w:pos="18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4784" w:right="340" w:hanging="4352"/>
        <w:spacing w:after="0" w:line="293" w:lineRule="exact"/>
        <w:tabs>
          <w:tab w:leader="none" w:pos="9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964" w:hanging="532"/>
        <w:spacing w:after="0" w:line="266" w:lineRule="auto"/>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7"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Note:If “no” to Section 3(d), the SEC’s staff has indicated that you should be identified as an underwriter in the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119" w:lineRule="exact"/>
        <w:rPr>
          <w:sz w:val="20"/>
          <w:szCs w:val="20"/>
          <w:color w:val="auto"/>
        </w:rPr>
      </w:pPr>
    </w:p>
    <w:p>
      <w:pPr>
        <w:ind w:left="444" w:right="1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66" w:lineRule="exact"/>
        <w:rPr>
          <w:sz w:val="20"/>
          <w:szCs w:val="20"/>
          <w:color w:val="auto"/>
        </w:rPr>
      </w:pPr>
    </w:p>
    <w:p>
      <w:pPr>
        <w:ind w:left="964" w:hanging="532"/>
        <w:spacing w:after="0"/>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5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240030</wp:posOffset>
            </wp:positionV>
            <wp:extent cx="63607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462915</wp:posOffset>
            </wp:positionV>
            <wp:extent cx="63607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240030</wp:posOffset>
            </wp:positionV>
            <wp:extent cx="67119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w:t>
            </w: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Date: ______________________</w:t>
            </w:r>
          </w:p>
        </w:tc>
        <w:tc>
          <w:tcPr>
            <w:tcW w:w="47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6"/>
                <w:szCs w:val="16"/>
                <w:color w:val="auto"/>
              </w:rPr>
            </w:pPr>
          </w:p>
        </w:tc>
      </w:tr>
      <w:tr>
        <w:trPr>
          <w:trHeight w:val="453"/>
        </w:trPr>
        <w:tc>
          <w:tcPr>
            <w:tcW w:w="56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8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Boundless Bio and Serapha Bio Announce Merger Agreement and $230 Million Concurrent Private Placement</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Combined company to operate as Serapha Bio and to advance Serapha’s potential best-in-class in vivo base editing program for Alpha-1 Antitrypsin</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Deficiency</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Serapha’s lead program SERP-01 targets the SERPINA1 E342K (PiZZ) mutation, with proof-of-concept data demonstrating restoration of serum AAT to</w:t>
      </w:r>
    </w:p>
    <w:p>
      <w:pPr>
        <w:spacing w:after="0" w:line="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normal levels</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Concurrent $230 million private placement co-led by RTW Investments and RA Capital Management, with participation from syndicate of top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healthcare investors and mutual funds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Companies to hold joint webcast on Tuesday, June 23, 2026 at 8:30 a.m. ET</w:t>
      </w:r>
    </w:p>
    <w:p>
      <w:pPr>
        <w:spacing w:after="0" w:line="22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 DIEGO and NEW YORK – June 23, 2026 – </w:t>
      </w:r>
      <w:r>
        <w:rPr>
          <w:rFonts w:ascii="Times New Roman" w:cs="Times New Roman" w:eastAsia="Times New Roman" w:hAnsi="Times New Roman"/>
          <w:sz w:val="18"/>
          <w:szCs w:val="18"/>
          <w:color w:val="auto"/>
        </w:rPr>
        <w:t>Boundless Bio, Inc. (Nasdaq: BOLD) and Serapha Bio, Inc., a privately held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an investigational in vivo base editing therapy for Alpha-1 Antitrypsin Deficiency (AATD), today announced that they have entered into a definitive merger agreement pursuant to which Serapha will combine with Boundless Bio in an all-stock merger. Prior to the closing, Boundless Bio expects to declare a cash dividend to pre-merger Boundless stockholders. Upon completion of the transaction, the combined company plans to operate under the name Serapha Bio, Inc. and is expected to trade on Nasdaq under the ticker symbol “AATD”.</w:t>
      </w:r>
    </w:p>
    <w:p>
      <w:pPr>
        <w:spacing w:after="0" w:line="18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support of the proposed merger, Serapha has secured commitments for pre-closing private investments of approximately $230 million from a syndicate of investors co-led by RA Capital Management and RTW Investments and includes participation by Janus Henderson Investors, Decheng Capital, Vivo Capital, Casdin Capital, LifeSci Venture Partners, Logos Capital, Balyasny Asset Management, and Eventide Asset Management, of which approximately $138 million has already been funded in a Series A financing. The additional $92 million in funding is expected to close substantially concurrently with the merger, subject to customary closing conditions.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combined company’s cash and cash equivalents balance at closing, including the funds from the private placement, is expected to fund Serapha’s operations into the second half of 2029 and provide runway through Phase 2 completion and Phase 3 initiation for SERP-01.</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transaction provides Serapha with the public-market platform and capital to advance SERP-01 through a U.S. clinical program with conviction,” said Roderick Wong, MD, Managing Partner and Chief Investment Officer at RTW Investments. “The early clinical data generated with SERP-01 give us confidence that this is a potentially best-in-class base editing therapy that can restore AAT to physiologic levels in patients with the most severe form of this disease.”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Serapha licensed SERP-01, developed as YOLT-202 in Greater China, from YolTech Therapeutics in June 2026, in exchange for an upfront cash payment and a minority equity stake in Serapha. YolTech is also eligible to receive regulatory and commercial milestones totaling over $2 billion and tiered royalties on net sales of SERP-01. YolTech has been enrolling AATD patients in an Investigator-Initiated Trial (IIT) in Renji Hospital, Shanghai, China and retains development and commercialization rights for the Greater China territory.</w:t>
      </w:r>
    </w:p>
    <w:p>
      <w:pPr>
        <w:sectPr>
          <w:pgSz w:w="11900" w:h="16838" w:orient="portrait"/>
          <w:cols w:equalWidth="0" w:num="1">
            <w:col w:w="11020"/>
          </w:cols>
          <w:pgMar w:left="440" w:top="266" w:right="439" w:bottom="1440" w:gutter="0" w:footer="0" w:header="0"/>
        </w:sectPr>
      </w:pPr>
    </w:p>
    <w:bookmarkStart w:id="209" w:name="page210"/>
    <w:bookmarkEnd w:id="20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“SERP-01 has a highly differentiated clinical profile, and, with this financing and merger agreement, Serapha is well positioned to deliver meaningful benefit for the up to 100,000 Americans – and many more around the world – who suffer from the life-threatening effects of severe AATD,” said Rajeev Shah, Managing Partner at RA Capital. “Serapha will hit the ground running with company building support from RTW Investments and RA Capital, including RA Capital’s Blackbird clinical development accelerator.”</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our founding, Boundless has pioneered a novel approach rooted in extrachromosomal DNA (ecDNA) biology to attempt to treat some of the most aggressive and difficult cancers. While we’ve deepened our understanding of ecDNA’s foundational role in certain cancers, the early clinical data for BBI-940 did not support continuing to advance this program,” said Zachary Hornby, President and Chief Executive Officer of Boundless Bio. “I am incredibly proud of our Boundless Bio team and their rigorous advancement of our novel science over the past seven years. We believe this transaction represents a strong opportunity to deliver meaningful value for our stakeholders, while providing Serapha with a public-market platform to advance novel therapies for people with rare diseases.”</w:t>
      </w:r>
    </w:p>
    <w:p>
      <w:pPr>
        <w:spacing w:after="0" w:line="1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combined company will focus on the development and commercialization of Serapha’s lead clinical-stage candidate, SERP-01, for the treatment of severe AATD. AATD is a hereditary disorder most commonly caused by the SERPINA1 E342K point mutation, which causes the liver to produce a misfolded form of AAT, known as Z-AAT, in place of the normal M-AAT. The resulting toxic accumulation of Z-AAT polymers in the liver can lead to hepatitis, fibrosis, and cirrhosis, while reduced levels of functional AAT in circulation leave the lungs vulnerable to progressive emphysema and COPD. There is estimated to be up to 100,000 individuals with the severe PiZZ genotype in the United States, and current treatment is limited to supportive care, liver transplantation for end-stage disease, and weekly intravenous augmentation therapy that does not address the underlying liver pathology.</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SERP-01 is an investigational in vivo base editing therapy designed to correct the SERPINA1 E342K mutation at its source. By restoring production of functional M-AAT while reducing toxic Z-AAT, SERP-01 has the potential to address both the liver and lung manifestations of the disease with a single administration.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Proposed Transaction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as of the closing and subject to the assumptions and adjustments set forth in the merger agreement, the pre-merger Boundless Bio stockholders are expected to own approximately 3.7% of the combined company and the pre-merger Serapha stockholders (inclusive of those investors participating in the pre-closing financings) are expected to own approximately 96.3% of the combined company. Prior to closing, Boundless Bio expects to declare a cash dividend to pre-merger Boundless Bio stockholders to distribute excess net cash, which is currently expected to be approximately $44 to $48 million, subject to adjustment based on Boundless Bio’s net cash at closing and the terms of the merger agreement.</w:t>
      </w:r>
    </w:p>
    <w:p>
      <w:pPr>
        <w:sectPr>
          <w:pgSz w:w="11900" w:h="16838" w:orient="portrait"/>
          <w:cols w:equalWidth="0" w:num="1">
            <w:col w:w="10960"/>
          </w:cols>
          <w:pgMar w:left="440" w:top="270" w:right="499" w:bottom="1440" w:gutter="0" w:footer="0" w:header="0"/>
        </w:sectPr>
      </w:pPr>
    </w:p>
    <w:bookmarkStart w:id="210" w:name="page211"/>
    <w:bookmarkEnd w:id="21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has received unanimous approval by the Board of Directors of both companies and is expected to close in the fourth quarter of 2026, subject to certain closing conditions, including, among others, approval by the stockholders of each company, approval of the Nasdaq listing application, the effectiveness of a registration statement to be filed with the U.S. Securities and Exchange Commission (SEC) to register the securities to be issued in connection with the proposed merger, expiration, or termination of the waiting period under the Hart-Scott-Rodino Antitrust Improvements Act of 1976, as amended, if applicable, and the satisfaction of other customary closing conditions.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Lucid Capital Markets is serving as exclusive financial advisor and Latham &amp; Watkins LLP is serving as legal counsel to Boundless Bio. Wedbush Securities Inc. is serving as exclusive financial advisor and Gibson, Dunn &amp; Crutcher LLP and Goodwin Procter LLP are serving as legal counsel to Serapha.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Boundless Bio and Serapha Bio will host a joint conference call and webcast on June 23, 2026 at 8:30 a.m. ET. Please access the presentation by clicking on the following link: https://edge.media-server.com/mmc/p/w8sgnrsw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Serapha Bio</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Serapha Bio is a clinical-stage biotechnology company developing a novel base editing therapy for patients with AATD. Correcting the PiZ allele, the most common gene variant associated with severe AATD, could address a large population in the U.S. and Europe. Serapha Bio was co-founded in 2026 by RTW Investments, LP and RA Capital Management. For more information, visit https://www.seraphabio.com/.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Boundless Bio</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Boundless Bio is a clinical-stage oncology company dedicated to unlocking a new paradigm in cancer therapeutics that addresses the significant unmet need in patients with oncogene amplified tumors. For more information, visit </w:t>
      </w:r>
      <w:r>
        <w:rPr>
          <w:rFonts w:ascii="Times New Roman" w:cs="Times New Roman" w:eastAsia="Times New Roman" w:hAnsi="Times New Roman"/>
          <w:sz w:val="18"/>
          <w:szCs w:val="18"/>
          <w:u w:val="single" w:color="auto"/>
          <w:color w:val="auto"/>
        </w:rPr>
        <w:t>https://boundlessbio.com/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proposed merger between Boundless Bio and Serapha, the expected timing and completion of the transaction and the concurrent financing and Nasdaq listing, the anticipated ownership of the combined company, the expected amount and timing of the cash dividend to be paid to pre-merger Boundless Bio stockholders, the expected cash runway, and the potential, development plans, anticipated clinical milestones and therapeutic benefits of SERP-01, including whether SERP-01 will achieve or maintain restoration of serum AAT to normal levels, reduce toxic Z-AAT, address the liver and lung manifestations of AATD, demonstrate a favorable safety and tolerability profile, or achieve regulatory approval. In addition, any statements that refer to projections, forecasts or other characterizations of future events or circumstances, including any underlying assumptions, are forward-looking statements. The words “anticipate,” “believe,” “could,” “estimate,” “expect,” “intend,” “may,” “milestone,” “opportunity,” “plan,” “potential,” “project,” “should,” “target,” “will,” “would” and similar expressions (including the negatives of</w:t>
      </w:r>
    </w:p>
    <w:p>
      <w:pPr>
        <w:sectPr>
          <w:pgSz w:w="11900" w:h="16838" w:orient="portrait"/>
          <w:cols w:equalWidth="0" w:num="1">
            <w:col w:w="11000"/>
          </w:cols>
          <w:pgMar w:left="440" w:top="270" w:right="459" w:bottom="1440" w:gutter="0" w:footer="0" w:header="0"/>
        </w:sectPr>
      </w:pPr>
    </w:p>
    <w:bookmarkStart w:id="211" w:name="page212"/>
    <w:bookmarkEnd w:id="2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terms or variations of them) may identify forward-looking statements, but the absence of these words does not mean that a statement is not forward-looking. These statements are based on current expectations and are subject to risks and uncertainties that could cause actual results to differ materially, including the risk that the transaction or financing may not be completed on the anticipated terms or at all, the risk that required stockholder approval may not be obtained, the failure to satisfy the other conditions to the closing of the proposed merger, including the effectiveness of the registration statement to be filed with the SEC and the expiration or termination of the applicable waiting period under the Hart-Scott-Rodino Antitrust Improvements Act of 1976, as amended, if applicable, the risk that the anticipated ownership percentages or cash dividend amount may change based on adjustments at or prior to closing, the uncertainties inherent in clinical development and the regulatory approval process, the combined company’s ability to successfully develop and, if approved, commercialize SERP-01, the combined company’s reliance on third parties in connection with manufacturing, research, and clinical and preclinical testing, Serapha’s reliance on intellectual property rights under its license agreement with YolTech Therapeutics, risks related to the protection of intellectual property, the combined company may use its capital resources sooner than it anticipates and, in any event, the combined company will continue to require substantial additional funding, and other risks described in Boundless Bio’s filings with the SEC, including its most recent Annual Report on Form 10-K and subsequent Quarterly Reports on Form 10-Q, and in the registration statement and proxy statement/prospectus to be filed in connection with the proposed transaction. Should one or more of these risks or uncertainties materialize, or should any of the parties’ assumptions prove incorrect, actual results may vary in material respects from those projected in these forward-looking statements. You should not place undue reliance on these forward-looking statements. Forward-looking statements speak only as of the date of this release, and neither company undertakes any obligation to update them except as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Boundless Bio intends to file with the SEC a registration statement on Form S-4 that will include a proxy statement of Boundless Bio and a prospectus of Boundless Bio, and each of Boundless Bio and Serapha may file with the SEC or furnish to the SEC other relevant documents concerning the proposed transaction. Investors and securityholders are urged to read the registration statement, including the proxy statement/prospectus contained therein, and all other relevant documents filed with or furnished to the SEC in connection with the proposed transaction when they become available because they will contain important information about Boundless Bio, Serapha and the proposed transaction. Investors and securityholders will be able to obtain free copies of the registration statement and the proxy statement/prospectus, when available, and other relevant documents filed with or furnished to the SEC by Boundless Bio through the website maintained by the SEC at www.sec.gov and on Boundless Bio’s website at </w:t>
      </w:r>
      <w:r>
        <w:rPr>
          <w:rFonts w:ascii="Times New Roman" w:cs="Times New Roman" w:eastAsia="Times New Roman" w:hAnsi="Times New Roman"/>
          <w:sz w:val="18"/>
          <w:szCs w:val="18"/>
          <w:u w:val="single" w:color="auto"/>
          <w:color w:val="auto"/>
        </w:rPr>
        <w:t>https://boundlessbio.com/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Boundless Bio, Serapha and their respective directors and executive officers may be deemed to be participants in the solicitation of proxies from Boundless Bio’s stockholders in connection with the proposed transaction. Information about Boundless Bio’s directors and executive officers and their ownership of Boundless Bio securities is set forth in Boundless Bio’s filings with the SEC, including Boundless Bio’s most recent Annual Report on Form 10-K. Additional information regarding the persons who may, under the rules of the SEC, be deemed participants in the solicitation of proxies in connection with the proposed transaction, including a description of their direct or indirect interests, by security holdings or otherwise, will be included in the registration statement and proxy statement/prospectus when available.</w:t>
      </w:r>
    </w:p>
    <w:p>
      <w:pPr>
        <w:sectPr>
          <w:pgSz w:w="11900" w:h="16838" w:orient="portrait"/>
          <w:cols w:equalWidth="0" w:num="1">
            <w:col w:w="11000"/>
          </w:cols>
          <w:pgMar w:left="440" w:top="270" w:right="459" w:bottom="1440" w:gutter="0" w:footer="0" w:header="0"/>
        </w:sectPr>
      </w:pPr>
    </w:p>
    <w:bookmarkStart w:id="212" w:name="page213"/>
    <w:bookmarkEnd w:id="2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is not intended to and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Monique Allaire, THRUST,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monique@thrustsc.com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Carly Scaduto, THRUST,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carly@thrustsc.com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 RTW Investments / RA Capital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Chris Morrison, RA Capital, </w:t>
      </w:r>
      <w:r>
        <w:rPr>
          <w:rFonts w:ascii="Times New Roman" w:cs="Times New Roman" w:eastAsia="Times New Roman" w:hAnsi="Times New Roman"/>
          <w:sz w:val="18"/>
          <w:szCs w:val="18"/>
          <w:u w:val="single" w:color="auto"/>
          <w:color w:val="auto"/>
        </w:rPr>
        <w:t>cmorrison@racap.com</w:t>
      </w:r>
    </w:p>
    <w:p>
      <w:pPr>
        <w:sectPr>
          <w:pgSz w:w="11900" w:h="16838" w:orient="portrait"/>
          <w:cols w:equalWidth="0" w:num="1">
            <w:col w:w="10700"/>
          </w:cols>
          <w:pgMar w:left="440" w:top="270" w:right="75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&amp; Serapha BioConference Call Script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Good morning and welcome to the Boundless Bio conference call to discuss the merger of Boundless and Serapha Bio. This call is being recorded for replay at the company’s request. It’s now my pleasure to turn the call over to Monique Allaire, IR representative for Boundless Bio. Please go ahead.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Monique Allaire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Good morning and thank you for joining us for today’s conference call. The link to this webcast is on the Investor’s page of the Boundless Bio corporate website. Before we begin, I would like to remind you that today’s call will include forward-looking statements, which include, but are not limited to, statements regarding the proposed merger, cash dividend and other contemplated transactions. These forward-looking statements involve significant risks and uncertainties that could cause actual results to differ materially from those expected, including those listed at the bottom of the press release issued this morning.</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refer to Boundless Bio’s filings with the SEC for additional risks and uncertainties. Boundless intends to file a registration statement containing a proxy statement and a prospectus that will have important information about each company and the transaction, which we advise you to read. These filings are available from the SEC at SEC.gov or on the company’s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turn the conference over to Zachary Hornby, President and Chief Executive Officer of Boundless 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Hornby, President and CEO, Boundless Bio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Monique.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morning, we announced that Boundless Bio has entered into a merger agreement with Serapha Bio in an all-stock transaction.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I’ll begin today’s call by sharing a bit of the background leading to this transaction and reviewing the details of the proposed merger with Serapha. I’ll then pass the call over to Dr. Emma Wang, Interim Chief Technology Officer of Serapha, who will provide an overview of the company, its strategy and its pipeline.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Over the last several months, concurrent with reviewing incoming clinical data from our BBI-940 program, we conducted a strategic review to evaluate a range of options that would position us to maximize value for our shareholders. These included assessment of our internal pipeline, financing opportunities, and strategic alternatives.</w:t>
      </w:r>
    </w:p>
    <w:p>
      <w:pPr>
        <w:sectPr>
          <w:pgSz w:w="11900" w:h="16838" w:orient="portrait"/>
          <w:cols w:equalWidth="0" w:num="1">
            <w:col w:w="11020"/>
          </w:cols>
          <w:pgMar w:left="440" w:top="266" w:right="439" w:bottom="1440" w:gutter="0" w:footer="0" w:header="0"/>
        </w:sectPr>
      </w:pPr>
    </w:p>
    <w:bookmarkStart w:id="214" w:name="page215"/>
    <w:bookmarkEnd w:id="21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 thorough review of our clinical data and strategic options by our Board of Directors, the Board unanimously approved the proposed merger. We believe that this transaction with Serapha offers a compelling opportunity for our stockholders to realize both short and long-term value creation through a cash dividend to Boundless’ pre-merger stockholders that I’ll describe shortly.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believe Boundless shareholders should be excited about this transaction for several reasons. Serapha is a private clinical-stage company co-founded by premier investors, RTW Investments and RA Capital Management. The company has a lead clinical-stage asset that has the potential to be a best-in-class base editor therapy for the treatment of Alpha-1 Antitrypsin Deficiency with strong early clinical data in patients.</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Upon the closing of the transaction, the go-forward company’s cash position is expected to provide cash runway into the second half of 2029, through key late-stage clinical inflection points that Emma will go through. This cash position arises from $230 million in proceeds from a completed Series A financing and expected pre-closing equity financing of Serapha with a syndicate of top-tier healthcare specialists and institutional investors. With this capital, we believe Serapha has the ability to execute its strategy through multiple value-driving clinical catalysts.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the pre-merger Boundless stockholders are expected to own approximately 3.7% of the combined company. Boundless also expects to pay a cash dividend to pre-merger Boundless stockholders of approximately $44 to 48million immediately prior to the closing of the merger. Pre-merger Serapha stockholders, including the investors participating in the pre-closing financing, are expected to own approximately 96.3% of the combined company.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the close of the proposed transaction, the combined company is expected to operate under the name Serapha Bio Incorporated and to begin trading on Nasdaq under the ticker symbol AATD, subject to Nasdaq approval. We expect the merger transaction to close in the 4th quarter of 2026, subject to Boundless stockholder approval and customary closing conditions.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at Boundless have been impressed with Serapha’s outstanding medical science and the quality of its scientific leadership. We believe in their ability to deliver on their pipeline strategy.</w:t>
      </w:r>
    </w:p>
    <w:p>
      <w:pPr>
        <w:spacing w:after="0" w:line="16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behalf of the Boundless team, I would like to extend my sincere thanks to our employees for their diligent efforts on our science and programs, to the patients and investigators that participated in our trials, and to our stockholders, advisors, and Board of Directors who have supported us along the way.</w:t>
      </w:r>
    </w:p>
    <w:p>
      <w:pPr>
        <w:sectPr>
          <w:pgSz w:w="11900" w:h="16838" w:orient="portrait"/>
          <w:cols w:equalWidth="0" w:num="1">
            <w:col w:w="11000"/>
          </w:cols>
          <w:pgMar w:left="440" w:top="270" w:right="459" w:bottom="1440" w:gutter="0" w:footer="0" w:header="0"/>
        </w:sectPr>
      </w:pPr>
    </w:p>
    <w:bookmarkStart w:id="215" w:name="page216"/>
    <w:bookmarkEnd w:id="215"/>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part of our transition planning and our focus on efficient operations through close, I will be stepping down from my role as CEO, President and Director, effective July 1, with our Chief Legal Officer, Jessica Oien, serving as principal executive officer through the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I’m pleased to introduce Dr. Emma Wang, Interim Chief Technology Officer of Serapha 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Emma Wang, Interim CTO, Serapha Bio</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Thank you Zach for the introduction. On behalf of Serapha, I want to thank you and the Boundless team for your partnership as we embark on this exciting transaction.</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Today, we are thrilled to introduce Serapha Bio and announce our planned merger with Boundless Bio. At Serapha, we are driven to develop transformative therapies to address the profound unmet need in AATD.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that end, we are working to assemble a deeply experienced team of gene editing drug developers who are dedicated to advancing durable, disease-modifying therapies. Our company is singularly focused on advancing a potentially best-in-class in vivo base-editing therapy targeting the SERPINA1 E342K mutation, also known as the PiZ allele, for the treatment of both pulmonary and hepatic disease manifestations in AATD. AATD represents an area of significant unmet need, particularly for patients with the PiZZ genotype, or those who are homozygous for the PiZ allele, with advanced lung and liver disease who are inadequately served by current protein replacement approaches.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lead asset SERP-01, known as YOLT-202 in Greater China, is an investigational in vivo base-editing therapeutic in-licensed from YolTech Therapeutics, a Shanghai-based gene editing company. Through this agreement, Serapha has obtained ex-China rights to develop SERP-01 for AATD. SERP-01 employs YolTech’s proprietary adenine base editor delivered via an optimized lipid nanoparticle formulation designed for efficient hepatocyte targeting, to make a precise single-nucleotide correction at the SERPINA1 E342K locus. This correction is designed to address both liver and lung disease manifestations and restore circulating AAT to therapeutically meaningful levels with a single administration. SERP-01 is currently being evaluated in an ongoing investigator-initiated trial, or IIT, in China by YolTech, and data from that study, which we will describe further, have informed our conviction in the program’s differentiated potential.</w:t>
      </w:r>
    </w:p>
    <w:p>
      <w:pPr>
        <w:sectPr>
          <w:pgSz w:w="11900" w:h="16838" w:orient="portrait"/>
          <w:cols w:equalWidth="0" w:num="1">
            <w:col w:w="10920"/>
          </w:cols>
          <w:pgMar w:left="440" w:top="270" w:right="539" w:bottom="1440" w:gutter="0" w:footer="0" w:header="0"/>
        </w:sectPr>
      </w:pPr>
    </w:p>
    <w:bookmarkStart w:id="216" w:name="page217"/>
    <w:bookmarkEnd w:id="2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AATD is one of the most common serious hereditary disorders in populations of Northern European ancestry, with the PiZZ homozygous genotype affecting up to 100,000 individuals in the United States alone, with a significant portion of the patient population being undiagnosed. Progressive obstructive lung disease and chronic liver disease, including fibrosis and cirrhosis, represent the two dominant disease manifestations. The current standard of care for patients with severe pulmonary disease is intravenous AAT augmentation therapy, a burdensome, lifelong infusion regimen that only modestly slows emphysema progression and does not address liver disease. There are no approved therapies that directly correct the underlying genetic defect, and patients with advanced liver disease have no disease-modifying options short of transplantation. We believe a genomic correction therapy is uniquely positioned to address this critical unmet need across both organ manifestations simultaneously.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AATD is driven by a single predominant point mutation, this disease is ideally suited to a precise base-editing approach that corrects the single nucleotide, converting the mutant Z-AAT protein to normal or wildtype M-AAT protein. Importantly, SERP-01 has already generated early first-in-human clinical data supporting this compelling approach. In the ongoing China IIT, all three patients dosed at 45 mg have demonstrated restoration of serum M-AAT protein at levels above the accepted protective threshold of 11 µM after week 4, with levels remaining above this threshold through week 22 for one of the patients. One patient received a liver biopsy after SERP-01 therapy, and sequencing of this patient’s liver tissue found there to be no bystander edits. The produced M-AAT protein is the normal or the wildtype form. As of the latest data cutoff, YOLT-202 has been generally well tolerated, with only mild and transient liver enzyme elevations that resolved without intervention.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parallel with YolTech’s ongoing IIT in China, Serapha intends to advance SERP-01 in the United States and Europe, including CMC technology transfer and initiation of a Phase 2 open-label study in patients at the optimal biologically active dose towards the end of this year. SERP-01 has received Orphan Drug Designation and Regenerative Medicine Advanced Therapy Designation from the FDA, which we believe reflects recognition of the program’s potential to address a serious unmet need with early clinical evidence. We believe the addressable market across the pulmonary and hepatic manifestations of AATD represents a substantial global commercial opportunity. The differentiated target product profile of SERP-01, with its evidence of durable AAT restoration and favorable safety data including lack of observed bystander edits to date, could offer a meaningfully superior alternative to lifelong augmentation therapy for this patient population.</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conclusion, we are excited to advance SERP-01 through the planned merger with Boundless Bio and with the support of our exceptional investor syndicate. We believe this program represents a potential breakthrough for patients living with AATD and a compelling value creation opportunity for our combined shareholder base. We look forward to working closely with the Boundless team in the months ahead to prepare for the successful completion of this merger. With that, I will conclude my remarks and hand the call back to the operator. Thank you for joining.</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lowerRoman"/>
      <w:start w:val="3"/>
    </w:lvl>
  </w:abstractNum>
  <w:abstractNum w:abstractNumId="3">
    <w:nsid w:val="1DF029D3"/>
    <w:multiLevelType w:val="hybridMultilevel"/>
    <w:lvl w:ilvl="0">
      <w:lvlJc w:val="left"/>
      <w:lvlText w:val="(%1)"/>
      <w:numFmt w:val="lowerRoman"/>
      <w:start w:val="10"/>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1)"/>
      <w:numFmt w:val="decimal"/>
      <w:start w:val="6"/>
    </w:lvl>
  </w:abstractNum>
  <w:abstractNum w:abstractNumId="6">
    <w:nsid w:val="3DB012B3"/>
    <w:multiLevelType w:val="hybridMultilevel"/>
    <w:lvl w:ilvl="0">
      <w:lvlJc w:val="left"/>
      <w:lvlText w:val="(%1)"/>
      <w:numFmt w:val="lowerLetter"/>
      <w:start w:val="1"/>
    </w:lvl>
  </w:abstractNum>
  <w:abstractNum w:abstractNumId="7">
    <w:nsid w:val="2708C9AF"/>
    <w:multiLevelType w:val="hybridMultilevel"/>
    <w:lvl w:ilvl="0">
      <w:lvlJc w:val="left"/>
      <w:lvlText w:val="(%1)"/>
      <w:numFmt w:val="lowerLetter"/>
      <w:start w:val="6"/>
    </w:lvl>
  </w:abstractNum>
  <w:abstractNum w:abstractNumId="8">
    <w:nsid w:val="5B25ACE2"/>
    <w:multiLevelType w:val="hybridMultilevel"/>
    <w:lvl w:ilvl="0">
      <w:lvlJc w:val="left"/>
      <w:lvlText w:val="%1"/>
      <w:numFmt w:val="lowerLetter"/>
      <w:start w:val="1"/>
    </w:lvl>
    <w:lvl w:ilvl="1">
      <w:lvlJc w:val="left"/>
      <w:lvlText w:val="(%2)"/>
      <w:numFmt w:val="lowerLetter"/>
      <w:start w:val="1"/>
    </w:lvl>
  </w:abstractNum>
  <w:abstractNum w:abstractNumId="9">
    <w:nsid w:val="175DFCF0"/>
    <w:multiLevelType w:val="hybridMultilevel"/>
    <w:lvl w:ilvl="0">
      <w:lvlJc w:val="left"/>
      <w:lvlText w:val="(%1)"/>
      <w:numFmt w:val="lowerLetter"/>
      <w:start w:val="9"/>
    </w:lvl>
    <w:lvl w:ilvl="1">
      <w:lvlJc w:val="left"/>
      <w:lvlText w:val="%2"/>
      <w:numFmt w:val="lowerLetter"/>
      <w:start w:val="1"/>
    </w:lvl>
  </w:abstractNum>
  <w:abstractNum w:abstractNumId="10">
    <w:nsid w:val="4F97E3E4"/>
    <w:multiLevelType w:val="hybridMultilevel"/>
    <w:lvl w:ilvl="0">
      <w:lvlJc w:val="left"/>
      <w:lvlText w:val="(%1)"/>
      <w:numFmt w:val="lowerLetter"/>
      <w:start w:val="12"/>
    </w:lvl>
  </w:abstractNum>
  <w:abstractNum w:abstractNumId="11">
    <w:nsid w:val="53B0A9E"/>
    <w:multiLevelType w:val="hybridMultilevel"/>
    <w:lvl w:ilvl="0">
      <w:lvlJc w:val="left"/>
      <w:lvlText w:val="(%1)"/>
      <w:numFmt w:val="lowerLetter"/>
      <w:start w:val="5"/>
    </w:lvl>
  </w:abstractNum>
  <w:abstractNum w:abstractNumId="12">
    <w:nsid w:val="34FD6B4F"/>
    <w:multiLevelType w:val="hybridMultilevel"/>
    <w:lvl w:ilvl="0">
      <w:lvlJc w:val="left"/>
      <w:lvlText w:val="(%1)"/>
      <w:numFmt w:val="lowerLetter"/>
      <w:start w:val="3"/>
    </w:lvl>
  </w:abstractNum>
  <w:abstractNum w:abstractNumId="13">
    <w:nsid w:val="5915FF32"/>
    <w:multiLevelType w:val="hybridMultilevel"/>
    <w:lvl w:ilvl="0">
      <w:lvlJc w:val="left"/>
      <w:lvlText w:val="(%1)"/>
      <w:numFmt w:val="lowerLetter"/>
      <w:start w:val="2"/>
    </w:lvl>
  </w:abstractNum>
  <w:abstractNum w:abstractNumId="14">
    <w:nsid w:val="56438D15"/>
    <w:multiLevelType w:val="hybridMultilevel"/>
    <w:lvl w:ilvl="0">
      <w:lvlJc w:val="left"/>
      <w:lvlText w:val="(%1)"/>
      <w:numFmt w:val="lowerLetter"/>
      <w:start w:val="2"/>
    </w:lvl>
  </w:abstractNum>
  <w:abstractNum w:abstractNumId="15">
    <w:nsid w:val="519E3149"/>
    <w:multiLevelType w:val="hybridMultilevel"/>
    <w:lvl w:ilvl="0">
      <w:lvlJc w:val="left"/>
      <w:lvlText w:val="(%1)"/>
      <w:numFmt w:val="lowerLetter"/>
      <w:start w:val="1"/>
    </w:lvl>
  </w:abstractNum>
  <w:abstractNum w:abstractNumId="16">
    <w:nsid w:val="2C6E4AFD"/>
    <w:multiLevelType w:val="hybridMultilevel"/>
    <w:lvl w:ilvl="0">
      <w:lvlJc w:val="left"/>
      <w:lvlText w:val="(%1)"/>
      <w:numFmt w:val="lowerLetter"/>
      <w:start w:val="1"/>
    </w:lvl>
    <w:lvl w:ilvl="1">
      <w:lvlJc w:val="left"/>
      <w:lvlText w:val="(%2)"/>
      <w:numFmt w:val="lowerRoman"/>
      <w:start w:val="1"/>
    </w:lvl>
  </w:abstractNum>
  <w:abstractNum w:abstractNumId="17">
    <w:nsid w:val="17A1B582"/>
    <w:multiLevelType w:val="hybridMultilevel"/>
    <w:lvl w:ilvl="0">
      <w:lvlJc w:val="left"/>
      <w:lvlText w:val="(%1)"/>
      <w:numFmt w:val="lowerRoman"/>
      <w:start w:val="2"/>
    </w:lvl>
    <w:lvl w:ilvl="1">
      <w:lvlJc w:val="left"/>
      <w:lvlText w:val="(%2)"/>
      <w:numFmt w:val="lowerRoman"/>
      <w:start w:val="5"/>
    </w:lvl>
  </w:abstractNum>
  <w:abstractNum w:abstractNumId="18">
    <w:nsid w:val="4DF72E4E"/>
    <w:multiLevelType w:val="hybridMultilevel"/>
    <w:lvl w:ilvl="0">
      <w:lvlJc w:val="left"/>
      <w:lvlText w:val="(%1)"/>
      <w:numFmt w:val="lowerLetter"/>
      <w:start w:val="1"/>
    </w:lvl>
    <w:lvl w:ilvl="1">
      <w:lvlJc w:val="left"/>
      <w:lvlText w:val="(%2)"/>
      <w:numFmt w:val="lowerRoman"/>
      <w:start w:val="1"/>
    </w:lvl>
  </w:abstractNum>
  <w:abstractNum w:abstractNumId="19">
    <w:nsid w:val="5046B5A9"/>
    <w:multiLevelType w:val="hybridMultilevel"/>
    <w:lvl w:ilvl="0">
      <w:lvlJc w:val="left"/>
      <w:lvlText w:val="(%1)"/>
      <w:numFmt w:val="lowerLetter"/>
      <w:start w:val="5"/>
    </w:lvl>
  </w:abstractNum>
  <w:abstractNum w:abstractNumId="20">
    <w:nsid w:val="5D888A08"/>
    <w:multiLevelType w:val="hybridMultilevel"/>
    <w:lvl w:ilvl="0">
      <w:lvlJc w:val="left"/>
      <w:lvlText w:val="(%1)"/>
      <w:numFmt w:val="lowerLetter"/>
      <w:start w:val="1"/>
    </w:lvl>
  </w:abstractNum>
  <w:abstractNum w:abstractNumId="21">
    <w:nsid w:val="2A082C70"/>
    <w:multiLevelType w:val="hybridMultilevel"/>
    <w:lvl w:ilvl="0">
      <w:lvlJc w:val="left"/>
      <w:lvlText w:val="(%1)"/>
      <w:numFmt w:val="lowerLetter"/>
      <w:start w:val="3"/>
    </w:lvl>
  </w:abstractNum>
  <w:abstractNum w:abstractNumId="22">
    <w:nsid w:val="5EC6AFD4"/>
    <w:multiLevelType w:val="hybridMultilevel"/>
    <w:lvl w:ilvl="0">
      <w:lvlJc w:val="left"/>
      <w:lvlText w:val="(%1)"/>
      <w:numFmt w:val="lowerLetter"/>
      <w:start w:val="1"/>
    </w:lvl>
  </w:abstractNum>
  <w:abstractNum w:abstractNumId="23">
    <w:nsid w:val="19E21BB2"/>
    <w:multiLevelType w:val="hybridMultilevel"/>
    <w:lvl w:ilvl="0">
      <w:lvlJc w:val="left"/>
      <w:lvlText w:val="(%1)"/>
      <w:numFmt w:val="lowerLetter"/>
      <w:start w:val="2"/>
    </w:lvl>
  </w:abstractNum>
  <w:abstractNum w:abstractNumId="24">
    <w:nsid w:val="75E0858A"/>
    <w:multiLevelType w:val="hybridMultilevel"/>
    <w:lvl w:ilvl="0">
      <w:lvlJc w:val="left"/>
      <w:lvlText w:val="(%1)"/>
      <w:numFmt w:val="lowerLetter"/>
      <w:start w:val="5"/>
    </w:lvl>
  </w:abstractNum>
  <w:abstractNum w:abstractNumId="25">
    <w:nsid w:val="57A61A29"/>
    <w:multiLevelType w:val="hybridMultilevel"/>
    <w:lvl w:ilvl="0">
      <w:lvlJc w:val="left"/>
      <w:lvlText w:val="(%1)"/>
      <w:numFmt w:val="lowerLetter"/>
      <w:start w:val="1"/>
    </w:lvl>
  </w:abstractNum>
  <w:abstractNum w:abstractNumId="26">
    <w:nsid w:val="5399C654"/>
    <w:multiLevelType w:val="hybridMultilevel"/>
    <w:lvl w:ilvl="0">
      <w:lvlJc w:val="left"/>
      <w:lvlText w:val="(%1)"/>
      <w:numFmt w:val="lowerLetter"/>
      <w:start w:val="1"/>
    </w:lvl>
    <w:lvl w:ilvl="1">
      <w:lvlJc w:val="left"/>
      <w:lvlText w:val="(%2)"/>
      <w:numFmt w:val="lowerRoman"/>
      <w:start w:val="1"/>
    </w:lvl>
  </w:abstractNum>
  <w:abstractNum w:abstractNumId="27">
    <w:nsid w:val="20EE1348"/>
    <w:multiLevelType w:val="hybridMultilevel"/>
    <w:lvl w:ilvl="0">
      <w:lvlJc w:val="left"/>
      <w:lvlText w:val="%1"/>
      <w:numFmt w:val="lowerLetter"/>
      <w:start w:val="1"/>
    </w:lvl>
    <w:lvl w:ilvl="1">
      <w:lvlJc w:val="left"/>
      <w:lvlText w:val="(%2)"/>
      <w:numFmt w:val="lowerLetter"/>
      <w:start w:val="22"/>
    </w:lvl>
  </w:abstractNum>
  <w:abstractNum w:abstractNumId="28">
    <w:nsid w:val="4427069A"/>
    <w:multiLevelType w:val="hybridMultilevel"/>
    <w:lvl w:ilvl="0">
      <w:lvlJc w:val="left"/>
      <w:lvlText w:val="(%1)"/>
      <w:numFmt w:val="lowerLetter"/>
      <w:start w:val="2"/>
    </w:lvl>
    <w:lvl w:ilvl="1">
      <w:lvlJc w:val="left"/>
      <w:lvlText w:val="%2"/>
      <w:numFmt w:val="lowerLetter"/>
      <w:start w:val="1"/>
    </w:lvl>
  </w:abstractNum>
  <w:abstractNum w:abstractNumId="29">
    <w:nsid w:val="B37E80A"/>
    <w:multiLevelType w:val="hybridMultilevel"/>
    <w:lvl w:ilvl="0">
      <w:lvlJc w:val="left"/>
      <w:lvlText w:val="(%1)"/>
      <w:numFmt w:val="lowerLetter"/>
      <w:start w:val="1"/>
    </w:lvl>
  </w:abstractNum>
  <w:abstractNum w:abstractNumId="30">
    <w:nsid w:val="2157F6BC"/>
    <w:multiLevelType w:val="hybridMultilevel"/>
    <w:lvl w:ilvl="0">
      <w:lvlJc w:val="left"/>
      <w:lvlText w:val="(%1)"/>
      <w:numFmt w:val="lowerLetter"/>
      <w:start w:val="3"/>
    </w:lvl>
  </w:abstractNum>
  <w:abstractNum w:abstractNumId="31">
    <w:nsid w:val="704E1DD5"/>
    <w:multiLevelType w:val="hybridMultilevel"/>
    <w:lvl w:ilvl="0">
      <w:lvlJc w:val="left"/>
      <w:lvlText w:val="(%1)"/>
      <w:numFmt w:val="lowerLetter"/>
      <w:start w:val="1"/>
    </w:lvl>
  </w:abstractNum>
  <w:abstractNum w:abstractNumId="32">
    <w:nsid w:val="57D2F10E"/>
    <w:multiLevelType w:val="hybridMultilevel"/>
    <w:lvl w:ilvl="0">
      <w:lvlJc w:val="left"/>
      <w:lvlText w:val="(%1)"/>
      <w:numFmt w:val="lowerLetter"/>
      <w:start w:val="2"/>
    </w:lvl>
  </w:abstractNum>
  <w:abstractNum w:abstractNumId="33">
    <w:nsid w:val="BFFAE18"/>
    <w:multiLevelType w:val="hybridMultilevel"/>
    <w:lvl w:ilvl="0">
      <w:lvlJc w:val="left"/>
      <w:lvlText w:val="(%1)"/>
      <w:numFmt w:val="lowerLetter"/>
      <w:start w:val="1"/>
    </w:lvl>
  </w:abstractNum>
  <w:abstractNum w:abstractNumId="34">
    <w:nsid w:val="E3E47A8"/>
    <w:multiLevelType w:val="hybridMultilevel"/>
    <w:lvl w:ilvl="0">
      <w:lvlJc w:val="left"/>
      <w:lvlText w:val="(%1)"/>
      <w:numFmt w:val="lowerLetter"/>
      <w:start w:val="1"/>
    </w:lvl>
    <w:lvl w:ilvl="1">
      <w:lvlJc w:val="left"/>
      <w:lvlText w:val="(%2)"/>
      <w:numFmt w:val="lowerLetter"/>
      <w:start w:val="9"/>
    </w:lvl>
  </w:abstractNum>
  <w:abstractNum w:abstractNumId="35">
    <w:nsid w:val="2E48F044"/>
    <w:multiLevelType w:val="hybridMultilevel"/>
    <w:lvl w:ilvl="0">
      <w:lvlJc w:val="left"/>
      <w:lvlText w:val="%1"/>
      <w:numFmt w:val="lowerLetter"/>
      <w:start w:val="1"/>
    </w:lvl>
    <w:lvl w:ilvl="1">
      <w:lvlJc w:val="left"/>
      <w:lvlText w:val="(%2)"/>
      <w:numFmt w:val="lowerRoman"/>
      <w:start w:val="2"/>
    </w:lvl>
  </w:abstractNum>
  <w:abstractNum w:abstractNumId="36">
    <w:nsid w:val="49D0FEAC"/>
    <w:multiLevelType w:val="hybridMultilevel"/>
    <w:lvl w:ilvl="0">
      <w:lvlJc w:val="left"/>
      <w:lvlText w:val="(%1)"/>
      <w:numFmt w:val="lowerLetter"/>
      <w:start w:val="5"/>
    </w:lvl>
    <w:lvl w:ilvl="1">
      <w:lvlJc w:val="left"/>
      <w:lvlText w:val="%2"/>
      <w:numFmt w:val="lowerRoman"/>
      <w:start w:val="1"/>
    </w:lvl>
  </w:abstractNum>
  <w:abstractNum w:abstractNumId="37">
    <w:nsid w:val="4BEE5A5B"/>
    <w:multiLevelType w:val="hybridMultilevel"/>
    <w:lvl w:ilvl="0">
      <w:lvlJc w:val="left"/>
      <w:lvlText w:val="(%1)"/>
      <w:numFmt w:val="lowerLetter"/>
      <w:start w:val="7"/>
    </w:lvl>
  </w:abstractNum>
  <w:abstractNum w:abstractNumId="38">
    <w:nsid w:val="5551B9F3"/>
    <w:multiLevelType w:val="hybridMultilevel"/>
    <w:lvl w:ilvl="0">
      <w:lvlJc w:val="left"/>
      <w:lvlText w:val="(%1)"/>
      <w:numFmt w:val="lowerLetter"/>
      <w:start w:val="1"/>
    </w:lvl>
    <w:lvl w:ilvl="1">
      <w:lvlJc w:val="left"/>
      <w:lvlText w:val="(%2)"/>
      <w:numFmt w:val="lowerLetter"/>
      <w:start w:val="9"/>
    </w:lvl>
  </w:abstractNum>
  <w:abstractNum w:abstractNumId="39">
    <w:nsid w:val="24F6AB8E"/>
    <w:multiLevelType w:val="hybridMultilevel"/>
    <w:lvl w:ilvl="0">
      <w:lvlJc w:val="left"/>
      <w:lvlText w:val="%1"/>
      <w:numFmt w:val="upperLetter"/>
      <w:start w:val="1"/>
    </w:lvl>
    <w:lvl w:ilvl="1">
      <w:lvlJc w:val="left"/>
      <w:lvlText w:val="(%2)"/>
      <w:numFmt w:val="lowerRoman"/>
      <w:start w:val="2"/>
    </w:lvl>
  </w:abstractNum>
  <w:abstractNum w:abstractNumId="40">
    <w:nsid w:val="634C574C"/>
    <w:multiLevelType w:val="hybridMultilevel"/>
    <w:lvl w:ilvl="0">
      <w:lvlJc w:val="left"/>
      <w:lvlText w:val="(%1)"/>
      <w:numFmt w:val="upperLetter"/>
      <w:start w:val="2"/>
    </w:lvl>
    <w:lvl w:ilvl="1">
      <w:lvlJc w:val="left"/>
      <w:lvlText w:val="(%2)"/>
      <w:numFmt w:val="lowerRoman"/>
      <w:start w:val="3"/>
    </w:lvl>
  </w:abstractNum>
  <w:abstractNum w:abstractNumId="41">
    <w:nsid w:val="24E99DD7"/>
    <w:multiLevelType w:val="hybridMultilevel"/>
    <w:lvl w:ilvl="0">
      <w:lvlJc w:val="left"/>
      <w:lvlText w:val="(%1)"/>
      <w:numFmt w:val="upperLetter"/>
      <w:start w:val="2"/>
    </w:lvl>
    <w:lvl w:ilvl="1">
      <w:lvlJc w:val="left"/>
      <w:lvlText w:val="(%2)"/>
      <w:numFmt w:val="lowerRoman"/>
      <w:start w:val="4"/>
    </w:lvl>
  </w:abstractNum>
  <w:abstractNum w:abstractNumId="42">
    <w:nsid w:val="2A31B62D"/>
    <w:multiLevelType w:val="hybridMultilevel"/>
    <w:lvl w:ilvl="0">
      <w:lvlJc w:val="left"/>
      <w:lvlText w:val="%1"/>
      <w:numFmt w:val="lowerLetter"/>
      <w:start w:val="1"/>
    </w:lvl>
    <w:lvl w:ilvl="1">
      <w:lvlJc w:val="left"/>
      <w:lvlText w:val="(%2)"/>
      <w:numFmt w:val="lowerRoman"/>
      <w:start w:val="10"/>
    </w:lvl>
  </w:abstractNum>
  <w:abstractNum w:abstractNumId="43">
    <w:nsid w:val="1849C29B"/>
    <w:multiLevelType w:val="hybridMultilevel"/>
    <w:lvl w:ilvl="0">
      <w:lvlJc w:val="left"/>
      <w:lvlText w:val="(%1)"/>
      <w:numFmt w:val="lowerLetter"/>
      <w:start w:val="2"/>
    </w:lvl>
    <w:lvl w:ilvl="1">
      <w:lvlJc w:val="left"/>
      <w:lvlText w:val="%2"/>
      <w:numFmt w:val="lowerRoman"/>
      <w:start w:val="1"/>
    </w:lvl>
  </w:abstractNum>
  <w:abstractNum w:abstractNumId="44">
    <w:nsid w:val="7DFF9D09"/>
    <w:multiLevelType w:val="hybridMultilevel"/>
    <w:lvl w:ilvl="0">
      <w:lvlJc w:val="left"/>
      <w:lvlText w:val="(%1)"/>
      <w:numFmt w:val="lowerLetter"/>
      <w:start w:val="1"/>
    </w:lvl>
  </w:abstractNum>
  <w:abstractNum w:abstractNumId="45">
    <w:nsid w:val="754342"/>
    <w:multiLevelType w:val="hybridMultilevel"/>
    <w:lvl w:ilvl="0">
      <w:lvlJc w:val="left"/>
      <w:lvlText w:val="%1"/>
      <w:numFmt w:val="lowerLetter"/>
      <w:start w:val="1"/>
    </w:lvl>
    <w:lvl w:ilvl="1">
      <w:lvlJc w:val="left"/>
      <w:lvlText w:val="(%2)"/>
      <w:numFmt w:val="lowerLetter"/>
      <w:start w:val="2"/>
    </w:lvl>
  </w:abstractNum>
  <w:abstractNum w:abstractNumId="46">
    <w:nsid w:val="69E7F3E5"/>
    <w:multiLevelType w:val="hybridMultilevel"/>
    <w:lvl w:ilvl="0">
      <w:lvlJc w:val="left"/>
      <w:lvlText w:val="(%1)"/>
      <w:numFmt w:val="lowerLetter"/>
      <w:start w:val="35"/>
    </w:lvl>
    <w:lvl w:ilvl="1">
      <w:lvlJc w:val="left"/>
      <w:lvlText w:val="(%2)"/>
      <w:numFmt w:val="lowerLetter"/>
      <w:start w:val="5"/>
    </w:lvl>
  </w:abstractNum>
  <w:abstractNum w:abstractNumId="47">
    <w:nsid w:val="2A6DE806"/>
    <w:multiLevelType w:val="hybridMultilevel"/>
    <w:lvl w:ilvl="0">
      <w:lvlJc w:val="left"/>
      <w:lvlText w:val="(%1)"/>
      <w:numFmt w:val="lowerLetter"/>
      <w:start w:val="6"/>
    </w:lvl>
  </w:abstractNum>
  <w:abstractNum w:abstractNumId="48">
    <w:nsid w:val="1816F8C4"/>
    <w:multiLevelType w:val="hybridMultilevel"/>
    <w:lvl w:ilvl="0">
      <w:lvlJc w:val="left"/>
      <w:lvlText w:val="(%1)"/>
      <w:numFmt w:val="lowerLetter"/>
      <w:start w:val="1"/>
    </w:lvl>
  </w:abstractNum>
  <w:abstractNum w:abstractNumId="49">
    <w:nsid w:val="37DF2233"/>
    <w:multiLevelType w:val="hybridMultilevel"/>
    <w:lvl w:ilvl="0">
      <w:lvlJc w:val="left"/>
      <w:lvlText w:val="(%1)"/>
      <w:numFmt w:val="lowerLetter"/>
      <w:start w:val="2"/>
    </w:lvl>
  </w:abstractNum>
  <w:abstractNum w:abstractNumId="50">
    <w:nsid w:val="7AB49DAF"/>
    <w:multiLevelType w:val="hybridMultilevel"/>
    <w:lvl w:ilvl="0">
      <w:lvlJc w:val="left"/>
      <w:lvlText w:val="(%1)"/>
      <w:numFmt w:val="lowerLetter"/>
      <w:start w:val="1"/>
    </w:lvl>
  </w:abstractNum>
  <w:abstractNum w:abstractNumId="51">
    <w:nsid w:val="759F82CD"/>
    <w:multiLevelType w:val="hybridMultilevel"/>
    <w:lvl w:ilvl="0">
      <w:lvlJc w:val="left"/>
      <w:lvlText w:val="(%1)"/>
      <w:numFmt w:val="lowerLetter"/>
      <w:start w:val="9"/>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7"/>
    </w:lvl>
  </w:abstractNum>
  <w:abstractNum w:abstractNumId="54">
    <w:nsid w:val="F819E7F"/>
    <w:multiLevelType w:val="hybridMultilevel"/>
    <w:lvl w:ilvl="0">
      <w:lvlJc w:val="left"/>
      <w:lvlText w:val="%1"/>
      <w:numFmt w:val="lowerLetter"/>
      <w:start w:val="1"/>
    </w:lvl>
    <w:lvl w:ilvl="1">
      <w:lvlJc w:val="left"/>
      <w:lvlText w:val="(%2)"/>
      <w:numFmt w:val="lowerLetter"/>
      <w:start w:val="11"/>
    </w:lvl>
  </w:abstractNum>
  <w:abstractNum w:abstractNumId="55">
    <w:nsid w:val="57C7D42D"/>
    <w:multiLevelType w:val="hybridMultilevel"/>
    <w:lvl w:ilvl="0">
      <w:lvlJc w:val="left"/>
      <w:lvlText w:val="(%1)"/>
      <w:numFmt w:val="lowerLetter"/>
      <w:start w:val="35"/>
    </w:lvl>
    <w:lvl w:ilvl="1">
      <w:lvlJc w:val="left"/>
      <w:lvlText w:val="%2"/>
      <w:numFmt w:val="lowerLetter"/>
      <w:start w:val="1"/>
    </w:lvl>
  </w:abstractNum>
  <w:abstractNum w:abstractNumId="56">
    <w:nsid w:val="312167AD"/>
    <w:multiLevelType w:val="hybridMultilevel"/>
    <w:lvl w:ilvl="0">
      <w:lvlJc w:val="left"/>
      <w:lvlText w:val="(%1)"/>
      <w:numFmt w:val="lowerLetter"/>
      <w:start w:val="12"/>
    </w:lvl>
  </w:abstractNum>
  <w:abstractNum w:abstractNumId="57">
    <w:nsid w:val="631B64D4"/>
    <w:multiLevelType w:val="hybridMultilevel"/>
    <w:lvl w:ilvl="0">
      <w:lvlJc w:val="left"/>
      <w:lvlText w:val="(%1)"/>
      <w:numFmt w:val="lowerLetter"/>
      <w:start w:val="1"/>
    </w:lvl>
  </w:abstractNum>
  <w:abstractNum w:abstractNumId="58">
    <w:nsid w:val="78B5E776"/>
    <w:multiLevelType w:val="hybridMultilevel"/>
    <w:lvl w:ilvl="0">
      <w:lvlJc w:val="left"/>
      <w:lvlText w:val="(%1)"/>
      <w:numFmt w:val="lowerLetter"/>
      <w:start w:val="2"/>
    </w:lvl>
  </w:abstractNum>
  <w:abstractNum w:abstractNumId="59">
    <w:nsid w:val="75486E47"/>
    <w:multiLevelType w:val="hybridMultilevel"/>
    <w:lvl w:ilvl="0">
      <w:lvlJc w:val="left"/>
      <w:lvlText w:val="(%1)"/>
      <w:numFmt w:val="lowerLetter"/>
      <w:start w:val="1"/>
    </w:lvl>
  </w:abstractNum>
  <w:abstractNum w:abstractNumId="60">
    <w:nsid w:val="6E534CDE"/>
    <w:multiLevelType w:val="hybridMultilevel"/>
    <w:lvl w:ilvl="0">
      <w:lvlJc w:val="left"/>
      <w:lvlText w:val="(%1)"/>
      <w:numFmt w:val="lowerLetter"/>
      <w:start w:val="2"/>
    </w:lvl>
  </w:abstractNum>
  <w:abstractNum w:abstractNumId="61">
    <w:nsid w:val="1A0DDE32"/>
    <w:multiLevelType w:val="hybridMultilevel"/>
    <w:lvl w:ilvl="0">
      <w:lvlJc w:val="left"/>
      <w:lvlText w:val="(%1)"/>
      <w:numFmt w:val="lowerLetter"/>
      <w:start w:val="1"/>
    </w:lvl>
  </w:abstractNum>
  <w:abstractNum w:abstractNumId="62">
    <w:nsid w:val="65968C1C"/>
    <w:multiLevelType w:val="hybridMultilevel"/>
    <w:lvl w:ilvl="0">
      <w:lvlJc w:val="left"/>
      <w:lvlText w:val="(%1)"/>
      <w:numFmt w:val="lowerLetter"/>
      <w:start w:val="26"/>
    </w:lvl>
  </w:abstractNum>
  <w:abstractNum w:abstractNumId="63">
    <w:nsid w:val="46263DEC"/>
    <w:multiLevelType w:val="hybridMultilevel"/>
    <w:lvl w:ilvl="0">
      <w:lvlJc w:val="left"/>
      <w:lvlText w:val="(%1)"/>
      <w:numFmt w:val="lowerLetter"/>
      <w:start w:val="1"/>
    </w:lvl>
    <w:lvl w:ilvl="1">
      <w:lvlJc w:val="left"/>
      <w:lvlText w:val="(%2)"/>
      <w:numFmt w:val="lowerRoman"/>
      <w:start w:val="1"/>
    </w:lvl>
  </w:abstractNum>
  <w:abstractNum w:abstractNumId="64">
    <w:nsid w:val="260D8C4A"/>
    <w:multiLevelType w:val="hybridMultilevel"/>
    <w:lvl w:ilvl="0">
      <w:lvlJc w:val="left"/>
      <w:lvlText w:val="(%1)"/>
      <w:numFmt w:val="lowerLetter"/>
      <w:start w:val="3"/>
    </w:lvl>
  </w:abstractNum>
  <w:abstractNum w:abstractNumId="65">
    <w:nsid w:val="73D4D3C4"/>
    <w:multiLevelType w:val="hybridMultilevel"/>
    <w:lvl w:ilvl="0">
      <w:lvlJc w:val="left"/>
      <w:lvlText w:val="%1"/>
      <w:numFmt w:val="lowerRoman"/>
      <w:start w:val="1"/>
    </w:lvl>
    <w:lvl w:ilvl="1">
      <w:lvlJc w:val="left"/>
      <w:lvlText w:val="(%2)"/>
      <w:numFmt w:val="lowerLetter"/>
      <w:start w:val="1"/>
    </w:lvl>
  </w:abstractNum>
  <w:abstractNum w:abstractNumId="66">
    <w:nsid w:val="746F2E30"/>
    <w:multiLevelType w:val="hybridMultilevel"/>
    <w:lvl w:ilvl="0">
      <w:lvlJc w:val="left"/>
      <w:lvlText w:val="(%1)"/>
      <w:numFmt w:val="lowerRoman"/>
      <w:start w:val="6"/>
    </w:lvl>
    <w:lvl w:ilvl="1">
      <w:lvlJc w:val="left"/>
      <w:lvlText w:val="%2"/>
      <w:numFmt w:val="lowerLetter"/>
      <w:start w:val="1"/>
    </w:lvl>
  </w:abstractNum>
  <w:abstractNum w:abstractNumId="67">
    <w:nsid w:val="6FDE8AF6"/>
    <w:multiLevelType w:val="hybridMultilevel"/>
    <w:lvl w:ilvl="0">
      <w:lvlJc w:val="left"/>
      <w:lvlText w:val="%1"/>
      <w:numFmt w:val="lowerLetter"/>
      <w:start w:val="1"/>
    </w:lvl>
    <w:lvl w:ilvl="1">
      <w:lvlJc w:val="left"/>
      <w:lvlText w:val="(%2)"/>
      <w:numFmt w:val="lowerLetter"/>
      <w:start w:val="4"/>
    </w:lvl>
  </w:abstractNum>
  <w:abstractNum w:abstractNumId="68">
    <w:nsid w:val="3FC32E20"/>
    <w:multiLevelType w:val="hybridMultilevel"/>
    <w:lvl w:ilvl="0">
      <w:lvlJc w:val="left"/>
      <w:lvlText w:val="(%1)"/>
      <w:numFmt w:val="lowerLetter"/>
      <w:start w:val="35"/>
    </w:lvl>
    <w:lvl w:ilvl="1">
      <w:lvlJc w:val="left"/>
      <w:lvlText w:val="(%2)"/>
      <w:numFmt w:val="lowerLetter"/>
      <w:start w:val="5"/>
    </w:lvl>
  </w:abstractNum>
  <w:abstractNum w:abstractNumId="69">
    <w:nsid w:val="49C0E823"/>
    <w:multiLevelType w:val="hybridMultilevel"/>
    <w:lvl w:ilvl="0">
      <w:lvlJc w:val="left"/>
      <w:lvlText w:val="(%1)"/>
      <w:numFmt w:val="lowerLetter"/>
      <w:start w:val="1"/>
    </w:lvl>
  </w:abstractNum>
  <w:abstractNum w:abstractNumId="70">
    <w:nsid w:val="14D53685"/>
    <w:multiLevelType w:val="hybridMultilevel"/>
    <w:lvl w:ilvl="0">
      <w:lvlJc w:val="left"/>
      <w:lvlText w:val="(%1)"/>
      <w:numFmt w:val="lowerLetter"/>
      <w:start w:val="3"/>
    </w:lvl>
  </w:abstractNum>
  <w:abstractNum w:abstractNumId="71">
    <w:nsid w:val="230F856C"/>
    <w:multiLevelType w:val="hybridMultilevel"/>
    <w:lvl w:ilvl="0">
      <w:lvlJc w:val="left"/>
      <w:lvlText w:val="(%1)"/>
      <w:numFmt w:val="lowerLetter"/>
      <w:start w:val="8"/>
    </w:lvl>
  </w:abstractNum>
  <w:abstractNum w:abstractNumId="72">
    <w:nsid w:val="6EAA85FB"/>
    <w:multiLevelType w:val="hybridMultilevel"/>
    <w:lvl w:ilvl="0">
      <w:lvlJc w:val="left"/>
      <w:lvlText w:val="(%1)"/>
      <w:numFmt w:val="lowerLetter"/>
      <w:start w:val="1"/>
    </w:lvl>
  </w:abstractNum>
  <w:abstractNum w:abstractNumId="73">
    <w:nsid w:val="3F06ECB2"/>
    <w:multiLevelType w:val="hybridMultilevel"/>
    <w:lvl w:ilvl="0">
      <w:lvlJc w:val="left"/>
      <w:lvlText w:val="(%1)"/>
      <w:numFmt w:val="lowerLetter"/>
      <w:start w:val="2"/>
    </w:lvl>
    <w:lvl w:ilvl="1">
      <w:lvlJc w:val="left"/>
      <w:lvlText w:val="(%2)"/>
      <w:numFmt w:val="lowerRoman"/>
      <w:start w:val="1"/>
    </w:lvl>
  </w:abstractNum>
  <w:abstractNum w:abstractNumId="74">
    <w:nsid w:val="3B594807"/>
    <w:multiLevelType w:val="hybridMultilevel"/>
    <w:lvl w:ilvl="0">
      <w:lvlJc w:val="left"/>
      <w:lvlText w:val="(%1)"/>
      <w:numFmt w:val="lowerLetter"/>
      <w:start w:val="6"/>
    </w:lvl>
  </w:abstractNum>
  <w:abstractNum w:abstractNumId="75">
    <w:nsid w:val="6CAA2304"/>
    <w:multiLevelType w:val="hybridMultilevel"/>
    <w:lvl w:ilvl="0">
      <w:lvlJc w:val="left"/>
      <w:lvlText w:val="(%1)"/>
      <w:numFmt w:val="lowerLetter"/>
      <w:start w:val="12"/>
    </w:lvl>
  </w:abstractNum>
  <w:abstractNum w:abstractNumId="76">
    <w:nsid w:val="3F7C2FF4"/>
    <w:multiLevelType w:val="hybridMultilevel"/>
    <w:lvl w:ilvl="0">
      <w:lvlJc w:val="left"/>
      <w:lvlText w:val="(%1)"/>
      <w:numFmt w:val="lowerLetter"/>
      <w:start w:val="1"/>
    </w:lvl>
    <w:lvl w:ilvl="1">
      <w:lvlJc w:val="left"/>
      <w:lvlText w:val="(%2)"/>
      <w:numFmt w:val="lowerRoman"/>
      <w:start w:val="1"/>
    </w:lvl>
  </w:abstractNum>
  <w:abstractNum w:abstractNumId="77">
    <w:nsid w:val="25413BEC"/>
    <w:multiLevelType w:val="hybridMultilevel"/>
    <w:lvl w:ilvl="0">
      <w:lvlJc w:val="left"/>
      <w:lvlText w:val="(%1)"/>
      <w:numFmt w:val="upperLetter"/>
      <w:start w:val="2"/>
    </w:lvl>
    <w:lvl w:ilvl="1">
      <w:lvlJc w:val="left"/>
      <w:lvlText w:val="(%2)"/>
      <w:numFmt w:val="lowerRoman"/>
      <w:start w:val="7"/>
    </w:lvl>
  </w:abstractNum>
  <w:abstractNum w:abstractNumId="78">
    <w:nsid w:val="17180B0B"/>
    <w:multiLevelType w:val="hybridMultilevel"/>
    <w:lvl w:ilvl="0">
      <w:lvlJc w:val="left"/>
      <w:lvlText w:val="(%1)"/>
      <w:numFmt w:val="lowerRoman"/>
      <w:start w:val="9"/>
    </w:lvl>
  </w:abstractNum>
  <w:abstractNum w:abstractNumId="79">
    <w:nsid w:val="579328B9"/>
    <w:multiLevelType w:val="hybridMultilevel"/>
    <w:lvl w:ilvl="0">
      <w:lvlJc w:val="left"/>
      <w:lvlText w:val="(%1)"/>
      <w:numFmt w:val="lowerLetter"/>
      <w:start w:val="2"/>
    </w:lvl>
  </w:abstractNum>
  <w:abstractNum w:abstractNumId="80">
    <w:nsid w:val="5D205E20"/>
    <w:multiLevelType w:val="hybridMultilevel"/>
    <w:lvl w:ilvl="0">
      <w:lvlJc w:val="left"/>
      <w:lvlText w:val="(%1)"/>
      <w:numFmt w:val="lowerLetter"/>
      <w:start w:val="1"/>
    </w:lvl>
  </w:abstractNum>
  <w:abstractNum w:abstractNumId="81">
    <w:nsid w:val="11CCA8BA"/>
    <w:multiLevelType w:val="hybridMultilevel"/>
    <w:lvl w:ilvl="0">
      <w:lvlJc w:val="left"/>
      <w:lvlText w:val="(%1)"/>
      <w:numFmt w:val="lowerLetter"/>
      <w:start w:val="5"/>
    </w:lvl>
  </w:abstractNum>
  <w:abstractNum w:abstractNumId="82">
    <w:nsid w:val="4D32AB86"/>
    <w:multiLevelType w:val="hybridMultilevel"/>
    <w:lvl w:ilvl="0">
      <w:lvlJc w:val="left"/>
      <w:lvlText w:val="(%1)"/>
      <w:numFmt w:val="lowerLetter"/>
      <w:start w:val="8"/>
    </w:lvl>
  </w:abstractNum>
  <w:abstractNum w:abstractNumId="83">
    <w:nsid w:val="3F07ACC3"/>
    <w:multiLevelType w:val="hybridMultilevel"/>
    <w:lvl w:ilvl="0">
      <w:lvlJc w:val="left"/>
      <w:lvlText w:val="(%1)"/>
      <w:numFmt w:val="lowerLetter"/>
      <w:start w:val="1"/>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Letter"/>
      <w:start w:val="6"/>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lowerLetter"/>
      <w:start w:val="1"/>
    </w:lvl>
    <w:lvl w:ilvl="1">
      <w:lvlJc w:val="left"/>
      <w:lvlText w:val="(%2)"/>
      <w:numFmt w:val="lowerLetter"/>
      <w:start w:val="6"/>
    </w:lvl>
  </w:abstractNum>
  <w:abstractNum w:abstractNumId="88">
    <w:nsid w:val="3FCFAED9"/>
    <w:multiLevelType w:val="hybridMultilevel"/>
    <w:lvl w:ilvl="0">
      <w:lvlJc w:val="left"/>
      <w:lvlText w:val="(%1)"/>
      <w:numFmt w:val="lowerLetter"/>
      <w:start w:val="35"/>
    </w:lvl>
    <w:lvl w:ilvl="1">
      <w:lvlJc w:val="left"/>
      <w:lvlText w:val="%2"/>
      <w:numFmt w:val="lowerLetter"/>
      <w:start w:val="1"/>
    </w:lvl>
  </w:abstractNum>
  <w:abstractNum w:abstractNumId="89">
    <w:nsid w:val="F856867"/>
    <w:multiLevelType w:val="hybridMultilevel"/>
    <w:lvl w:ilvl="0">
      <w:lvlJc w:val="left"/>
      <w:lvlText w:val="(%1)"/>
      <w:numFmt w:val="lowerLetter"/>
      <w:start w:val="9"/>
    </w:lvl>
  </w:abstractNum>
  <w:abstractNum w:abstractNumId="90">
    <w:nsid w:val="11B1CC33"/>
    <w:multiLevelType w:val="hybridMultilevel"/>
    <w:lvl w:ilvl="0">
      <w:lvlJc w:val="left"/>
      <w:lvlText w:val="(%1)"/>
      <w:numFmt w:val="lowerLetter"/>
      <w:start w:val="11"/>
    </w:lvl>
  </w:abstractNum>
  <w:abstractNum w:abstractNumId="91">
    <w:nsid w:val="2E22FBB7"/>
    <w:multiLevelType w:val="hybridMultilevel"/>
    <w:lvl w:ilvl="0">
      <w:lvlJc w:val="left"/>
      <w:lvlText w:val="(%1)"/>
      <w:numFmt w:val="lowerLetter"/>
      <w:start w:val="12"/>
    </w:lvl>
  </w:abstractNum>
  <w:abstractNum w:abstractNumId="92">
    <w:nsid w:val="29934699"/>
    <w:multiLevelType w:val="hybridMultilevel"/>
    <w:lvl w:ilvl="0">
      <w:lvlJc w:val="left"/>
      <w:lvlText w:val="(%1)"/>
      <w:numFmt w:val="lowerLetter"/>
      <w:start w:val="1"/>
    </w:lvl>
  </w:abstractNum>
  <w:abstractNum w:abstractNumId="93">
    <w:nsid w:val="77485850"/>
    <w:multiLevelType w:val="hybridMultilevel"/>
    <w:lvl w:ilvl="0">
      <w:lvlJc w:val="left"/>
      <w:lvlText w:val="(%1)"/>
      <w:numFmt w:val="lowerLetter"/>
      <w:start w:val="2"/>
    </w:lvl>
  </w:abstractNum>
  <w:abstractNum w:abstractNumId="94">
    <w:nsid w:val="744939A3"/>
    <w:multiLevelType w:val="hybridMultilevel"/>
    <w:lvl w:ilvl="0">
      <w:lvlJc w:val="left"/>
      <w:lvlText w:val="(%1)"/>
      <w:numFmt w:val="lowerLetter"/>
      <w:start w:val="1"/>
    </w:lvl>
  </w:abstractNum>
  <w:abstractNum w:abstractNumId="95">
    <w:nsid w:val="4FA0D2E3"/>
    <w:multiLevelType w:val="hybridMultilevel"/>
    <w:lvl w:ilvl="0">
      <w:lvlJc w:val="left"/>
      <w:lvlText w:val="(%1)"/>
      <w:numFmt w:val="lowerLetter"/>
      <w:start w:val="2"/>
    </w:lvl>
    <w:lvl w:ilvl="1">
      <w:lvlJc w:val="left"/>
      <w:lvlText w:val="(%2)"/>
      <w:numFmt w:val="lowerRoman"/>
      <w:start w:val="1"/>
    </w:lvl>
  </w:abstractNum>
  <w:abstractNum w:abstractNumId="96">
    <w:nsid w:val="6B1D2C14"/>
    <w:multiLevelType w:val="hybridMultilevel"/>
    <w:lvl w:ilvl="0">
      <w:lvlJc w:val="left"/>
      <w:lvlText w:val="(%1)"/>
      <w:numFmt w:val="lowerRoman"/>
      <w:start w:val="8"/>
    </w:lvl>
  </w:abstractNum>
  <w:abstractNum w:abstractNumId="97">
    <w:nsid w:val="68B867D3"/>
    <w:multiLevelType w:val="hybridMultilevel"/>
    <w:lvl w:ilvl="0">
      <w:lvlJc w:val="left"/>
      <w:lvlText w:val="(%1)"/>
      <w:numFmt w:val="lowerLetter"/>
      <w:start w:val="3"/>
    </w:lvl>
    <w:lvl w:ilvl="1">
      <w:lvlJc w:val="left"/>
      <w:lvlText w:val="(%2)"/>
      <w:numFmt w:val="lowerLetter"/>
      <w:start w:val="9"/>
    </w:lvl>
  </w:abstractNum>
  <w:abstractNum w:abstractNumId="98">
    <w:nsid w:val="3F7F5DD9"/>
    <w:multiLevelType w:val="hybridMultilevel"/>
    <w:lvl w:ilvl="0">
      <w:lvlJc w:val="left"/>
      <w:lvlText w:val="(%1)"/>
      <w:numFmt w:val="lowerRoman"/>
      <w:start w:val="2"/>
    </w:lvl>
  </w:abstractNum>
  <w:abstractNum w:abstractNumId="99">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0">
    <w:nsid w:val="32794FF7"/>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01">
    <w:nsid w:val="5454945E"/>
    <w:multiLevelType w:val="hybridMultilevel"/>
    <w:lvl w:ilvl="0">
      <w:lvlJc w:val="left"/>
      <w:lvlText w:val="(%1)"/>
      <w:numFmt w:val="lowerRoman"/>
      <w:start w:val="4"/>
    </w:lvl>
  </w:abstractNum>
  <w:abstractNum w:abstractNumId="102">
    <w:nsid w:val="4DEFDFA0"/>
    <w:multiLevelType w:val="hybridMultilevel"/>
    <w:lvl w:ilvl="0">
      <w:lvlJc w:val="left"/>
      <w:lvlText w:val="(%1)"/>
      <w:numFmt w:val="lowerLetter"/>
      <w:start w:val="1"/>
    </w:lvl>
  </w:abstractNum>
  <w:abstractNum w:abstractNumId="103">
    <w:nsid w:val="2123D5F2"/>
    <w:multiLevelType w:val="hybridMultilevel"/>
    <w:lvl w:ilvl="0">
      <w:lvlJc w:val="left"/>
      <w:lvlText w:val="(%1)"/>
      <w:numFmt w:val="lowerLetter"/>
      <w:start w:val="2"/>
    </w:lvl>
  </w:abstractNum>
  <w:abstractNum w:abstractNumId="104">
    <w:nsid w:val="135B8110"/>
    <w:multiLevelType w:val="hybridMultilevel"/>
    <w:lvl w:ilvl="0">
      <w:lvlJc w:val="left"/>
      <w:lvlText w:val="%1"/>
      <w:numFmt w:val="upperLetter"/>
      <w:start w:val="1"/>
    </w:lvl>
    <w:lvl w:ilvl="1">
      <w:lvlJc w:val="left"/>
      <w:lvlText w:val="(%2)"/>
      <w:numFmt w:val="lowerLetter"/>
      <w:start w:val="1"/>
    </w:lvl>
  </w:abstractNum>
  <w:abstractNum w:abstractNumId="105">
    <w:nsid w:val="94927A8"/>
    <w:multiLevelType w:val="hybridMultilevel"/>
    <w:lvl w:ilvl="0">
      <w:lvlJc w:val="left"/>
      <w:lvlText w:val="(%1)"/>
      <w:numFmt w:val="upperLetter"/>
      <w:start w:val="1"/>
    </w:lvl>
    <w:lvl w:ilvl="1">
      <w:lvlJc w:val="left"/>
      <w:lvlText w:val="%2"/>
      <w:numFmt w:val="lowerLetter"/>
      <w:start w:val="1"/>
    </w:lvl>
  </w:abstractNum>
  <w:abstractNum w:abstractNumId="106">
    <w:nsid w:val="DCDF8F6"/>
    <w:multiLevelType w:val="hybridMultilevel"/>
    <w:lvl w:ilvl="0">
      <w:lvlJc w:val="left"/>
      <w:lvlText w:val="(%1)"/>
      <w:numFmt w:val="lowerLetter"/>
      <w:start w:val="2"/>
    </w:lvl>
  </w:abstractNum>
  <w:abstractNum w:abstractNumId="107">
    <w:nsid w:val="52D7B105"/>
    <w:multiLevelType w:val="hybridMultilevel"/>
    <w:lvl w:ilvl="0">
      <w:lvlJc w:val="left"/>
      <w:lvlText w:val="(%1)"/>
      <w:numFmt w:val="lowerLetter"/>
      <w:start w:val="1"/>
    </w:lvl>
  </w:abstractNum>
  <w:abstractNum w:abstractNumId="108">
    <w:nsid w:val="2E8A6394"/>
    <w:multiLevelType w:val="hybridMultilevel"/>
    <w:lvl w:ilvl="0">
      <w:lvlJc w:val="left"/>
      <w:lvlText w:val="%1"/>
      <w:numFmt w:val="lowerLetter"/>
      <w:start w:val="1"/>
    </w:lvl>
    <w:lvl w:ilvl="1">
      <w:lvlJc w:val="left"/>
      <w:lvlText w:val="(%2)"/>
      <w:numFmt w:val="lowerLetter"/>
      <w:start w:val="1"/>
    </w:lvl>
  </w:abstractNum>
  <w:abstractNum w:abstractNumId="109">
    <w:nsid w:val="24E60401"/>
    <w:multiLevelType w:val="hybridMultilevel"/>
    <w:lvl w:ilvl="0">
      <w:lvlJc w:val="left"/>
      <w:lvlText w:val="(%1)"/>
      <w:numFmt w:val="lowerLetter"/>
      <w:start w:val="35"/>
    </w:lvl>
    <w:lvl w:ilvl="1">
      <w:lvlJc w:val="left"/>
      <w:lvlText w:val="%2"/>
      <w:numFmt w:val="lowerLetter"/>
      <w:start w:val="1"/>
    </w:lvl>
  </w:abstractNum>
  <w:abstractNum w:abstractNumId="110">
    <w:nsid w:val="2A6AD9BE"/>
    <w:multiLevelType w:val="hybridMultilevel"/>
    <w:lvl w:ilvl="0">
      <w:lvlJc w:val="left"/>
      <w:lvlText w:val="(%1)"/>
      <w:numFmt w:val="lowerLetter"/>
      <w:start w:val="3"/>
    </w:lvl>
  </w:abstractNum>
  <w:abstractNum w:abstractNumId="111">
    <w:nsid w:val="BAAC1B4"/>
    <w:multiLevelType w:val="hybridMultilevel"/>
    <w:lvl w:ilvl="0">
      <w:lvlJc w:val="left"/>
      <w:lvlText w:val="(%1)"/>
      <w:numFmt w:val="lowerLetter"/>
      <w:start w:val="5"/>
    </w:lvl>
  </w:abstractNum>
  <w:abstractNum w:abstractNumId="112">
    <w:nsid w:val="36B2ACBC"/>
    <w:multiLevelType w:val="hybridMultilevel"/>
    <w:lvl w:ilvl="0">
      <w:lvlJc w:val="left"/>
      <w:lvlText w:val="%1"/>
      <w:numFmt w:val="lowerLetter"/>
      <w:start w:val="1"/>
    </w:lvl>
    <w:lvl w:ilvl="1">
      <w:lvlJc w:val="left"/>
      <w:lvlText w:val="(%2)"/>
      <w:numFmt w:val="lowerLetter"/>
      <w:start w:val="1"/>
    </w:lvl>
  </w:abstractNum>
  <w:abstractNum w:abstractNumId="113">
    <w:nsid w:val="779D8544"/>
    <w:multiLevelType w:val="hybridMultilevel"/>
    <w:lvl w:ilvl="0">
      <w:lvlJc w:val="left"/>
      <w:lvlText w:val="(%1)"/>
      <w:numFmt w:val="lowerLetter"/>
      <w:start w:val="61"/>
    </w:lvl>
    <w:lvl w:ilvl="1">
      <w:lvlJc w:val="left"/>
      <w:lvlText w:val="(%2)"/>
      <w:numFmt w:val="lowerLetter"/>
      <w:start w:val="2"/>
    </w:lvl>
  </w:abstractNum>
  <w:abstractNum w:abstractNumId="114">
    <w:nsid w:val="4AB26E78"/>
    <w:multiLevelType w:val="hybridMultilevel"/>
    <w:lvl w:ilvl="0">
      <w:lvlJc w:val="left"/>
      <w:lvlText w:val="(%1)"/>
      <w:numFmt w:val="lowerLetter"/>
      <w:start w:val="3"/>
    </w:lvl>
  </w:abstractNum>
  <w:abstractNum w:abstractNumId="115">
    <w:nsid w:val="21FAA2FA"/>
    <w:multiLevelType w:val="hybridMultilevel"/>
    <w:lvl w:ilvl="0">
      <w:lvlJc w:val="left"/>
      <w:lvlText w:val="(%1)"/>
      <w:numFmt w:val="lowerLetter"/>
      <w:start w:val="1"/>
    </w:lvl>
  </w:abstractNum>
  <w:abstractNum w:abstractNumId="116">
    <w:nsid w:val="5451CF49"/>
    <w:multiLevelType w:val="hybridMultilevel"/>
    <w:lvl w:ilvl="0">
      <w:lvlJc w:val="left"/>
      <w:lvlText w:val="%1"/>
      <w:numFmt w:val="lowerLetter"/>
      <w:start w:val="1"/>
    </w:lvl>
    <w:lvl w:ilvl="1">
      <w:lvlJc w:val="left"/>
      <w:lvlText w:val="(%2)"/>
      <w:numFmt w:val="lowerLetter"/>
      <w:start w:val="2"/>
    </w:lvl>
  </w:abstractNum>
  <w:abstractNum w:abstractNumId="117">
    <w:nsid w:val="6181EF69"/>
    <w:multiLevelType w:val="hybridMultilevel"/>
    <w:lvl w:ilvl="0">
      <w:lvlJc w:val="left"/>
      <w:lvlText w:val="(%1)"/>
      <w:numFmt w:val="lowerLetter"/>
      <w:start w:val="24"/>
    </w:lvl>
    <w:lvl w:ilvl="1">
      <w:lvlJc w:val="left"/>
      <w:lvlText w:val="%2"/>
      <w:numFmt w:val="lowerLetter"/>
      <w:start w:val="1"/>
    </w:lvl>
  </w:abstractNum>
  <w:abstractNum w:abstractNumId="118">
    <w:nsid w:val="3E6400E6"/>
    <w:multiLevelType w:val="hybridMultilevel"/>
    <w:lvl w:ilvl="0">
      <w:lvlJc w:val="left"/>
      <w:lvlText w:val="(%1)"/>
      <w:numFmt w:val="lowerLetter"/>
      <w:start w:val="4"/>
    </w:lvl>
  </w:abstractNum>
  <w:abstractNum w:abstractNumId="119">
    <w:nsid w:val="14217E23"/>
    <w:multiLevelType w:val="hybridMultilevel"/>
    <w:lvl w:ilvl="0">
      <w:lvlJc w:val="left"/>
      <w:lvlText w:val="(%1)"/>
      <w:numFmt w:val="lowerLetter"/>
      <w:start w:val="1"/>
    </w:lvl>
  </w:abstractNum>
  <w:abstractNum w:abstractNumId="120">
    <w:nsid w:val="710757D0"/>
    <w:multiLevelType w:val="hybridMultilevel"/>
    <w:lvl w:ilvl="0">
      <w:lvlJc w:val="left"/>
      <w:lvlText w:val="(%1)"/>
      <w:numFmt w:val="lowerLetter"/>
      <w:start w:val="35"/>
    </w:lvl>
    <w:lvl w:ilvl="1">
      <w:lvlJc w:val="left"/>
      <w:lvlText w:val="(%2)"/>
      <w:numFmt w:val="lowerLetter"/>
      <w:start w:val="3"/>
    </w:lvl>
  </w:abstractNum>
  <w:abstractNum w:abstractNumId="121">
    <w:nsid w:val="5015CD1A"/>
    <w:multiLevelType w:val="hybridMultilevel"/>
    <w:lvl w:ilvl="0">
      <w:lvlJc w:val="left"/>
      <w:lvlText w:val="(%1)"/>
      <w:numFmt w:val="lowerLetter"/>
      <w:start w:val="1"/>
    </w:lvl>
  </w:abstractNum>
  <w:abstractNum w:abstractNumId="122">
    <w:nsid w:val="424479DA"/>
    <w:multiLevelType w:val="hybridMultilevel"/>
    <w:lvl w:ilvl="0">
      <w:lvlJc w:val="left"/>
      <w:lvlText w:val="%1"/>
      <w:numFmt w:val="upperLetter"/>
      <w:start w:val="1"/>
    </w:lvl>
    <w:lvl w:ilvl="1">
      <w:lvlJc w:val="left"/>
      <w:lvlText w:val="(%2)"/>
      <w:numFmt w:val="lowerLetter"/>
      <w:start w:val="2"/>
    </w:lvl>
  </w:abstractNum>
  <w:abstractNum w:abstractNumId="123">
    <w:nsid w:val="1A9A9E69"/>
    <w:multiLevelType w:val="hybridMultilevel"/>
    <w:lvl w:ilvl="0">
      <w:lvlJc w:val="left"/>
      <w:lvlText w:val="(%1)"/>
      <w:numFmt w:val="upperLetter"/>
      <w:start w:val="1"/>
    </w:lvl>
    <w:lvl w:ilvl="1">
      <w:lvlJc w:val="left"/>
      <w:lvlText w:val="%2"/>
      <w:numFmt w:val="lowerLetter"/>
      <w:start w:val="1"/>
    </w:lvl>
  </w:abstractNum>
  <w:abstractNum w:abstractNumId="124">
    <w:nsid w:val="475E256A"/>
    <w:multiLevelType w:val="hybridMultilevel"/>
    <w:lvl w:ilvl="0">
      <w:lvlJc w:val="left"/>
      <w:lvlText w:val="(%1)"/>
      <w:numFmt w:val="lowerLetter"/>
      <w:start w:val="1"/>
    </w:lvl>
  </w:abstractNum>
  <w:abstractNum w:abstractNumId="125">
    <w:nsid w:val="368DB37E"/>
    <w:multiLevelType w:val="hybridMultilevel"/>
    <w:lvl w:ilvl="0">
      <w:lvlJc w:val="left"/>
      <w:lvlText w:val="(%1)"/>
      <w:numFmt w:val="lowerLetter"/>
      <w:start w:val="3"/>
    </w:lvl>
  </w:abstractNum>
  <w:abstractNum w:abstractNumId="126">
    <w:nsid w:val="6A3B714C"/>
    <w:multiLevelType w:val="hybridMultilevel"/>
    <w:lvl w:ilvl="0">
      <w:lvlJc w:val="left"/>
      <w:lvlText w:val="(%1)"/>
      <w:numFmt w:val="lowerLetter"/>
      <w:start w:val="1"/>
    </w:lvl>
  </w:abstractNum>
  <w:abstractNum w:abstractNumId="127">
    <w:nsid w:val="327B517E"/>
    <w:multiLevelType w:val="hybridMultilevel"/>
    <w:lvl w:ilvl="0">
      <w:lvlJc w:val="left"/>
      <w:lvlText w:val="(%1)"/>
      <w:numFmt w:val="lowerLetter"/>
      <w:start w:val="2"/>
    </w:lvl>
  </w:abstractNum>
  <w:abstractNum w:abstractNumId="128">
    <w:nsid w:val="1F461B51"/>
    <w:multiLevelType w:val="hybridMultilevel"/>
    <w:lvl w:ilvl="0">
      <w:lvlJc w:val="left"/>
      <w:lvlText w:val="(%1)"/>
      <w:numFmt w:val="lowerLetter"/>
      <w:start w:val="5"/>
    </w:lvl>
  </w:abstractNum>
  <w:abstractNum w:abstractNumId="129">
    <w:nsid w:val="29BACF25"/>
    <w:multiLevelType w:val="hybridMultilevel"/>
    <w:lvl w:ilvl="0">
      <w:lvlJc w:val="left"/>
      <w:lvlText w:val="(%1)"/>
      <w:numFmt w:val="lowerLetter"/>
      <w:start w:val="1"/>
    </w:lvl>
  </w:abstractNum>
  <w:abstractNum w:abstractNumId="130">
    <w:nsid w:val="5D5BABB3"/>
    <w:multiLevelType w:val="hybridMultilevel"/>
    <w:lvl w:ilvl="0">
      <w:lvlJc w:val="left"/>
      <w:lvlText w:val="(%1)"/>
      <w:numFmt w:val="lowerLetter"/>
      <w:start w:val="1"/>
    </w:lvl>
  </w:abstractNum>
  <w:abstractNum w:abstractNumId="131">
    <w:nsid w:val="51BF6B48"/>
    <w:multiLevelType w:val="hybridMultilevel"/>
    <w:lvl w:ilvl="0">
      <w:lvlJc w:val="left"/>
      <w:lvlText w:val="(%1)"/>
      <w:numFmt w:val="lowerLetter"/>
      <w:start w:val="1"/>
    </w:lvl>
  </w:abstractNum>
  <w:abstractNum w:abstractNumId="132">
    <w:nsid w:val="7E0F6384"/>
    <w:multiLevelType w:val="hybridMultilevel"/>
    <w:lvl w:ilvl="0">
      <w:lvlJc w:val="left"/>
      <w:lvlText w:val="(%1)"/>
      <w:numFmt w:val="lowerLetter"/>
      <w:start w:val="1"/>
    </w:lvl>
  </w:abstractNum>
  <w:abstractNum w:abstractNumId="133">
    <w:nsid w:val="2B4B8B53"/>
    <w:multiLevelType w:val="hybridMultilevel"/>
    <w:lvl w:ilvl="0">
      <w:lvlJc w:val="left"/>
      <w:lvlText w:val="(%1)"/>
      <w:numFmt w:val="lowerLetter"/>
      <w:start w:val="4"/>
    </w:lvl>
  </w:abstractNum>
  <w:abstractNum w:abstractNumId="134">
    <w:nsid w:val="72E3413A"/>
    <w:multiLevelType w:val="hybridMultilevel"/>
    <w:lvl w:ilvl="0">
      <w:lvlJc w:val="left"/>
      <w:lvlText w:val="(%1)"/>
      <w:numFmt w:val="lowerLetter"/>
      <w:start w:val="6"/>
    </w:lvl>
  </w:abstractNum>
  <w:abstractNum w:abstractNumId="135">
    <w:nsid w:val="116AE494"/>
    <w:multiLevelType w:val="hybridMultilevel"/>
    <w:lvl w:ilvl="0">
      <w:lvlJc w:val="left"/>
      <w:lvlText w:val="(%1)"/>
      <w:numFmt w:val="lowerLetter"/>
      <w:start w:val="12"/>
    </w:lvl>
  </w:abstractNum>
  <w:abstractNum w:abstractNumId="136">
    <w:nsid w:val="3494B2FB"/>
    <w:multiLevelType w:val="hybridMultilevel"/>
    <w:lvl w:ilvl="0">
      <w:lvlJc w:val="left"/>
      <w:lvlText w:val="(%1)"/>
      <w:numFmt w:val="lowerLetter"/>
      <w:start w:val="1"/>
    </w:lvl>
  </w:abstractNum>
  <w:abstractNum w:abstractNumId="137">
    <w:nsid w:val="B13A31"/>
    <w:multiLevelType w:val="hybridMultilevel"/>
    <w:lvl w:ilvl="0">
      <w:lvlJc w:val="left"/>
      <w:lvlText w:val="(%1)"/>
      <w:numFmt w:val="lowerLetter"/>
      <w:start w:val="3"/>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decimal"/>
      <w:start w:val="1"/>
    </w:lvl>
    <w:lvl w:ilvl="1">
      <w:lvlJc w:val="left"/>
      <w:lvlText w:val="(%2)"/>
      <w:numFmt w:val="lowerLetter"/>
      <w:start w:val="1"/>
    </w:lvl>
  </w:abstractNum>
  <w:abstractNum w:abstractNumId="140">
    <w:nsid w:val="25973E32"/>
    <w:multiLevelType w:val="hybridMultilevel"/>
    <w:lvl w:ilvl="0">
      <w:lvlJc w:val="left"/>
      <w:lvlText w:val="%1"/>
      <w:numFmt w:val="decimal"/>
      <w:start w:val="1"/>
    </w:lvl>
    <w:lvl w:ilvl="1">
      <w:lvlJc w:val="left"/>
      <w:lvlText w:val="(%2)"/>
      <w:numFmt w:val="lowerLetter"/>
      <w:start w:val="3"/>
    </w:lvl>
  </w:abstractNum>
  <w:abstractNum w:abstractNumId="141">
    <w:nsid w:val="EAD6F57"/>
    <w:multiLevelType w:val="hybridMultilevel"/>
    <w:lvl w:ilvl="0">
      <w:lvlJc w:val="left"/>
      <w:lvlText w:val="%1."/>
      <w:numFmt w:val="decimal"/>
      <w:start w:val="2"/>
    </w:lvl>
    <w:lvl w:ilvl="1">
      <w:lvlJc w:val="left"/>
      <w:lvlText w:val="(%2)"/>
      <w:numFmt w:val="lowerLetter"/>
      <w:start w:val="1"/>
    </w:lvl>
  </w:abstractNum>
  <w:abstractNum w:abstractNumId="142">
    <w:nsid w:val="6EC9D844"/>
    <w:multiLevelType w:val="hybridMultilevel"/>
    <w:lvl w:ilvl="0">
      <w:lvlJc w:val="left"/>
      <w:lvlText w:val="%1"/>
      <w:numFmt w:val="decimal"/>
      <w:start w:val="1"/>
    </w:lvl>
    <w:lvl w:ilvl="1">
      <w:lvlJc w:val="left"/>
      <w:lvlText w:val="(%2)"/>
      <w:numFmt w:val="lowerLetter"/>
      <w:start w:val="3"/>
    </w:lvl>
  </w:abstractNum>
  <w:abstractNum w:abstractNumId="143">
    <w:nsid w:val="5C49EAEE"/>
    <w:multiLevelType w:val="hybridMultilevel"/>
    <w:lvl w:ilvl="0">
      <w:lvlJc w:val="left"/>
      <w:lvlText w:val="%1."/>
      <w:numFmt w:val="decimal"/>
      <w:start w:val="3"/>
    </w:lvl>
    <w:lvl w:ilvl="1">
      <w:lvlJc w:val="left"/>
      <w:lvlText w:val="(%2)"/>
      <w:numFmt w:val="lowerLetter"/>
      <w:start w:val="1"/>
    </w:lvl>
  </w:abstractNum>
  <w:abstractNum w:abstractNumId="144">
    <w:nsid w:val="64AF49B"/>
    <w:multiLevelType w:val="hybridMultilevel"/>
    <w:lvl w:ilvl="0">
      <w:lvlJc w:val="left"/>
      <w:lvlText w:val="%1"/>
      <w:numFmt w:val="decimal"/>
      <w:start w:val="1"/>
    </w:lvl>
    <w:lvl w:ilvl="1">
      <w:lvlJc w:val="left"/>
      <w:lvlText w:val="(%2)"/>
      <w:numFmt w:val="lowerLetter"/>
      <w:start w:val="3"/>
    </w:lvl>
  </w:abstractNum>
  <w:abstractNum w:abstractNumId="145">
    <w:nsid w:val="397C46BC"/>
    <w:multiLevelType w:val="hybridMultilevel"/>
    <w:lvl w:ilvl="0">
      <w:lvlJc w:val="left"/>
      <w:lvlText w:val="%1."/>
      <w:numFmt w:val="decimal"/>
      <w:start w:val="4"/>
    </w:lvl>
    <w:lvl w:ilvl="1">
      <w:lvlJc w:val="left"/>
      <w:lvlText w:val="%2"/>
      <w:numFmt w:val="lowerLetter"/>
      <w:start w:val="1"/>
    </w:lvl>
  </w:abstractNum>
  <w:abstractNum w:abstractNumId="146">
    <w:nsid w:val="7E448DE9"/>
    <w:multiLevelType w:val="hybridMultilevel"/>
    <w:lvl w:ilvl="0">
      <w:lvlJc w:val="left"/>
      <w:lvlText w:val="%1."/>
      <w:numFmt w:val="decimal"/>
      <w:start w:val="7"/>
    </w:lvl>
    <w:lvl w:ilvl="1">
      <w:lvlJc w:val="left"/>
      <w:lvlText w:val="(%2)"/>
      <w:numFmt w:val="lowerLetter"/>
      <w:start w:val="1"/>
    </w:lvl>
  </w:abstractNum>
  <w:abstractNum w:abstractNumId="147">
    <w:nsid w:val="5A9CC3E5"/>
    <w:multiLevelType w:val="hybridMultilevel"/>
    <w:lvl w:ilvl="0">
      <w:lvlJc w:val="left"/>
      <w:lvlText w:val="(%1)"/>
      <w:numFmt w:val="lowerLetter"/>
      <w:start w:val="4"/>
    </w:lvl>
  </w:abstractNum>
  <w:abstractNum w:abstractNumId="148">
    <w:nsid w:val="1AFE3625"/>
    <w:multiLevelType w:val="hybridMultilevel"/>
    <w:lvl w:ilvl="0">
      <w:lvlJc w:val="left"/>
      <w:lvlText w:val="%1."/>
      <w:numFmt w:val="decimal"/>
      <w:start w:val="9"/>
    </w:lvl>
  </w:abstractNum>
  <w:abstractNum w:abstractNumId="149">
    <w:nsid w:val="3CA88ECF"/>
    <w:multiLevelType w:val="hybridMultilevel"/>
    <w:lvl w:ilvl="0">
      <w:lvlJc w:val="left"/>
      <w:lvlText w:val="%1."/>
      <w:numFmt w:val="decimal"/>
      <w:start w:val="10"/>
    </w:lvl>
    <w:lvl w:ilvl="1">
      <w:lvlJc w:val="left"/>
      <w:lvlText w:val="(%2)"/>
      <w:numFmt w:val="lowerLetter"/>
      <w:start w:val="1"/>
    </w:lvl>
  </w:abstractNum>
  <w:abstractNum w:abstractNumId="150">
    <w:nsid w:val="6EBE4208"/>
    <w:multiLevelType w:val="hybridMultilevel"/>
    <w:lvl w:ilvl="0">
      <w:lvlJc w:val="left"/>
      <w:lvlText w:val="%1"/>
      <w:numFmt w:val="upperLetter"/>
      <w:start w:val="1"/>
    </w:lvl>
    <w:lvl w:ilvl="1">
      <w:lvlJc w:val="left"/>
      <w:lvlText w:val="(%2)"/>
      <w:numFmt w:val="lowerLetter"/>
      <w:start w:val="7"/>
    </w:lvl>
  </w:abstractNum>
  <w:abstractNum w:abstractNumId="151">
    <w:nsid w:val="C058DF5"/>
    <w:multiLevelType w:val="hybridMultilevel"/>
    <w:lvl w:ilvl="0">
      <w:lvlJc w:val="left"/>
      <w:lvlText w:val="(%1)"/>
      <w:numFmt w:val="upperLetter"/>
      <w:start w:val="1"/>
    </w:lvl>
    <w:lvl w:ilvl="1">
      <w:lvlJc w:val="left"/>
      <w:lvlText w:val="(%2)"/>
      <w:numFmt w:val="lowerLetter"/>
      <w:start w:val="9"/>
    </w:lvl>
  </w:abstractNum>
  <w:abstractNum w:abstractNumId="152">
    <w:nsid w:val="CBE5BE9"/>
    <w:multiLevelType w:val="hybridMultilevel"/>
    <w:lvl w:ilvl="0">
      <w:lvlJc w:val="left"/>
      <w:lvlText w:val="(%1)"/>
      <w:numFmt w:val="lowerLetter"/>
      <w:start w:val="10"/>
    </w:lvl>
  </w:abstractNum>
  <w:abstractNum w:abstractNumId="153">
    <w:nsid w:val="3102BBE2"/>
    <w:multiLevelType w:val="hybridMultilevel"/>
    <w:lvl w:ilvl="0">
      <w:lvlJc w:val="left"/>
      <w:lvlText w:val="(%1)"/>
      <w:numFmt w:val="lowerLetter"/>
      <w:start w:val="12"/>
    </w:lvl>
  </w:abstractNum>
  <w:abstractNum w:abstractNumId="154">
    <w:nsid w:val="26A02C5E"/>
    <w:multiLevelType w:val="hybridMultilevel"/>
    <w:lvl w:ilvl="0">
      <w:lvlJc w:val="left"/>
      <w:lvlText w:val="%1."/>
      <w:numFmt w:val="decimal"/>
      <w:start w:val="1"/>
    </w:lvl>
    <w:lvl w:ilvl="1">
      <w:lvlJc w:val="left"/>
      <w:lvlText w:val="(%2)"/>
      <w:numFmt w:val="lowerLetter"/>
      <w:start w:val="1"/>
    </w:lvl>
  </w:abstractNum>
  <w:abstractNum w:abstractNumId="155">
    <w:nsid w:val="541C8153"/>
    <w:multiLevelType w:val="hybridMultilevel"/>
    <w:lvl w:ilvl="0">
      <w:lvlJc w:val="left"/>
      <w:lvlText w:val="%1"/>
      <w:numFmt w:val="decimal"/>
      <w:start w:val="1"/>
    </w:lvl>
    <w:lvl w:ilvl="1">
      <w:lvlJc w:val="left"/>
      <w:lvlText w:val="(%2)"/>
      <w:numFmt w:val="lowerLetter"/>
      <w:start w:val="3"/>
    </w:lvl>
  </w:abstractNum>
  <w:abstractNum w:abstractNumId="156">
    <w:nsid w:val="67906F60"/>
    <w:multiLevelType w:val="hybridMultilevel"/>
    <w:lvl w:ilvl="0">
      <w:lvlJc w:val="left"/>
      <w:lvlText w:val="%1."/>
      <w:numFmt w:val="decimal"/>
      <w:start w:val="2"/>
    </w:lvl>
    <w:lvl w:ilvl="1">
      <w:lvlJc w:val="left"/>
      <w:lvlText w:val="(%2)"/>
      <w:numFmt w:val="lowerLetter"/>
      <w:start w:val="1"/>
    </w:lvl>
  </w:abstractNum>
  <w:abstractNum w:abstractNumId="157">
    <w:nsid w:val="10DB9DAA"/>
    <w:multiLevelType w:val="hybridMultilevel"/>
    <w:lvl w:ilvl="0">
      <w:lvlJc w:val="left"/>
      <w:lvlText w:val="%1"/>
      <w:numFmt w:val="decimal"/>
      <w:start w:val="1"/>
    </w:lvl>
    <w:lvl w:ilvl="1">
      <w:lvlJc w:val="left"/>
      <w:lvlText w:val="(%2)"/>
      <w:numFmt w:val="lowerLetter"/>
      <w:start w:val="4"/>
    </w:lvl>
  </w:abstractNum>
  <w:abstractNum w:abstractNumId="158">
    <w:nsid w:val="697D2D2"/>
    <w:multiLevelType w:val="hybridMultilevel"/>
    <w:lvl w:ilvl="0">
      <w:lvlJc w:val="left"/>
      <w:lvlText w:val="%1."/>
      <w:numFmt w:val="decimal"/>
      <w:start w:val="3"/>
    </w:lvl>
    <w:lvl w:ilvl="1">
      <w:lvlJc w:val="left"/>
      <w:lvlText w:val="(%2)"/>
      <w:numFmt w:val="lowerLetter"/>
      <w:start w:val="1"/>
    </w:lvl>
  </w:abstractNum>
  <w:abstractNum w:abstractNumId="159">
    <w:nsid w:val="6D68AB2"/>
    <w:multiLevelType w:val="hybridMultilevel"/>
    <w:lvl w:ilvl="0">
      <w:lvlJc w:val="left"/>
      <w:lvlText w:val="%1"/>
      <w:numFmt w:val="lowerLetter"/>
      <w:start w:val="1"/>
    </w:lvl>
    <w:lvl w:ilvl="1">
      <w:lvlJc w:val="left"/>
      <w:lvlText w:val="%2."/>
      <w:numFmt w:val="decimal"/>
      <w:start w:val="4"/>
    </w:lvl>
  </w:abstractNum>
  <w:abstractNum w:abstractNumId="160">
    <w:nsid w:val="3A966CD0"/>
    <w:multiLevelType w:val="hybridMultilevel"/>
    <w:lvl w:ilvl="0">
      <w:lvlJc w:val="left"/>
      <w:lvlText w:val="(%1)"/>
      <w:numFmt w:val="lowerLetter"/>
      <w:start w:val="2"/>
    </w:lvl>
    <w:lvl w:ilvl="1">
      <w:lvlJc w:val="left"/>
      <w:lvlText w:val="%2."/>
      <w:numFmt w:val="decimal"/>
      <w:start w:val="6"/>
    </w:lvl>
  </w:abstractNum>
  <w:abstractNum w:abstractNumId="161">
    <w:nsid w:val="63F37E85"/>
    <w:multiLevelType w:val="hybridMultilevel"/>
    <w:lvl w:ilvl="0">
      <w:lvlJc w:val="left"/>
      <w:lvlText w:val="%1."/>
      <w:numFmt w:val="decimal"/>
      <w:start w:val="8"/>
    </w:lvl>
    <w:lvl w:ilvl="1">
      <w:lvlJc w:val="left"/>
      <w:lvlText w:val="(%2)"/>
      <w:numFmt w:val="lowerLetter"/>
      <w:start w:val="1"/>
    </w:lvl>
  </w:abstractNum>
  <w:abstractNum w:abstractNumId="162">
    <w:nsid w:val="5895F5FA"/>
    <w:multiLevelType w:val="hybridMultilevel"/>
    <w:lvl w:ilvl="0">
      <w:lvlJc w:val="left"/>
      <w:lvlText w:val="%1"/>
      <w:numFmt w:val="decimal"/>
      <w:start w:val="1"/>
    </w:lvl>
    <w:lvl w:ilvl="1">
      <w:lvlJc w:val="left"/>
      <w:lvlText w:val="(%2)"/>
      <w:numFmt w:val="lowerLetter"/>
      <w:start w:val="4"/>
    </w:lvl>
  </w:abstractNum>
  <w:abstractNum w:abstractNumId="163">
    <w:nsid w:val="38A5D054"/>
    <w:multiLevelType w:val="hybridMultilevel"/>
    <w:lvl w:ilvl="0">
      <w:lvlJc w:val="left"/>
      <w:lvlText w:val="%1."/>
      <w:numFmt w:val="decimal"/>
      <w:start w:val="9"/>
    </w:lvl>
    <w:lvl w:ilvl="1">
      <w:lvlJc w:val="left"/>
      <w:lvlText w:val="%2"/>
      <w:numFmt w:val="lowerLetter"/>
      <w:start w:val="1"/>
    </w:lvl>
  </w:abstractNum>
  <w:abstractNum w:abstractNumId="164">
    <w:nsid w:val="F3F09D8"/>
    <w:multiLevelType w:val="hybridMultilevel"/>
    <w:lvl w:ilvl="0">
      <w:lvlJc w:val="left"/>
      <w:lvlText w:val="%1."/>
      <w:numFmt w:val="decimal"/>
      <w:start w:val="10"/>
    </w:lvl>
    <w:lvl w:ilvl="1">
      <w:lvlJc w:val="left"/>
      <w:lvlText w:val="(%2)"/>
      <w:numFmt w:val="lowerLetter"/>
      <w:start w:val="1"/>
    </w:lvl>
  </w:abstractNum>
  <w:abstractNum w:abstractNumId="165">
    <w:nsid w:val="4B793735"/>
    <w:multiLevelType w:val="hybridMultilevel"/>
    <w:lvl w:ilvl="0">
      <w:lvlJc w:val="left"/>
      <w:lvlText w:val="(%1)"/>
      <w:numFmt w:val="lowerLetter"/>
      <w:start w:val="5"/>
    </w:lvl>
  </w:abstractNum>
  <w:abstractNum w:abstractNumId="166">
    <w:nsid w:val="4A10B4E8"/>
    <w:multiLevelType w:val="hybridMultilevel"/>
    <w:lvl w:ilvl="0">
      <w:lvlJc w:val="left"/>
      <w:lvlText w:val="(%1)"/>
      <w:numFmt w:val="lowerLetter"/>
      <w:start w:val="9"/>
    </w:lvl>
  </w:abstractNum>
  <w:abstractNum w:abstractNumId="167">
    <w:nsid w:val="43D3BCD4"/>
    <w:multiLevelType w:val="hybridMultilevel"/>
    <w:lvl w:ilvl="0">
      <w:lvlJc w:val="left"/>
      <w:lvlText w:val="(%1)"/>
      <w:numFmt w:val="lowerLetter"/>
      <w:start w:val="12"/>
    </w:lvl>
  </w:abstractNum>
  <w:abstractNum w:abstractNumId="168">
    <w:nsid w:val="4C2A7166"/>
    <w:multiLevelType w:val="hybridMultilevel"/>
    <w:lvl w:ilvl="0">
      <w:lvlJc w:val="left"/>
      <w:lvlText w:val="%1."/>
      <w:numFmt w:val="decimal"/>
      <w:start w:val="1"/>
    </w:lvl>
  </w:abstractNum>
  <w:abstractNum w:abstractNumId="169">
    <w:nsid w:val="2E534A82"/>
    <w:multiLevelType w:val="hybridMultilevel"/>
    <w:lvl w:ilvl="0">
      <w:lvlJc w:val="left"/>
      <w:lvlText w:val="1"/>
      <w:numFmt w:val="bullet"/>
      <w:start w:val="1"/>
    </w:lvl>
  </w:abstractNum>
  <w:abstractNum w:abstractNumId="170">
    <w:nsid w:val="26F2D364"/>
    <w:multiLevelType w:val="hybridMultilevel"/>
    <w:lvl w:ilvl="0">
      <w:lvlJc w:val="left"/>
      <w:lvlText w:val="(%1)"/>
      <w:numFmt w:val="lowerRoman"/>
      <w:start w:val="1"/>
    </w:lvl>
  </w:abstractNum>
  <w:abstractNum w:abstractNumId="171">
    <w:nsid w:val="71C1AF98"/>
    <w:multiLevelType w:val="hybridMultilevel"/>
    <w:lvl w:ilvl="0">
      <w:lvlJc w:val="left"/>
      <w:lvlText w:val="(%1)"/>
      <w:numFmt w:val="lowerRoman"/>
      <w:start w:val="2"/>
    </w:lvl>
  </w:abstractNum>
  <w:abstractNum w:abstractNumId="172">
    <w:nsid w:val="3D00B9D9"/>
    <w:multiLevelType w:val="hybridMultilevel"/>
    <w:lvl w:ilvl="0">
      <w:lvlJc w:val="left"/>
      <w:lvlText w:val="%1."/>
      <w:numFmt w:val="decimal"/>
      <w:start w:val="2"/>
    </w:lvl>
  </w:abstractNum>
  <w:abstractNum w:abstractNumId="173">
    <w:nsid w:val="15BCABA8"/>
    <w:multiLevelType w:val="hybridMultilevel"/>
    <w:lvl w:ilvl="0">
      <w:lvlJc w:val="left"/>
      <w:lvlText w:val="(%1)"/>
      <w:numFmt w:val="upperLetter"/>
      <w:start w:val="2"/>
    </w:lvl>
  </w:abstractNum>
  <w:abstractNum w:abstractNumId="174">
    <w:nsid w:val="4E0B9A87"/>
    <w:multiLevelType w:val="hybridMultilevel"/>
    <w:lvl w:ilvl="0">
      <w:lvlJc w:val="left"/>
      <w:lvlText w:val="%1."/>
      <w:numFmt w:val="decimal"/>
      <w:start w:val="3"/>
    </w:lvl>
  </w:abstractNum>
  <w:abstractNum w:abstractNumId="175">
    <w:nsid w:val="434BAE75"/>
    <w:multiLevelType w:val="hybridMultilevel"/>
    <w:lvl w:ilvl="0">
      <w:lvlJc w:val="left"/>
      <w:lvlText w:val="(%1)"/>
      <w:numFmt w:val="lowerRoman"/>
      <w:start w:val="1"/>
    </w:lvl>
  </w:abstractNum>
  <w:abstractNum w:abstractNumId="176">
    <w:nsid w:val="4F38F265"/>
    <w:multiLevelType w:val="hybridMultilevel"/>
    <w:lvl w:ilvl="0">
      <w:lvlJc w:val="left"/>
      <w:lvlText w:val="(%1)"/>
      <w:numFmt w:val="lowerLetter"/>
      <w:start w:val="2"/>
    </w:lvl>
  </w:abstractNum>
  <w:abstractNum w:abstractNumId="177">
    <w:nsid w:val="4C502870"/>
    <w:multiLevelType w:val="hybridMultilevel"/>
    <w:lvl w:ilvl="0">
      <w:lvlJc w:val="left"/>
      <w:lvlText w:val="(%1)"/>
      <w:numFmt w:val="lowerLetter"/>
      <w:start w:val="2"/>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decimal"/>
      <w:start w:val="4"/>
    </w:lvl>
  </w:abstractNum>
  <w:abstractNum w:abstractNumId="180">
    <w:nsid w:val="8F8B73F"/>
    <w:multiLevelType w:val="hybridMultilevel"/>
    <w:lvl w:ilvl="0">
      <w:lvlJc w:val="left"/>
      <w:lvlText w:val="%1."/>
      <w:numFmt w:val="decimal"/>
      <w:start w:val="5"/>
    </w:lvl>
  </w:abstractNum>
  <w:abstractNum w:abstractNumId="181">
    <w:nsid w:val="CA6B462"/>
    <w:multiLevelType w:val="hybridMultilevel"/>
    <w:lvl w:ilvl="0">
      <w:lvlJc w:val="left"/>
      <w:lvlText w:val="(%1)"/>
      <w:numFmt w:val="lowerLetter"/>
      <w:start w:val="1"/>
    </w:lvl>
  </w:abstractNum>
  <w:abstractNum w:abstractNumId="182">
    <w:nsid w:val="763CB680"/>
    <w:multiLevelType w:val="hybridMultilevel"/>
    <w:lvl w:ilvl="0">
      <w:lvlJc w:val="left"/>
      <w:lvlText w:val="(%1)"/>
      <w:numFmt w:val="lowerLetter"/>
      <w:start w:val="1"/>
    </w:lvl>
  </w:abstractNum>
  <w:abstractNum w:abstractNumId="183">
    <w:nsid w:val="15B71329"/>
    <w:multiLevelType w:val="hybridMultilevel"/>
    <w:lvl w:ilvl="0">
      <w:lvlJc w:val="left"/>
      <w:lvlText w:val="(%1)"/>
      <w:numFmt w:val="lowerLetter"/>
      <w:start w:val="1"/>
    </w:lvl>
  </w:abstractNum>
  <w:abstractNum w:abstractNumId="184">
    <w:nsid w:val="3DA97044"/>
    <w:multiLevelType w:val="hybridMultilevel"/>
    <w:lvl w:ilvl="0">
      <w:lvlJc w:val="left"/>
      <w:lvlText w:val="%1."/>
      <w:numFmt w:val="decimal"/>
      <w:start w:val="6"/>
    </w:lvl>
  </w:abstractNum>
  <w:abstractNum w:abstractNumId="185">
    <w:nsid w:val="1CDCE2DE"/>
    <w:multiLevelType w:val="hybridMultilevel"/>
    <w:lvl w:ilvl="0">
      <w:lvlJc w:val="left"/>
      <w:lvlText w:val="(%1)"/>
      <w:numFmt w:val="lowerLetter"/>
      <w:start w:val="1"/>
    </w:lvl>
  </w:abstractNum>
  <w:abstractNum w:abstractNumId="186">
    <w:nsid w:val="69D3947C"/>
    <w:multiLevelType w:val="hybridMultilevel"/>
    <w:lvl w:ilvl="0">
      <w:lvlJc w:val="left"/>
      <w:lvlText w:val="(%1)"/>
      <w:numFmt w:val="lowerLetter"/>
      <w:start w:val="2"/>
    </w:lvl>
  </w:abstractNum>
  <w:abstractNum w:abstractNumId="187">
    <w:nsid w:val="2539DFA5"/>
    <w:multiLevelType w:val="hybridMultilevel"/>
    <w:lvl w:ilvl="0">
      <w:lvlJc w:val="left"/>
      <w:lvlText w:val="(%1)"/>
      <w:numFmt w:val="lowerLetter"/>
      <w:start w:val="11"/>
    </w:lvl>
  </w:abstractNum>
  <w:abstractNum w:abstractNumId="188">
    <w:nsid w:val="2DB88089"/>
    <w:multiLevelType w:val="hybridMultilevel"/>
    <w:lvl w:ilvl="0">
      <w:lvlJc w:val="left"/>
      <w:lvlText w:val="(%1)"/>
      <w:numFmt w:val="lowerLetter"/>
      <w:start w:val="1"/>
    </w:lvl>
  </w:abstractNum>
  <w:abstractNum w:abstractNumId="189">
    <w:nsid w:val="706B674E"/>
    <w:multiLevelType w:val="hybridMultilevel"/>
    <w:lvl w:ilvl="0">
      <w:lvlJc w:val="left"/>
      <w:lvlText w:val="%1"/>
      <w:numFmt w:val="decimal"/>
      <w:start w:val="1"/>
    </w:lvl>
    <w:lvl w:ilvl="1">
      <w:lvlJc w:val="left"/>
      <w:lvlText w:val="(%2)"/>
      <w:numFmt w:val="lowerLetter"/>
      <w:start w:val="2"/>
    </w:lvl>
  </w:abstractNum>
  <w:abstractNum w:abstractNumId="190">
    <w:nsid w:val="2C106A57"/>
    <w:multiLevelType w:val="hybridMultilevel"/>
    <w:lvl w:ilvl="0">
      <w:lvlJc w:val="left"/>
      <w:lvlText w:val="%1."/>
      <w:numFmt w:val="decimal"/>
      <w:start w:val="7"/>
    </w:lvl>
    <w:lvl w:ilvl="1">
      <w:lvlJc w:val="left"/>
      <w:lvlText w:val="%2"/>
      <w:numFmt w:val="lowerLetter"/>
      <w:start w:val="1"/>
    </w:lvl>
  </w:abstractNum>
  <w:abstractNum w:abstractNumId="191">
    <w:nsid w:val="684EED59"/>
    <w:multiLevelType w:val="hybridMultilevel"/>
    <w:lvl w:ilvl="0">
      <w:lvlJc w:val="left"/>
      <w:lvlText w:val="(%1)"/>
      <w:numFmt w:val="lowerRoman"/>
      <w:start w:val="1"/>
    </w:lvl>
  </w:abstractNum>
  <w:abstractNum w:abstractNumId="192">
    <w:nsid w:val="545EE5D3"/>
    <w:multiLevelType w:val="hybridMultilevel"/>
    <w:lvl w:ilvl="0">
      <w:lvlJc w:val="left"/>
      <w:lvlText w:val="%1."/>
      <w:numFmt w:val="decimal"/>
      <w:start w:val="8"/>
    </w:lvl>
  </w:abstractNum>
  <w:abstractNum w:abstractNumId="193">
    <w:nsid w:val="4A66051"/>
    <w:multiLevelType w:val="hybridMultilevel"/>
    <w:lvl w:ilvl="0">
      <w:lvlJc w:val="left"/>
      <w:lvlText w:val="(%1)"/>
      <w:numFmt w:val="lowerLetter"/>
      <w:start w:val="4"/>
    </w:lvl>
  </w:abstractNum>
  <w:abstractNum w:abstractNumId="194">
    <w:nsid w:val="20F4BDAD"/>
    <w:multiLevelType w:val="hybridMultilevel"/>
    <w:lvl w:ilvl="0">
      <w:lvlJc w:val="left"/>
      <w:lvlText w:val="(%1)"/>
      <w:numFmt w:val="lowerLetter"/>
      <w:start w:val="2"/>
    </w:lvl>
  </w:abstractNum>
  <w:abstractNum w:abstractNumId="195">
    <w:nsid w:val="639DEFAC"/>
    <w:multiLevelType w:val="hybridMultilevel"/>
    <w:lvl w:ilvl="0">
      <w:lvlJc w:val="left"/>
      <w:lvlText w:val="(%1)"/>
      <w:numFmt w:val="lowerLetter"/>
      <w:start w:val="1"/>
    </w:lvl>
  </w:abstractNum>
  <w:abstractNum w:abstractNumId="196">
    <w:nsid w:val="501F9786"/>
    <w:multiLevelType w:val="hybridMultilevel"/>
    <w:lvl w:ilvl="0">
      <w:lvlJc w:val="left"/>
      <w:lvlText w:val="(%1)"/>
      <w:numFmt w:val="lowerRoman"/>
      <w:start w:val="1"/>
    </w:lvl>
  </w:abstractNum>
  <w:abstractNum w:abstractNumId="197">
    <w:nsid w:val="6B057295"/>
    <w:multiLevelType w:val="hybridMultilevel"/>
    <w:lvl w:ilvl="0">
      <w:lvlJc w:val="left"/>
      <w:lvlText w:val="(%1)"/>
      <w:numFmt w:val="lowerRoman"/>
      <w:start w:val="6"/>
    </w:lvl>
  </w:abstractNum>
  <w:abstractNum w:abstractNumId="198">
    <w:nsid w:val="2771AC80"/>
    <w:multiLevelType w:val="hybridMultilevel"/>
    <w:lvl w:ilvl="0">
      <w:lvlJc w:val="left"/>
      <w:lvlText w:val="(%1)"/>
      <w:numFmt w:val="lowerLetter"/>
      <w:start w:val="1"/>
    </w:lvl>
  </w:abstractNum>
  <w:abstractNum w:abstractNumId="199">
    <w:nsid w:val="1C4A08EC"/>
    <w:multiLevelType w:val="hybridMultilevel"/>
    <w:lvl w:ilvl="0">
      <w:lvlJc w:val="left"/>
      <w:lvlText w:val="(%1)"/>
      <w:numFmt w:val="lowerLetter"/>
      <w:start w:val="2"/>
    </w:lvl>
  </w:abstractNum>
  <w:abstractNum w:abstractNumId="200">
    <w:nsid w:val="1958BD17"/>
    <w:multiLevelType w:val="hybridMultilevel"/>
    <w:lvl w:ilvl="0">
      <w:lvlJc w:val="left"/>
      <w:lvlText w:val="%1."/>
      <w:numFmt w:val="decimal"/>
      <w:start w:val="1"/>
    </w:lvl>
  </w:abstractNum>
  <w:abstractNum w:abstractNumId="201">
    <w:nsid w:val="4E647FE4"/>
    <w:multiLevelType w:val="hybridMultilevel"/>
    <w:lvl w:ilvl="0">
      <w:lvlJc w:val="left"/>
      <w:lvlText w:val="%1"/>
      <w:numFmt w:val="lowerLetter"/>
      <w:start w:val="1"/>
    </w:lvl>
    <w:lvl w:ilvl="1">
      <w:lvlJc w:val="left"/>
      <w:lvlText w:val="(%2)"/>
      <w:numFmt w:val="lowerLetter"/>
      <w:start w:val="2"/>
    </w:lvl>
  </w:abstractNum>
  <w:abstractNum w:abstractNumId="202">
    <w:nsid w:val="E0BB885"/>
    <w:multiLevelType w:val="hybridMultilevel"/>
    <w:lvl w:ilvl="0">
      <w:lvlJc w:val="left"/>
      <w:lvlText w:val="(%1)"/>
      <w:numFmt w:val="lowerLetter"/>
      <w:start w:val="35"/>
    </w:lvl>
    <w:lvl w:ilvl="1">
      <w:lvlJc w:val="left"/>
      <w:lvlText w:val="(%2)"/>
      <w:numFmt w:val="lowerLetter"/>
      <w:start w:val="3"/>
    </w:lvl>
  </w:abstractNum>
  <w:abstractNum w:abstractNumId="203">
    <w:nsid w:val="565976F1"/>
    <w:multiLevelType w:val="hybridMultilevel"/>
    <w:lvl w:ilvl="0">
      <w:lvlJc w:val="left"/>
      <w:lvlText w:val="%1"/>
      <w:numFmt w:val="decimal"/>
      <w:start w:val="1"/>
    </w:lvl>
    <w:lvl w:ilvl="1">
      <w:lvlJc w:val="left"/>
      <w:lvlText w:val="(%2)"/>
      <w:numFmt w:val="lowerLetter"/>
      <w:start w:val="7"/>
    </w:lvl>
  </w:abstractNum>
  <w:abstractNum w:abstractNumId="204">
    <w:nsid w:val="64212B8C"/>
    <w:multiLevelType w:val="hybridMultilevel"/>
    <w:lvl w:ilvl="0">
      <w:lvlJc w:val="left"/>
      <w:lvlText w:val="%1."/>
      <w:numFmt w:val="decimal"/>
      <w:start w:val="2"/>
    </w:lvl>
    <w:lvl w:ilvl="1">
      <w:lvlJc w:val="left"/>
      <w:lvlText w:val="(%2)"/>
      <w:numFmt w:val="lowerLetter"/>
      <w:start w:val="1"/>
    </w:lvl>
  </w:abstractNum>
  <w:abstractNum w:abstractNumId="205">
    <w:nsid w:val="5C17530C"/>
    <w:multiLevelType w:val="hybridMultilevel"/>
    <w:lvl w:ilvl="0">
      <w:lvlJc w:val="left"/>
      <w:lvlText w:val="(%1)"/>
      <w:numFmt w:val="lowerLetter"/>
      <w:start w:val="2"/>
    </w:lvl>
  </w:abstractNum>
  <w:abstractNum w:abstractNumId="206">
    <w:nsid w:val="19A52566"/>
    <w:multiLevelType w:val="hybridMultilevel"/>
    <w:lvl w:ilvl="0">
      <w:lvlJc w:val="left"/>
      <w:lvlText w:val="(%1)"/>
      <w:numFmt w:val="lowerLetter"/>
      <w:start w:val="3"/>
    </w:lvl>
  </w:abstractNum>
  <w:abstractNum w:abstractNumId="207">
    <w:nsid w:val="335A1DF1"/>
    <w:multiLevelType w:val="hybridMultilevel"/>
    <w:lvl w:ilvl="0">
      <w:lvlJc w:val="left"/>
      <w:lvlText w:val="(%1)"/>
      <w:numFmt w:val="lowerLetter"/>
      <w:start w:val="5"/>
    </w:lvl>
  </w:abstractNum>
  <w:abstractNum w:abstractNumId="208">
    <w:nsid w:val="28677B7C"/>
    <w:multiLevelType w:val="hybridMultilevel"/>
    <w:lvl w:ilvl="0">
      <w:lvlJc w:val="left"/>
      <w:lvlText w:val="%1"/>
      <w:numFmt w:val="decimal"/>
      <w:start w:val="1"/>
    </w:lvl>
    <w:lvl w:ilvl="1">
      <w:lvlJc w:val="left"/>
      <w:lvlText w:val="(%2)"/>
      <w:numFmt w:val="lowerLetter"/>
      <w:start w:val="7"/>
    </w:lvl>
  </w:abstractNum>
  <w:abstractNum w:abstractNumId="209">
    <w:nsid w:val="378D97C0"/>
    <w:multiLevelType w:val="hybridMultilevel"/>
    <w:lvl w:ilvl="0">
      <w:lvlJc w:val="left"/>
      <w:lvlText w:val="%1."/>
      <w:numFmt w:val="decimal"/>
      <w:start w:val="3"/>
    </w:lvl>
    <w:lvl w:ilvl="1">
      <w:lvlJc w:val="left"/>
      <w:lvlText w:val="%2"/>
      <w:numFmt w:val="lowerLetter"/>
      <w:start w:val="1"/>
    </w:lvl>
  </w:abstractNum>
  <w:abstractNum w:abstractNumId="210">
    <w:nsid w:val="1D91467C"/>
    <w:multiLevelType w:val="hybridMultilevel"/>
    <w:lvl w:ilvl="0">
      <w:lvlJc w:val="left"/>
      <w:lvlText w:val="(%1)"/>
      <w:numFmt w:val="lowerLetter"/>
      <w:start w:val="1"/>
    </w:lvl>
  </w:abstractNum>
  <w:abstractNum w:abstractNumId="211">
    <w:nsid w:val="316032BB"/>
    <w:multiLevelType w:val="hybridMultilevel"/>
    <w:lvl w:ilvl="0">
      <w:lvlJc w:val="left"/>
      <w:lvlText w:val="(%1)"/>
      <w:numFmt w:val="lowerLetter"/>
      <w:start w:val="2"/>
    </w:lvl>
  </w:abstractNum>
  <w:abstractNum w:abstractNumId="212">
    <w:nsid w:val="44344C22"/>
    <w:multiLevelType w:val="hybridMultilevel"/>
    <w:lvl w:ilvl="0">
      <w:lvlJc w:val="left"/>
      <w:lvlText w:val="(%1)"/>
      <w:numFmt w:val="lowerLetter"/>
      <w:start w:val="6"/>
    </w:lvl>
  </w:abstractNum>
  <w:abstractNum w:abstractNumId="213">
    <w:nsid w:val="13CDFCFC"/>
    <w:multiLevelType w:val="hybridMultilevel"/>
    <w:lvl w:ilvl="0">
      <w:lvlJc w:val="left"/>
      <w:lvlText w:val="%1"/>
      <w:numFmt w:val="upperLetter"/>
      <w:start w:val="1"/>
    </w:lvl>
    <w:lvl w:ilvl="1">
      <w:lvlJc w:val="left"/>
      <w:lvlText w:val="(%2)"/>
      <w:numFmt w:val="lowerLetter"/>
      <w:start w:val="9"/>
    </w:lvl>
  </w:abstractNum>
  <w:abstractNum w:abstractNumId="214">
    <w:nsid w:val="471745E4"/>
    <w:multiLevelType w:val="hybridMultilevel"/>
    <w:lvl w:ilvl="0">
      <w:lvlJc w:val="left"/>
      <w:lvlText w:val="(%1)"/>
      <w:numFmt w:val="upperLetter"/>
      <w:start w:val="1"/>
    </w:lvl>
    <w:lvl w:ilvl="1">
      <w:lvlJc w:val="left"/>
      <w:lvlText w:val="(%2)"/>
      <w:numFmt w:val="lowerLetter"/>
      <w:start w:val="11"/>
    </w:lvl>
  </w:abstractNum>
  <w:abstractNum w:abstractNumId="215">
    <w:nsid w:val="1DDBC66"/>
    <w:multiLevelType w:val="hybridMultilevel"/>
    <w:lvl w:ilvl="0">
      <w:lvlJc w:val="left"/>
      <w:lvlText w:val="%1"/>
      <w:numFmt w:val="decimal"/>
      <w:start w:val="1"/>
    </w:lvl>
    <w:lvl w:ilvl="1">
      <w:lvlJc w:val="left"/>
      <w:lvlText w:val="(%2)"/>
      <w:numFmt w:val="lowerLetter"/>
      <w:start w:val="12"/>
    </w:lvl>
  </w:abstractNum>
  <w:abstractNum w:abstractNumId="216">
    <w:nsid w:val="30AADFDA"/>
    <w:multiLevelType w:val="hybridMultilevel"/>
    <w:lvl w:ilvl="0">
      <w:lvlJc w:val="left"/>
      <w:lvlText w:val="%1."/>
      <w:numFmt w:val="decimal"/>
      <w:start w:val="4"/>
    </w:lvl>
    <w:lvl w:ilvl="1">
      <w:lvlJc w:val="left"/>
      <w:lvlText w:val="(%2)"/>
      <w:numFmt w:val="lowerLetter"/>
      <w:start w:val="1"/>
    </w:lvl>
  </w:abstractNum>
  <w:abstractNum w:abstractNumId="217">
    <w:nsid w:val="30EADA61"/>
    <w:multiLevelType w:val="hybridMultilevel"/>
    <w:lvl w:ilvl="0">
      <w:lvlJc w:val="left"/>
      <w:lvlText w:val="%1."/>
      <w:numFmt w:val="decimal"/>
      <w:start w:val="6"/>
    </w:lvl>
    <w:lvl w:ilvl="1">
      <w:lvlJc w:val="left"/>
      <w:lvlText w:val="(%2)"/>
      <w:numFmt w:val="lowerLetter"/>
      <w:start w:val="1"/>
    </w:lvl>
  </w:abstractNum>
  <w:abstractNum w:abstractNumId="218">
    <w:nsid w:val="27179C0B"/>
    <w:multiLevelType w:val="hybridMultilevel"/>
    <w:lvl w:ilvl="0">
      <w:lvlJc w:val="left"/>
      <w:lvlText w:val="%1"/>
      <w:numFmt w:val="lowerRoman"/>
      <w:start w:val="1"/>
    </w:lvl>
    <w:lvl w:ilvl="1">
      <w:lvlJc w:val="left"/>
      <w:lvlText w:val="(%2)"/>
      <w:numFmt w:val="lowerLetter"/>
      <w:start w:val="2"/>
    </w:lvl>
  </w:abstractNum>
  <w:abstractNum w:abstractNumId="219">
    <w:nsid w:val="5E636063"/>
    <w:multiLevelType w:val="hybridMultilevel"/>
    <w:lvl w:ilvl="0">
      <w:lvlJc w:val="left"/>
      <w:lvlText w:val="(%1)"/>
      <w:numFmt w:val="lowerRoman"/>
      <w:start w:val="1"/>
    </w:lvl>
    <w:lvl w:ilvl="1">
      <w:lvlJc w:val="left"/>
      <w:lvlText w:val="(%2)"/>
      <w:numFmt w:val="lowerLetter"/>
      <w:start w:val="3"/>
    </w:lvl>
  </w:abstractNum>
  <w:abstractNum w:abstractNumId="220">
    <w:nsid w:val="215641AF"/>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4"/>
    </w:lvl>
  </w:abstractNum>
  <w:abstractNum w:abstractNumId="221">
    <w:nsid w:val="53280662"/>
    <w:multiLevelType w:val="hybridMultilevel"/>
    <w:lvl w:ilvl="0">
      <w:lvlJc w:val="left"/>
      <w:lvlText w:val="%1."/>
      <w:numFmt w:val="decimal"/>
      <w:start w:val="8"/>
    </w:lvl>
  </w:abstractNum>
  <w:abstractNum w:abstractNumId="222">
    <w:nsid w:val="46B24DBC"/>
    <w:multiLevelType w:val="hybridMultilevel"/>
    <w:lvl w:ilvl="0">
      <w:lvlJc w:val="left"/>
      <w:lvlText w:val="%1."/>
      <w:numFmt w:val="decimal"/>
      <w:start w:val="9"/>
    </w:lvl>
  </w:abstractNum>
  <w:abstractNum w:abstractNumId="223">
    <w:nsid w:val="75B5278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224">
    <w:nsid w:val="57CE66B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5">
    <w:nsid w:val="67A70B69"/>
    <w:multiLevelType w:val="hybridMultilevel"/>
    <w:lvl w:ilvl="0">
      <w:lvlJc w:val="left"/>
      <w:lvlText w:val="%1."/>
      <w:numFmt w:val="lowerRoman"/>
      <w:start w:val="2"/>
    </w:lvl>
  </w:abstractNum>
  <w:abstractNum w:abstractNumId="226">
    <w:nsid w:val="5953172F"/>
    <w:multiLevelType w:val="hybridMultilevel"/>
    <w:lvl w:ilvl="0">
      <w:lvlJc w:val="left"/>
      <w:lvlText w:val="(%1)"/>
      <w:numFmt w:val="lowerLetter"/>
      <w:start w:val="2"/>
    </w:lvl>
  </w:abstractNum>
  <w:abstractNum w:abstractNumId="227">
    <w:nsid w:val="27EDFE3A"/>
    <w:multiLevelType w:val="hybridMultilevel"/>
    <w:lvl w:ilvl="0">
      <w:lvlJc w:val="left"/>
      <w:lvlText w:val="(%1)"/>
      <w:numFmt w:val="lowerLetter"/>
      <w:start w:val="3"/>
    </w:lvl>
  </w:abstractNum>
  <w:abstractNum w:abstractNumId="228">
    <w:nsid w:val="52AC7DFF"/>
    <w:multiLevelType w:val="hybridMultilevel"/>
    <w:lvl w:ilvl="0">
      <w:lvlJc w:val="left"/>
      <w:lvlText w:val="(%1)"/>
      <w:numFmt w:val="lowerLetter"/>
      <w:start w:val="12"/>
    </w:lvl>
  </w:abstractNum>
  <w:abstractNum w:abstractNumId="229">
    <w:nsid w:val="C4C3AF"/>
    <w:multiLevelType w:val="hybridMultilevel"/>
    <w:lvl w:ilvl="0">
      <w:lvlJc w:val="left"/>
      <w:lvlText w:val="•"/>
      <w:numFmt w:val="bullet"/>
      <w:start w:val="1"/>
    </w:lvl>
  </w:abstractNum>
  <w:abstractNum w:abstractNumId="230">
    <w:nsid w:val="44380727"/>
    <w:multiLevelType w:val="hybridMultilevel"/>
    <w:lvl w:ilvl="0">
      <w:lvlJc w:val="left"/>
      <w:lvlText w:val="%1."/>
      <w:numFmt w:val="decimal"/>
      <w:start w:val="1"/>
    </w:lvl>
    <w:lvl w:ilvl="1">
      <w:lvlJc w:val="left"/>
      <w:lvlText w:val="(%2)"/>
      <w:numFmt w:val="lowerLetter"/>
      <w:start w:val="1"/>
    </w:lvl>
  </w:abstractNum>
  <w:abstractNum w:abstractNumId="231">
    <w:nsid w:val="6C053B16"/>
    <w:multiLevelType w:val="hybridMultilevel"/>
    <w:lvl w:ilvl="0">
      <w:lvlJc w:val="left"/>
      <w:lvlText w:val="%1."/>
      <w:numFmt w:val="decimal"/>
      <w:start w:val="3"/>
    </w:lvl>
    <w:lvl w:ilvl="1">
      <w:lvlJc w:val="left"/>
      <w:lvlText w:val="(%2)"/>
      <w:numFmt w:val="lowerLetter"/>
      <w:start w:val="1"/>
    </w:lvl>
  </w:abstractNum>
  <w:abstractNum w:abstractNumId="232">
    <w:nsid w:val="4F294393"/>
    <w:multiLevelType w:val="hybridMultilevel"/>
    <w:lvl w:ilvl="0">
      <w:lvlJc w:val="left"/>
      <w:lvlText w:val="(%1)"/>
      <w:numFmt w:val="lowerLetter"/>
      <w:start w:val="2"/>
    </w:lvl>
  </w:abstractNum>
  <w:abstractNum w:abstractNumId="233">
    <w:nsid w:val="5243BFAC"/>
    <w:multiLevelType w:val="hybridMultilevel"/>
    <w:lvl w:ilvl="0">
      <w:lvlJc w:val="left"/>
      <w:lvlText w:val="(%1)"/>
      <w:numFmt w:val="lowerLetter"/>
      <w:start w:val="3"/>
    </w:lvl>
  </w:abstractNum>
  <w:abstractNum w:abstractNumId="234">
    <w:nsid w:val="425EB207"/>
    <w:multiLevelType w:val="hybridMultilevel"/>
    <w:lvl w:ilvl="0">
      <w:lvlJc w:val="left"/>
      <w:lvlText w:val="(%1)"/>
      <w:numFmt w:val="lowerLetter"/>
      <w:start w:val="4"/>
    </w:lvl>
  </w:abstractNum>
  <w:abstractNum w:abstractNumId="235">
    <w:nsid w:val="334A6F1F"/>
    <w:multiLevelType w:val="hybridMultilevel"/>
    <w:lvl w:ilvl="0">
      <w:lvlJc w:val="left"/>
      <w:lvlText w:val=" "/>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2026-06-23T07:38:07Z</dcterms:created>
  <dcterms:modified xsi:type="dcterms:W3CDTF">2026-06-23T07:38:07Z</dcterms:modified>
</cp:coreProperties>
</file>