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ind w:left="1140"/>
        <w:spacing w:after="0"/>
        <w:rPr>
          <w:sz w:val="20"/>
          <w:szCs w:val="20"/>
          <w:color w:val="auto"/>
        </w:rPr>
      </w:pPr>
      <w:r>
        <w:rPr>
          <w:rFonts w:ascii="Arial" w:cs="Arial" w:eastAsia="Arial" w:hAnsi="Arial"/>
          <w:sz w:val="13"/>
          <w:szCs w:val="13"/>
          <w:b w:val="1"/>
          <w:bCs w:val="1"/>
          <w:color w:val="auto"/>
        </w:rPr>
        <w:t>As confidentially submitted to the Securities and Exchange Commission on January 22, 2024 as Amendment No. 2 to the draft Registration Statement</w:t>
      </w:r>
    </w:p>
    <w:p>
      <w:pPr>
        <w:spacing w:after="0" w:line="94" w:lineRule="exact"/>
        <w:rPr>
          <w:sz w:val="24"/>
          <w:szCs w:val="24"/>
          <w:color w:val="auto"/>
        </w:rPr>
      </w:pPr>
    </w:p>
    <w:p>
      <w:pPr>
        <w:ind w:left="93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147955</wp:posOffset>
            </wp:positionV>
            <wp:extent cx="2314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70485</wp:posOffset>
            </wp:positionV>
            <wp:extent cx="2314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BOUNDLESS BIO,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140335</wp:posOffset>
            </wp:positionV>
            <wp:extent cx="2314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64" w:lineRule="exact"/>
        <w:rPr>
          <w:sz w:val="24"/>
          <w:szCs w:val="24"/>
          <w:color w:val="auto"/>
        </w:rPr>
      </w:pPr>
    </w:p>
    <w:tbl>
      <w:tblPr>
        <w:tblLayout w:type="fixed"/>
        <w:tblInd w:w="1220" w:type="dxa"/>
        <w:tblCellMar>
          <w:top w:w="0" w:type="dxa"/>
          <w:left w:w="0" w:type="dxa"/>
          <w:bottom w:w="0" w:type="dxa"/>
          <w:right w:w="0" w:type="dxa"/>
        </w:tblCellMar>
      </w:tblPr>
      <w:tr>
        <w:trPr>
          <w:trHeight w:val="161"/>
        </w:trPr>
        <w:tc>
          <w:tcPr>
            <w:tcW w:w="2660" w:type="dxa"/>
            <w:vAlign w:val="bottom"/>
          </w:tcPr>
          <w:p>
            <w:pPr>
              <w:jc w:val="center"/>
              <w:ind w:right="1080"/>
              <w:spacing w:after="0"/>
              <w:rPr>
                <w:sz w:val="20"/>
                <w:szCs w:val="20"/>
                <w:color w:val="auto"/>
              </w:rPr>
            </w:pPr>
            <w:r>
              <w:rPr>
                <w:rFonts w:ascii="Arial" w:cs="Arial" w:eastAsia="Arial" w:hAnsi="Arial"/>
                <w:sz w:val="14"/>
                <w:szCs w:val="14"/>
                <w:b w:val="1"/>
                <w:bCs w:val="1"/>
                <w:color w:val="auto"/>
              </w:rPr>
              <w:t>Delaware</w:t>
            </w:r>
          </w:p>
        </w:tc>
        <w:tc>
          <w:tcPr>
            <w:tcW w:w="3820" w:type="dxa"/>
            <w:vAlign w:val="bottom"/>
          </w:tcPr>
          <w:p>
            <w:pPr>
              <w:jc w:val="center"/>
              <w:ind w:right="40"/>
              <w:spacing w:after="0"/>
              <w:rPr>
                <w:sz w:val="20"/>
                <w:szCs w:val="20"/>
                <w:color w:val="auto"/>
              </w:rPr>
            </w:pPr>
            <w:r>
              <w:rPr>
                <w:rFonts w:ascii="Arial" w:cs="Arial" w:eastAsia="Arial" w:hAnsi="Arial"/>
                <w:sz w:val="14"/>
                <w:szCs w:val="14"/>
                <w:b w:val="1"/>
                <w:bCs w:val="1"/>
                <w:color w:val="auto"/>
              </w:rPr>
              <w:t>2834</w:t>
            </w:r>
          </w:p>
        </w:tc>
        <w:tc>
          <w:tcPr>
            <w:tcW w:w="2120" w:type="dxa"/>
            <w:vAlign w:val="bottom"/>
          </w:tcPr>
          <w:p>
            <w:pPr>
              <w:jc w:val="center"/>
              <w:ind w:left="1160"/>
              <w:spacing w:after="0"/>
              <w:rPr>
                <w:sz w:val="20"/>
                <w:szCs w:val="20"/>
                <w:color w:val="auto"/>
              </w:rPr>
            </w:pPr>
            <w:r>
              <w:rPr>
                <w:rFonts w:ascii="Arial" w:cs="Arial" w:eastAsia="Arial" w:hAnsi="Arial"/>
                <w:sz w:val="14"/>
                <w:szCs w:val="14"/>
                <w:b w:val="1"/>
                <w:bCs w:val="1"/>
                <w:color w:val="auto"/>
              </w:rPr>
              <w:t>83-0751369</w:t>
            </w:r>
          </w:p>
        </w:tc>
      </w:tr>
      <w:tr>
        <w:trPr>
          <w:trHeight w:val="122"/>
        </w:trPr>
        <w:tc>
          <w:tcPr>
            <w:tcW w:w="2660" w:type="dxa"/>
            <w:vAlign w:val="bottom"/>
          </w:tcPr>
          <w:p>
            <w:pPr>
              <w:jc w:val="center"/>
              <w:ind w:right="1080"/>
              <w:spacing w:after="0" w:line="122" w:lineRule="exact"/>
              <w:rPr>
                <w:sz w:val="20"/>
                <w:szCs w:val="20"/>
                <w:color w:val="auto"/>
              </w:rPr>
            </w:pPr>
            <w:r>
              <w:rPr>
                <w:rFonts w:ascii="Arial" w:cs="Arial" w:eastAsia="Arial" w:hAnsi="Arial"/>
                <w:sz w:val="11"/>
                <w:szCs w:val="11"/>
                <w:b w:val="1"/>
                <w:bCs w:val="1"/>
                <w:color w:val="auto"/>
                <w:w w:val="98"/>
              </w:rPr>
              <w:t>(State or other jurisdiction of</w:t>
            </w:r>
          </w:p>
        </w:tc>
        <w:tc>
          <w:tcPr>
            <w:tcW w:w="382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(Primary Standard Industrial</w:t>
            </w:r>
          </w:p>
        </w:tc>
        <w:tc>
          <w:tcPr>
            <w:tcW w:w="2120" w:type="dxa"/>
            <w:vAlign w:val="bottom"/>
          </w:tcPr>
          <w:p>
            <w:pPr>
              <w:jc w:val="center"/>
              <w:ind w:left="1160"/>
              <w:spacing w:after="0" w:line="122" w:lineRule="exact"/>
              <w:rPr>
                <w:sz w:val="20"/>
                <w:szCs w:val="20"/>
                <w:color w:val="auto"/>
              </w:rPr>
            </w:pPr>
            <w:r>
              <w:rPr>
                <w:rFonts w:ascii="Arial" w:cs="Arial" w:eastAsia="Arial" w:hAnsi="Arial"/>
                <w:sz w:val="11"/>
                <w:szCs w:val="11"/>
                <w:b w:val="1"/>
                <w:bCs w:val="1"/>
                <w:color w:val="auto"/>
                <w:w w:val="97"/>
              </w:rPr>
              <w:t>(I.R.S. Employer</w:t>
            </w:r>
          </w:p>
        </w:tc>
      </w:tr>
      <w:tr>
        <w:trPr>
          <w:trHeight w:val="148"/>
        </w:trPr>
        <w:tc>
          <w:tcPr>
            <w:tcW w:w="2660" w:type="dxa"/>
            <w:vAlign w:val="bottom"/>
          </w:tcPr>
          <w:p>
            <w:pPr>
              <w:jc w:val="center"/>
              <w:ind w:right="1060"/>
              <w:spacing w:after="0"/>
              <w:rPr>
                <w:sz w:val="20"/>
                <w:szCs w:val="20"/>
                <w:color w:val="auto"/>
              </w:rPr>
            </w:pPr>
            <w:r>
              <w:rPr>
                <w:rFonts w:ascii="Arial" w:cs="Arial" w:eastAsia="Arial" w:hAnsi="Arial"/>
                <w:sz w:val="11"/>
                <w:szCs w:val="11"/>
                <w:b w:val="1"/>
                <w:bCs w:val="1"/>
                <w:color w:val="auto"/>
                <w:w w:val="98"/>
              </w:rPr>
              <w:t>incorporation or organization)</w:t>
            </w:r>
          </w:p>
        </w:tc>
        <w:tc>
          <w:tcPr>
            <w:tcW w:w="3820" w:type="dxa"/>
            <w:vAlign w:val="bottom"/>
          </w:tcPr>
          <w:p>
            <w:pPr>
              <w:jc w:val="center"/>
              <w:ind w:right="40"/>
              <w:spacing w:after="0"/>
              <w:rPr>
                <w:sz w:val="20"/>
                <w:szCs w:val="20"/>
                <w:color w:val="auto"/>
              </w:rPr>
            </w:pPr>
            <w:r>
              <w:rPr>
                <w:rFonts w:ascii="Arial" w:cs="Arial" w:eastAsia="Arial" w:hAnsi="Arial"/>
                <w:sz w:val="11"/>
                <w:szCs w:val="11"/>
                <w:b w:val="1"/>
                <w:bCs w:val="1"/>
                <w:color w:val="auto"/>
                <w:w w:val="98"/>
              </w:rPr>
              <w:t>Classification Code Number)</w:t>
            </w:r>
          </w:p>
        </w:tc>
        <w:tc>
          <w:tcPr>
            <w:tcW w:w="2120" w:type="dxa"/>
            <w:vAlign w:val="bottom"/>
          </w:tcPr>
          <w:p>
            <w:pPr>
              <w:jc w:val="center"/>
              <w:ind w:left="1160"/>
              <w:spacing w:after="0"/>
              <w:rPr>
                <w:sz w:val="20"/>
                <w:szCs w:val="20"/>
                <w:color w:val="auto"/>
              </w:rPr>
            </w:pPr>
            <w:r>
              <w:rPr>
                <w:rFonts w:ascii="Arial" w:cs="Arial" w:eastAsia="Arial" w:hAnsi="Arial"/>
                <w:sz w:val="11"/>
                <w:szCs w:val="11"/>
                <w:b w:val="1"/>
                <w:bCs w:val="1"/>
                <w:color w:val="auto"/>
                <w:w w:val="96"/>
              </w:rPr>
              <w:t>Identification No.)</w:t>
            </w:r>
          </w:p>
        </w:tc>
      </w:tr>
    </w:tbl>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9880 Campus Point Drive, Suite 120</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San Diego, CA 92121</w:t>
      </w:r>
    </w:p>
    <w:p>
      <w:pPr>
        <w:jc w:val="center"/>
        <w:ind w:right="-99"/>
        <w:spacing w:after="0" w:line="231" w:lineRule="auto"/>
        <w:rPr>
          <w:sz w:val="20"/>
          <w:szCs w:val="20"/>
          <w:color w:val="auto"/>
        </w:rPr>
      </w:pPr>
      <w:r>
        <w:rPr>
          <w:rFonts w:ascii="Arial" w:cs="Arial" w:eastAsia="Arial" w:hAnsi="Arial"/>
          <w:sz w:val="14"/>
          <w:szCs w:val="14"/>
          <w:b w:val="1"/>
          <w:bCs w:val="1"/>
          <w:color w:val="auto"/>
        </w:rPr>
        <w:t>(858) 766-9912</w:t>
      </w:r>
    </w:p>
    <w:p>
      <w:pPr>
        <w:jc w:val="center"/>
        <w:ind w:right="-99"/>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144780</wp:posOffset>
            </wp:positionV>
            <wp:extent cx="2314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Zachary Hornby</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Boundless Bio,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9880 Campus Point Drive, Suite 120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San Diego, CA 92121</w:t>
      </w:r>
    </w:p>
    <w:p>
      <w:pPr>
        <w:jc w:val="center"/>
        <w:ind w:right="-99"/>
        <w:spacing w:after="0" w:line="231" w:lineRule="auto"/>
        <w:rPr>
          <w:sz w:val="20"/>
          <w:szCs w:val="20"/>
          <w:color w:val="auto"/>
        </w:rPr>
      </w:pPr>
      <w:r>
        <w:rPr>
          <w:rFonts w:ascii="Arial" w:cs="Arial" w:eastAsia="Arial" w:hAnsi="Arial"/>
          <w:sz w:val="14"/>
          <w:szCs w:val="14"/>
          <w:b w:val="1"/>
          <w:bCs w:val="1"/>
          <w:color w:val="auto"/>
        </w:rPr>
        <w:t>(858) 766-9912</w:t>
      </w:r>
    </w:p>
    <w:p>
      <w:pPr>
        <w:jc w:val="center"/>
        <w:ind w:right="-99"/>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144780</wp:posOffset>
            </wp:positionV>
            <wp:extent cx="2314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41" w:lineRule="exact"/>
        <w:rPr>
          <w:sz w:val="24"/>
          <w:szCs w:val="24"/>
          <w:color w:val="auto"/>
        </w:rPr>
      </w:pPr>
    </w:p>
    <w:tbl>
      <w:tblPr>
        <w:tblLayout w:type="fixed"/>
        <w:tblInd w:w="120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4340" w:type="dxa"/>
            <w:vAlign w:val="bottom"/>
          </w:tcPr>
          <w:p>
            <w:pPr>
              <w:ind w:left="1780"/>
              <w:spacing w:after="0"/>
              <w:rPr>
                <w:sz w:val="20"/>
                <w:szCs w:val="20"/>
                <w:color w:val="auto"/>
              </w:rPr>
            </w:pPr>
            <w:r>
              <w:rPr>
                <w:rFonts w:ascii="Arial" w:cs="Arial" w:eastAsia="Arial" w:hAnsi="Arial"/>
                <w:sz w:val="14"/>
                <w:szCs w:val="14"/>
                <w:b w:val="1"/>
                <w:bCs w:val="1"/>
                <w:i w:val="1"/>
                <w:iCs w:val="1"/>
                <w:color w:val="auto"/>
              </w:rPr>
              <w:t>Copies to:</w:t>
            </w:r>
          </w:p>
        </w:tc>
        <w:tc>
          <w:tcPr>
            <w:tcW w:w="2460" w:type="dxa"/>
            <w:vAlign w:val="bottom"/>
          </w:tcPr>
          <w:p>
            <w:pPr>
              <w:spacing w:after="0"/>
              <w:rPr>
                <w:sz w:val="16"/>
                <w:szCs w:val="16"/>
                <w:color w:val="auto"/>
              </w:rPr>
            </w:pPr>
          </w:p>
        </w:tc>
      </w:tr>
      <w:tr>
        <w:trPr>
          <w:trHeight w:val="249"/>
        </w:trPr>
        <w:tc>
          <w:tcPr>
            <w:tcW w:w="2300" w:type="dxa"/>
            <w:vAlign w:val="bottom"/>
          </w:tcPr>
          <w:p>
            <w:pPr>
              <w:jc w:val="center"/>
              <w:ind w:right="648"/>
              <w:spacing w:after="0"/>
              <w:rPr>
                <w:sz w:val="20"/>
                <w:szCs w:val="20"/>
                <w:color w:val="auto"/>
              </w:rPr>
            </w:pPr>
            <w:r>
              <w:rPr>
                <w:rFonts w:ascii="Arial" w:cs="Arial" w:eastAsia="Arial" w:hAnsi="Arial"/>
                <w:sz w:val="14"/>
                <w:szCs w:val="14"/>
                <w:b w:val="1"/>
                <w:bCs w:val="1"/>
                <w:color w:val="auto"/>
              </w:rPr>
              <w:t>Cheston J. Larson</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Jessica Oien</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2300" w:type="dxa"/>
            <w:vAlign w:val="bottom"/>
          </w:tcPr>
          <w:p>
            <w:pPr>
              <w:jc w:val="center"/>
              <w:ind w:right="668"/>
              <w:spacing w:after="0"/>
              <w:rPr>
                <w:sz w:val="20"/>
                <w:szCs w:val="20"/>
                <w:color w:val="auto"/>
              </w:rPr>
            </w:pPr>
            <w:r>
              <w:rPr>
                <w:rFonts w:ascii="Arial" w:cs="Arial" w:eastAsia="Arial" w:hAnsi="Arial"/>
                <w:sz w:val="14"/>
                <w:szCs w:val="14"/>
                <w:b w:val="1"/>
                <w:bCs w:val="1"/>
                <w:color w:val="auto"/>
              </w:rPr>
              <w:t>Matthew T. Bush</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Chief Legal Officer and Corporate Secretary</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2300" w:type="dxa"/>
            <w:vAlign w:val="bottom"/>
          </w:tcPr>
          <w:p>
            <w:pPr>
              <w:jc w:val="center"/>
              <w:ind w:right="668"/>
              <w:spacing w:after="0"/>
              <w:rPr>
                <w:sz w:val="20"/>
                <w:szCs w:val="20"/>
                <w:color w:val="auto"/>
              </w:rPr>
            </w:pPr>
            <w:r>
              <w:rPr>
                <w:rFonts w:ascii="Arial" w:cs="Arial" w:eastAsia="Arial" w:hAnsi="Arial"/>
                <w:sz w:val="14"/>
                <w:szCs w:val="14"/>
                <w:b w:val="1"/>
                <w:bCs w:val="1"/>
                <w:color w:val="auto"/>
              </w:rPr>
              <w:t>Latham &amp; Watkins LLP</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Boundless Bio, Inc.</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Charles Bair</w:t>
            </w:r>
          </w:p>
        </w:tc>
      </w:tr>
      <w:tr>
        <w:trPr>
          <w:trHeight w:val="162"/>
        </w:trPr>
        <w:tc>
          <w:tcPr>
            <w:tcW w:w="2300" w:type="dxa"/>
            <w:vAlign w:val="bottom"/>
          </w:tcPr>
          <w:p>
            <w:pPr>
              <w:jc w:val="center"/>
              <w:ind w:right="668"/>
              <w:spacing w:after="0"/>
              <w:rPr>
                <w:sz w:val="20"/>
                <w:szCs w:val="20"/>
                <w:color w:val="auto"/>
              </w:rPr>
            </w:pPr>
            <w:r>
              <w:rPr>
                <w:rFonts w:ascii="Arial" w:cs="Arial" w:eastAsia="Arial" w:hAnsi="Arial"/>
                <w:sz w:val="14"/>
                <w:szCs w:val="14"/>
                <w:b w:val="1"/>
                <w:bCs w:val="1"/>
                <w:color w:val="auto"/>
              </w:rPr>
              <w:t>12670 High Bluff Drive</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9880 Campus Point Drive, Suite 120</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300" w:type="dxa"/>
            <w:vAlign w:val="bottom"/>
          </w:tcPr>
          <w:p>
            <w:pPr>
              <w:jc w:val="center"/>
              <w:ind w:right="648"/>
              <w:spacing w:after="0"/>
              <w:rPr>
                <w:sz w:val="20"/>
                <w:szCs w:val="20"/>
                <w:color w:val="auto"/>
              </w:rPr>
            </w:pPr>
            <w:r>
              <w:rPr>
                <w:rFonts w:ascii="Arial" w:cs="Arial" w:eastAsia="Arial" w:hAnsi="Arial"/>
                <w:sz w:val="14"/>
                <w:szCs w:val="14"/>
                <w:b w:val="1"/>
                <w:bCs w:val="1"/>
                <w:color w:val="auto"/>
              </w:rPr>
              <w:t>San Diego, CA 92130</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San Diego, CA 92121</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10265 Science Center Drive</w:t>
            </w:r>
          </w:p>
        </w:tc>
      </w:tr>
      <w:tr>
        <w:trPr>
          <w:trHeight w:val="162"/>
        </w:trPr>
        <w:tc>
          <w:tcPr>
            <w:tcW w:w="2300" w:type="dxa"/>
            <w:vAlign w:val="bottom"/>
          </w:tcPr>
          <w:p>
            <w:pPr>
              <w:jc w:val="center"/>
              <w:ind w:right="648"/>
              <w:spacing w:after="0"/>
              <w:rPr>
                <w:sz w:val="20"/>
                <w:szCs w:val="20"/>
                <w:color w:val="auto"/>
              </w:rPr>
            </w:pPr>
            <w:r>
              <w:rPr>
                <w:rFonts w:ascii="Arial" w:cs="Arial" w:eastAsia="Arial" w:hAnsi="Arial"/>
                <w:sz w:val="14"/>
                <w:szCs w:val="14"/>
                <w:b w:val="1"/>
                <w:bCs w:val="1"/>
                <w:color w:val="auto"/>
              </w:rPr>
              <w:t>(858) 523-5400</w:t>
            </w:r>
          </w:p>
        </w:tc>
        <w:tc>
          <w:tcPr>
            <w:tcW w:w="4340" w:type="dxa"/>
            <w:vAlign w:val="bottom"/>
          </w:tcPr>
          <w:p>
            <w:pPr>
              <w:jc w:val="center"/>
              <w:ind w:left="68"/>
              <w:spacing w:after="0"/>
              <w:rPr>
                <w:sz w:val="20"/>
                <w:szCs w:val="20"/>
                <w:color w:val="auto"/>
              </w:rPr>
            </w:pPr>
            <w:r>
              <w:rPr>
                <w:rFonts w:ascii="Arial" w:cs="Arial" w:eastAsia="Arial" w:hAnsi="Arial"/>
                <w:sz w:val="14"/>
                <w:szCs w:val="14"/>
                <w:b w:val="1"/>
                <w:bCs w:val="1"/>
                <w:color w:val="auto"/>
              </w:rPr>
              <w:t>(858) 766-9912</w:t>
            </w: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San Diego, CA 92121</w:t>
            </w:r>
          </w:p>
        </w:tc>
      </w:tr>
      <w:tr>
        <w:trPr>
          <w:trHeight w:val="196"/>
        </w:trPr>
        <w:tc>
          <w:tcPr>
            <w:tcW w:w="23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60" w:type="dxa"/>
            <w:vAlign w:val="bottom"/>
          </w:tcPr>
          <w:p>
            <w:pPr>
              <w:jc w:val="center"/>
              <w:ind w:left="528"/>
              <w:spacing w:after="0"/>
              <w:rPr>
                <w:sz w:val="20"/>
                <w:szCs w:val="20"/>
                <w:color w:val="auto"/>
              </w:rPr>
            </w:pPr>
            <w:r>
              <w:rPr>
                <w:rFonts w:ascii="Arial" w:cs="Arial" w:eastAsia="Arial" w:hAnsi="Arial"/>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61595</wp:posOffset>
            </wp:positionV>
            <wp:extent cx="2314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78" w:lineRule="exact"/>
        <w:rPr>
          <w:sz w:val="24"/>
          <w:szCs w:val="24"/>
          <w:color w:val="auto"/>
        </w:rPr>
      </w:pPr>
    </w:p>
    <w:p>
      <w:pPr>
        <w:ind w:left="6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34" w:lineRule="exact"/>
        <w:rPr>
          <w:sz w:val="24"/>
          <w:szCs w:val="24"/>
          <w:color w:val="auto"/>
        </w:rPr>
      </w:pPr>
    </w:p>
    <w:p>
      <w:pPr>
        <w:ind w:left="120" w:right="100" w:firstLine="551"/>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0" w:right="260" w:firstLine="551"/>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0" w:right="260" w:firstLine="551"/>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0" w:right="140" w:firstLine="551"/>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213"/>
        </w:trPr>
        <w:tc>
          <w:tcPr>
            <w:tcW w:w="21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40" w:type="dxa"/>
            <w:vAlign w:val="bottom"/>
          </w:tcPr>
          <w:p>
            <w:pPr>
              <w:ind w:left="88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260"/>
              <w:spacing w:after="0"/>
              <w:rPr>
                <w:sz w:val="20"/>
                <w:szCs w:val="20"/>
                <w:color w:val="auto"/>
              </w:rPr>
            </w:pPr>
            <w:r>
              <w:rPr>
                <w:rFonts w:ascii="Arial" w:cs="Arial" w:eastAsia="Arial" w:hAnsi="Arial"/>
                <w:sz w:val="13"/>
                <w:szCs w:val="13"/>
                <w:color w:val="auto"/>
              </w:rPr>
              <w:t>Accelerated filer</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2120" w:type="dxa"/>
            <w:vAlign w:val="bottom"/>
          </w:tcPr>
          <w:p>
            <w:pPr>
              <w:spacing w:after="0"/>
              <w:rPr>
                <w:sz w:val="20"/>
                <w:szCs w:val="20"/>
                <w:color w:val="auto"/>
              </w:rPr>
            </w:pPr>
            <w:r>
              <w:rPr>
                <w:rFonts w:ascii="Arial" w:cs="Arial" w:eastAsia="Arial" w:hAnsi="Arial"/>
                <w:sz w:val="13"/>
                <w:szCs w:val="13"/>
                <w:color w:val="auto"/>
              </w:rPr>
              <w:t>Non-accelerated filer</w:t>
            </w:r>
          </w:p>
        </w:tc>
        <w:tc>
          <w:tcPr>
            <w:tcW w:w="3240" w:type="dxa"/>
            <w:vAlign w:val="bottom"/>
          </w:tcPr>
          <w:p>
            <w:pPr>
              <w:ind w:left="88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260"/>
              <w:spacing w:after="0"/>
              <w:rPr>
                <w:sz w:val="20"/>
                <w:szCs w:val="20"/>
                <w:color w:val="auto"/>
              </w:rPr>
            </w:pPr>
            <w:r>
              <w:rPr>
                <w:rFonts w:ascii="Arial" w:cs="Arial" w:eastAsia="Arial" w:hAnsi="Arial"/>
                <w:sz w:val="13"/>
                <w:szCs w:val="13"/>
                <w:color w:val="auto"/>
              </w:rPr>
              <w:t>Smaller reporting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2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640" w:type="dxa"/>
            <w:vAlign w:val="bottom"/>
          </w:tcPr>
          <w:p>
            <w:pPr>
              <w:ind w:left="2260"/>
              <w:spacing w:after="0"/>
              <w:rPr>
                <w:sz w:val="20"/>
                <w:szCs w:val="20"/>
                <w:color w:val="auto"/>
              </w:rPr>
            </w:pPr>
            <w:r>
              <w:rPr>
                <w:rFonts w:ascii="Arial" w:cs="Arial" w:eastAsia="Arial" w:hAnsi="Arial"/>
                <w:sz w:val="13"/>
                <w:szCs w:val="13"/>
                <w:color w:val="auto"/>
              </w:rPr>
              <w:t>Emerging growth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 w:lineRule="exact"/>
        <w:rPr>
          <w:sz w:val="24"/>
          <w:szCs w:val="24"/>
          <w:color w:val="auto"/>
        </w:rPr>
      </w:pPr>
    </w:p>
    <w:p>
      <w:pPr>
        <w:ind w:left="120" w:right="260" w:firstLine="551"/>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127000</wp:posOffset>
            </wp:positionV>
            <wp:extent cx="2314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83" w:lineRule="exact"/>
        <w:rPr>
          <w:sz w:val="24"/>
          <w:szCs w:val="24"/>
          <w:color w:val="auto"/>
        </w:rPr>
      </w:pPr>
    </w:p>
    <w:p>
      <w:pPr>
        <w:ind w:left="120" w:right="240" w:firstLine="551"/>
        <w:spacing w:after="0" w:line="236"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84" w:lineRule="exact"/>
        <w:rPr>
          <w:sz w:val="20"/>
          <w:szCs w:val="20"/>
          <w:color w:val="auto"/>
        </w:rPr>
      </w:pPr>
    </w:p>
    <w:tbl>
      <w:tblPr>
        <w:tblLayout w:type="fixed"/>
        <w:tblInd w:w="3780" w:type="dxa"/>
        <w:tblCellMar>
          <w:top w:w="0" w:type="dxa"/>
          <w:left w:w="0" w:type="dxa"/>
          <w:bottom w:w="0" w:type="dxa"/>
          <w:right w:w="0" w:type="dxa"/>
        </w:tblCellMar>
      </w:tblPr>
      <w:tr>
        <w:trPr>
          <w:trHeight w:val="239"/>
        </w:trPr>
        <w:tc>
          <w:tcPr>
            <w:tcW w:w="2760" w:type="dxa"/>
            <w:vAlign w:val="bottom"/>
          </w:tcPr>
          <w:p>
            <w:pPr>
              <w:spacing w:after="0"/>
              <w:rPr>
                <w:sz w:val="20"/>
                <w:szCs w:val="20"/>
                <w:color w:val="auto"/>
              </w:rPr>
            </w:pPr>
            <w:r>
              <w:rPr>
                <w:rFonts w:ascii="Arial" w:cs="Arial" w:eastAsia="Arial" w:hAnsi="Arial"/>
                <w:sz w:val="18"/>
                <w:szCs w:val="18"/>
                <w:color w:val="EB0029"/>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color w:val="EB0029"/>
              </w:rPr>
              <w:t>, 2024</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EB0029"/>
        </w:rPr>
        <w:t>PRELIMINARY PROSPECTUS</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174625</wp:posOffset>
            </wp:positionV>
            <wp:extent cx="340296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2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243205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8440" w:val="left"/>
        </w:tabs>
        <w:rPr>
          <w:sz w:val="20"/>
          <w:szCs w:val="20"/>
          <w:color w:val="auto"/>
        </w:rPr>
      </w:pPr>
      <w:r>
        <w:rPr>
          <w:rFonts w:ascii="Arial" w:cs="Arial" w:eastAsia="Arial" w:hAnsi="Arial"/>
          <w:sz w:val="16"/>
          <w:szCs w:val="16"/>
          <w:color w:val="auto"/>
        </w:rPr>
        <w:t>This is the initial public offering of shares of common stock by Boundless Bio, Inc. We are offering</w:t>
      </w:r>
      <w:r>
        <w:rPr>
          <w:sz w:val="20"/>
          <w:szCs w:val="20"/>
          <w:color w:val="auto"/>
        </w:rPr>
        <w:tab/>
      </w:r>
      <w:r>
        <w:rPr>
          <w:rFonts w:ascii="Arial" w:cs="Arial" w:eastAsia="Arial" w:hAnsi="Arial"/>
          <w:sz w:val="16"/>
          <w:szCs w:val="16"/>
          <w:color w:val="auto"/>
        </w:rPr>
        <w:t>shares of our common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this offering, there has been no public market for our common stock. It is currently estimated that the initial public offering price will be</w:t>
      </w:r>
    </w:p>
    <w:p>
      <w:pPr>
        <w:spacing w:after="0" w:line="21" w:lineRule="exact"/>
        <w:rPr>
          <w:sz w:val="20"/>
          <w:szCs w:val="20"/>
          <w:color w:val="auto"/>
        </w:rPr>
      </w:pPr>
    </w:p>
    <w:p>
      <w:pPr>
        <w:ind w:left="120" w:right="240"/>
        <w:spacing w:after="0" w:line="265" w:lineRule="auto"/>
        <w:rPr>
          <w:sz w:val="20"/>
          <w:szCs w:val="20"/>
          <w:color w:val="auto"/>
        </w:rPr>
      </w:pPr>
      <w:r>
        <w:rPr>
          <w:rFonts w:ascii="Arial" w:cs="Arial" w:eastAsia="Arial" w:hAnsi="Arial"/>
          <w:sz w:val="16"/>
          <w:szCs w:val="16"/>
          <w:color w:val="auto"/>
        </w:rPr>
        <w:t>between $ and $ per share. We have applied to list our common stock on the Nasdaq Global Market under the symbol “BOLD,” and this offering is contingent upon obtaining such approval.</w:t>
      </w:r>
    </w:p>
    <w:p>
      <w:pPr>
        <w:spacing w:after="0" w:line="172" w:lineRule="exact"/>
        <w:rPr>
          <w:sz w:val="20"/>
          <w:szCs w:val="20"/>
          <w:color w:val="auto"/>
        </w:rPr>
      </w:pPr>
    </w:p>
    <w:p>
      <w:pPr>
        <w:ind w:left="120" w:right="500" w:firstLine="551"/>
        <w:spacing w:after="0" w:line="286" w:lineRule="auto"/>
        <w:rPr>
          <w:sz w:val="20"/>
          <w:szCs w:val="20"/>
          <w:color w:val="auto"/>
        </w:rPr>
      </w:pPr>
      <w:r>
        <w:rPr>
          <w:rFonts w:ascii="Arial" w:cs="Arial" w:eastAsia="Arial" w:hAnsi="Arial"/>
          <w:sz w:val="16"/>
          <w:szCs w:val="16"/>
          <w:color w:val="auto"/>
        </w:rPr>
        <w:t>We are an “emerging growth company” and a “smaller reporting company” as defined under U.S. federal securities laws and, as such, have elected to comply with certain reduced public company reporting requirements in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193675</wp:posOffset>
            </wp:positionV>
            <wp:extent cx="1817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See section titled “</w:t>
      </w:r>
      <w:r>
        <w:rPr>
          <w:rFonts w:ascii="Arial" w:cs="Arial" w:eastAsia="Arial" w:hAnsi="Arial"/>
          <w:sz w:val="16"/>
          <w:szCs w:val="16"/>
          <w:i w:val="1"/>
          <w:iCs w:val="1"/>
          <w:u w:val="single" w:color="auto"/>
          <w:color w:val="0000EE"/>
        </w:rPr>
        <w:t>Risk Factors</w:t>
      </w:r>
      <w:r>
        <w:rPr>
          <w:rFonts w:ascii="Arial" w:cs="Arial" w:eastAsia="Arial" w:hAnsi="Arial"/>
          <w:sz w:val="16"/>
          <w:szCs w:val="16"/>
          <w:i w:val="1"/>
          <w:iCs w:val="1"/>
          <w:color w:val="auto"/>
        </w:rPr>
        <w:t>” beginning on page 14 to read about factors you should consider before deciding to invest in shares of our common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224790</wp:posOffset>
            </wp:positionV>
            <wp:extent cx="1817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183515</wp:posOffset>
            </wp:positionV>
            <wp:extent cx="1817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17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Per Share</w:t>
            </w:r>
          </w:p>
        </w:tc>
        <w:tc>
          <w:tcPr>
            <w:tcW w:w="680" w:type="dxa"/>
            <w:vAlign w:val="bottom"/>
          </w:tcPr>
          <w:p>
            <w:pPr>
              <w:spacing w:after="0"/>
              <w:rPr>
                <w:sz w:val="19"/>
                <w:szCs w:val="19"/>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Total</w:t>
            </w:r>
          </w:p>
        </w:tc>
      </w:tr>
      <w:tr>
        <w:trPr>
          <w:trHeight w:val="223"/>
        </w:trPr>
        <w:tc>
          <w:tcPr>
            <w:tcW w:w="7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4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7640" w:type="dxa"/>
            <w:vAlign w:val="bottom"/>
            <w:gridSpan w:val="2"/>
          </w:tcPr>
          <w:p>
            <w:pPr>
              <w:spacing w:after="0" w:line="23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1680" w:type="dxa"/>
            <w:vAlign w:val="bottom"/>
            <w:gridSpan w:val="2"/>
          </w:tcPr>
          <w:p>
            <w:pPr>
              <w:jc w:val="right"/>
              <w:ind w:right="1033"/>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Boundless Bio, Inc.</w:t>
            </w:r>
          </w:p>
        </w:tc>
        <w:tc>
          <w:tcPr>
            <w:tcW w:w="1680" w:type="dxa"/>
            <w:vAlign w:val="bottom"/>
            <w:gridSpan w:val="2"/>
            <w:shd w:val="clear" w:color="auto" w:fill="CCEEFF"/>
          </w:tcPr>
          <w:p>
            <w:pPr>
              <w:jc w:val="right"/>
              <w:ind w:right="1033"/>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148"/>
        </w:trPr>
        <w:tc>
          <w:tcPr>
            <w:tcW w:w="1760" w:type="dxa"/>
            <w:vAlign w:val="bottom"/>
            <w:tcBorders>
              <w:bottom w:val="single" w:sz="8" w:color="auto"/>
            </w:tcBorders>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1"/>
        </w:trPr>
        <w:tc>
          <w:tcPr>
            <w:tcW w:w="7640" w:type="dxa"/>
            <w:vAlign w:val="bottom"/>
            <w:gridSpan w:val="2"/>
          </w:tcPr>
          <w:p>
            <w:pPr>
              <w:spacing w:after="0"/>
              <w:rPr>
                <w:sz w:val="20"/>
                <w:szCs w:val="20"/>
                <w:color w:val="auto"/>
              </w:rPr>
            </w:pPr>
            <w:r>
              <w:rPr>
                <w:rFonts w:ascii="Arial" w:cs="Arial" w:eastAsia="Arial" w:hAnsi="Arial"/>
                <w:sz w:val="14"/>
                <w:szCs w:val="14"/>
                <w:color w:val="auto"/>
              </w:rPr>
              <w:t>(1) See the section titled “Underwriting” for a description of the compensation payable to the underwriters.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7640" w:type="dxa"/>
            <w:vAlign w:val="bottom"/>
            <w:gridSpan w:val="2"/>
          </w:tcPr>
          <w:p>
            <w:pPr>
              <w:ind w:left="540"/>
              <w:spacing w:after="0"/>
              <w:rPr>
                <w:sz w:val="20"/>
                <w:szCs w:val="20"/>
                <w:color w:val="auto"/>
              </w:rPr>
            </w:pPr>
            <w:r>
              <w:rPr>
                <w:rFonts w:ascii="Arial" w:cs="Arial" w:eastAsia="Arial" w:hAnsi="Arial"/>
                <w:sz w:val="16"/>
                <w:szCs w:val="16"/>
                <w:color w:val="auto"/>
              </w:rPr>
              <w:t>We have granted the underwriters an option for a period of 30 days to purchase up to an additional</w:t>
            </w:r>
          </w:p>
        </w:tc>
        <w:tc>
          <w:tcPr>
            <w:tcW w:w="46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6"/>
                <w:szCs w:val="16"/>
                <w:color w:val="auto"/>
              </w:rPr>
              <w:t>shares of our common stock at the</w:t>
            </w:r>
          </w:p>
        </w:tc>
      </w:tr>
      <w:tr>
        <w:trPr>
          <w:trHeight w:val="215"/>
        </w:trPr>
        <w:tc>
          <w:tcPr>
            <w:tcW w:w="7640" w:type="dxa"/>
            <w:vAlign w:val="bottom"/>
            <w:gridSpan w:val="2"/>
          </w:tcPr>
          <w:p>
            <w:pPr>
              <w:spacing w:after="0"/>
              <w:rPr>
                <w:sz w:val="20"/>
                <w:szCs w:val="20"/>
                <w:color w:val="auto"/>
              </w:rPr>
            </w:pPr>
            <w:r>
              <w:rPr>
                <w:rFonts w:ascii="Arial" w:cs="Arial" w:eastAsia="Arial" w:hAnsi="Arial"/>
                <w:sz w:val="16"/>
                <w:szCs w:val="16"/>
                <w:color w:val="auto"/>
              </w:rPr>
              <w:t>initial public offering price, less the underwriting discounts and commissions.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5"/>
        </w:trPr>
        <w:tc>
          <w:tcPr>
            <w:tcW w:w="7640" w:type="dxa"/>
            <w:vAlign w:val="bottom"/>
            <w:gridSpan w:val="2"/>
          </w:tcPr>
          <w:p>
            <w:pPr>
              <w:ind w:left="540"/>
              <w:spacing w:after="0"/>
              <w:rPr>
                <w:sz w:val="20"/>
                <w:szCs w:val="20"/>
                <w:color w:val="auto"/>
              </w:rPr>
            </w:pPr>
            <w:r>
              <w:rPr>
                <w:rFonts w:ascii="Arial" w:cs="Arial" w:eastAsia="Arial" w:hAnsi="Arial"/>
                <w:sz w:val="16"/>
                <w:szCs w:val="16"/>
                <w:color w:val="auto"/>
              </w:rPr>
              <w:t>The underwriters expect to deliver the shares against payment in New York, New York on</w:t>
            </w:r>
          </w:p>
        </w:tc>
        <w:tc>
          <w:tcPr>
            <w:tcW w:w="1680" w:type="dxa"/>
            <w:vAlign w:val="bottom"/>
            <w:gridSpan w:val="2"/>
          </w:tcPr>
          <w:p>
            <w:pPr>
              <w:jc w:val="right"/>
              <w:ind w:right="1093"/>
              <w:spacing w:after="0"/>
              <w:rPr>
                <w:sz w:val="20"/>
                <w:szCs w:val="20"/>
                <w:color w:val="auto"/>
              </w:rPr>
            </w:pPr>
            <w:r>
              <w:rPr>
                <w:rFonts w:ascii="Arial" w:cs="Arial" w:eastAsia="Arial" w:hAnsi="Arial"/>
                <w:sz w:val="16"/>
                <w:szCs w:val="16"/>
                <w:color w:val="auto"/>
                <w:w w:val="98"/>
              </w:rPr>
              <w:t>, 2024.</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215265</wp:posOffset>
            </wp:positionV>
            <wp:extent cx="1817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Leerink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Piper Sandler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Guggenheim Securities</w:t>
      </w:r>
    </w:p>
    <w:p>
      <w:pPr>
        <w:spacing w:after="0" w:line="200" w:lineRule="exact"/>
        <w:rPr>
          <w:sz w:val="20"/>
          <w:szCs w:val="20"/>
          <w:color w:val="auto"/>
        </w:rPr>
      </w:pPr>
    </w:p>
    <w:p>
      <w:pPr>
        <w:sectPr>
          <w:pgSz w:w="11900" w:h="16838" w:orient="portrait"/>
          <w:cols w:equalWidth="0" w:num="4">
            <w:col w:w="3420" w:space="720"/>
            <w:col w:w="1620" w:space="720"/>
            <w:col w:w="1340" w:space="720"/>
            <w:col w:w="2600"/>
          </w:cols>
          <w:pgMar w:left="320" w:top="455" w:right="439" w:bottom="1440" w:gutter="0" w:footer="0" w:header="0"/>
          <w:type w:val="continuous"/>
        </w:sectPr>
      </w:pPr>
    </w:p>
    <w:p>
      <w:pPr>
        <w:spacing w:after="0" w:line="23"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2024</w:t>
      </w:r>
    </w:p>
    <w:p>
      <w:pPr>
        <w:sectPr>
          <w:pgSz w:w="11900" w:h="16838" w:orient="portrait"/>
          <w:cols w:equalWidth="0" w:num="2">
            <w:col w:w="5660" w:space="720"/>
            <w:col w:w="476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40" w:type="dxa"/>
            <w:vAlign w:val="bottom"/>
            <w:gridSpan w:val="4"/>
          </w:tcPr>
          <w:p>
            <w:pPr>
              <w:ind w:left="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720" w:type="dxa"/>
            <w:vAlign w:val="bottom"/>
            <w:gridSpan w:val="9"/>
            <w:vMerge w:val="restart"/>
          </w:tcPr>
          <w:p>
            <w:pPr>
              <w:spacing w:after="0"/>
              <w:rPr>
                <w:sz w:val="20"/>
                <w:szCs w:val="20"/>
                <w:color w:val="auto"/>
              </w:rPr>
            </w:pPr>
            <w:r>
              <w:rPr>
                <w:rFonts w:ascii="Arial" w:cs="Arial" w:eastAsia="Arial" w:hAnsi="Arial"/>
                <w:sz w:val="18"/>
                <w:szCs w:val="18"/>
                <w:color w:val="0000EE"/>
                <w:w w:val="98"/>
              </w:rPr>
              <w:t>Prospectus Summary</w:t>
            </w:r>
          </w:p>
        </w:tc>
        <w:tc>
          <w:tcPr>
            <w:tcW w:w="1540" w:type="dxa"/>
            <w:vAlign w:val="bottom"/>
            <w:gridSpan w:val="8"/>
            <w:vMerge w:val="restart"/>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720" w:type="dxa"/>
            <w:vAlign w:val="bottom"/>
            <w:tcBorders>
              <w:bottom w:val="single" w:sz="8" w:color="0000EE"/>
            </w:tcBorders>
            <w:gridSpan w:val="9"/>
            <w:vMerge w:val="continue"/>
          </w:tcPr>
          <w:p>
            <w:pPr>
              <w:spacing w:after="0"/>
              <w:rPr>
                <w:sz w:val="13"/>
                <w:szCs w:val="13"/>
                <w:color w:val="auto"/>
              </w:rPr>
            </w:pPr>
          </w:p>
        </w:tc>
        <w:tc>
          <w:tcPr>
            <w:tcW w:w="1540" w:type="dxa"/>
            <w:vAlign w:val="bottom"/>
            <w:gridSpan w:val="8"/>
            <w:vMerge w:val="continue"/>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60" w:type="dxa"/>
            <w:vAlign w:val="bottom"/>
            <w:gridSpan w:val="17"/>
          </w:tcPr>
          <w:p>
            <w:pPr>
              <w:spacing w:after="0" w:line="196" w:lineRule="exact"/>
              <w:rPr>
                <w:sz w:val="20"/>
                <w:szCs w:val="20"/>
                <w:color w:val="auto"/>
              </w:rPr>
            </w:pPr>
            <w:r>
              <w:rPr>
                <w:rFonts w:ascii="Arial" w:cs="Arial" w:eastAsia="Arial" w:hAnsi="Arial"/>
                <w:sz w:val="18"/>
                <w:szCs w:val="18"/>
                <w:color w:val="0000EE"/>
              </w:rPr>
              <w:t>Risk Factors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0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Special Note</w:t>
            </w:r>
          </w:p>
        </w:tc>
        <w:tc>
          <w:tcPr>
            <w:tcW w:w="40" w:type="dxa"/>
            <w:vAlign w:val="bottom"/>
          </w:tcPr>
          <w:p>
            <w:pPr>
              <w:spacing w:after="0"/>
              <w:rPr>
                <w:sz w:val="15"/>
                <w:szCs w:val="15"/>
                <w:color w:val="auto"/>
              </w:rPr>
            </w:pPr>
          </w:p>
        </w:tc>
        <w:tc>
          <w:tcPr>
            <w:tcW w:w="9320" w:type="dxa"/>
            <w:vAlign w:val="bottom"/>
            <w:gridSpan w:val="20"/>
          </w:tcPr>
          <w:p>
            <w:pPr>
              <w:ind w:left="20"/>
              <w:spacing w:after="0" w:line="182" w:lineRule="exact"/>
              <w:rPr>
                <w:sz w:val="20"/>
                <w:szCs w:val="20"/>
                <w:color w:val="auto"/>
              </w:rPr>
            </w:pPr>
            <w:r>
              <w:rPr>
                <w:rFonts w:ascii="Arial" w:cs="Arial" w:eastAsia="Arial" w:hAnsi="Arial"/>
                <w:sz w:val="18"/>
                <w:szCs w:val="18"/>
                <w:color w:val="0000EE"/>
              </w:rPr>
              <w:t>Regarding Forward-Looking Statements</w:t>
            </w: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Market and Industry Data</w:t>
            </w:r>
          </w:p>
        </w:tc>
        <w:tc>
          <w:tcPr>
            <w:tcW w:w="100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Use of Proceeds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Dividend Policy</w:t>
            </w:r>
          </w:p>
        </w:tc>
        <w:tc>
          <w:tcPr>
            <w:tcW w:w="460" w:type="dxa"/>
            <w:vAlign w:val="bottom"/>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12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Capitalization</w:t>
            </w:r>
          </w:p>
        </w:tc>
        <w:tc>
          <w:tcPr>
            <w:tcW w:w="560" w:type="dxa"/>
            <w:vAlign w:val="bottom"/>
            <w:gridSpan w:val="3"/>
          </w:tcPr>
          <w:p>
            <w:pPr>
              <w:spacing w:after="0"/>
              <w:rPr>
                <w:sz w:val="15"/>
                <w:szCs w:val="15"/>
                <w:color w:val="auto"/>
              </w:rPr>
            </w:pPr>
          </w:p>
        </w:tc>
        <w:tc>
          <w:tcPr>
            <w:tcW w:w="4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6"/>
              </w:rPr>
              <w:t>Dilution</w:t>
            </w:r>
          </w:p>
        </w:tc>
        <w:tc>
          <w:tcPr>
            <w:tcW w:w="4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spacing w:after="0"/>
              <w:rPr>
                <w:sz w:val="15"/>
                <w:szCs w:val="15"/>
                <w:color w:val="auto"/>
              </w:rPr>
            </w:pPr>
          </w:p>
        </w:tc>
        <w:tc>
          <w:tcPr>
            <w:tcW w:w="4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0360" w:type="dxa"/>
            <w:vAlign w:val="bottom"/>
            <w:gridSpan w:val="24"/>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Business</w:t>
            </w:r>
          </w:p>
        </w:tc>
        <w:tc>
          <w:tcPr>
            <w:tcW w:w="10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line="20" w:lineRule="exact"/>
              <w:rPr>
                <w:sz w:val="1"/>
                <w:szCs w:val="1"/>
                <w:color w:val="auto"/>
              </w:rPr>
            </w:pPr>
          </w:p>
        </w:tc>
      </w:tr>
      <w:tr>
        <w:trPr>
          <w:trHeight w:val="182"/>
        </w:trPr>
        <w:tc>
          <w:tcPr>
            <w:tcW w:w="3260" w:type="dxa"/>
            <w:vAlign w:val="bottom"/>
            <w:gridSpan w:val="17"/>
          </w:tcPr>
          <w:p>
            <w:pPr>
              <w:spacing w:after="0" w:line="182" w:lineRule="exact"/>
              <w:rPr>
                <w:sz w:val="20"/>
                <w:szCs w:val="20"/>
                <w:color w:val="auto"/>
              </w:rPr>
            </w:pPr>
            <w:r>
              <w:rPr>
                <w:rFonts w:ascii="Arial" w:cs="Arial" w:eastAsia="Arial" w:hAnsi="Arial"/>
                <w:sz w:val="18"/>
                <w:szCs w:val="18"/>
                <w:color w:val="0000EE"/>
              </w:rPr>
              <w:t>Management</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line="20" w:lineRule="exact"/>
              <w:rPr>
                <w:sz w:val="1"/>
                <w:szCs w:val="1"/>
                <w:color w:val="auto"/>
              </w:rPr>
            </w:pPr>
          </w:p>
        </w:tc>
      </w:tr>
      <w:tr>
        <w:trPr>
          <w:trHeight w:val="183"/>
        </w:trPr>
        <w:tc>
          <w:tcPr>
            <w:tcW w:w="302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Executive and Director Compensation</w:t>
            </w:r>
          </w:p>
        </w:tc>
        <w:tc>
          <w:tcPr>
            <w:tcW w:w="2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360" w:type="dxa"/>
            <w:vAlign w:val="bottom"/>
            <w:gridSpan w:val="24"/>
          </w:tcPr>
          <w:p>
            <w:pPr>
              <w:spacing w:after="0" w:line="182" w:lineRule="exact"/>
              <w:rPr>
                <w:sz w:val="20"/>
                <w:szCs w:val="20"/>
                <w:color w:val="auto"/>
              </w:rPr>
            </w:pPr>
            <w:r>
              <w:rPr>
                <w:rFonts w:ascii="Arial" w:cs="Arial" w:eastAsia="Arial" w:hAnsi="Arial"/>
                <w:sz w:val="18"/>
                <w:szCs w:val="18"/>
                <w:color w:val="0000EE"/>
              </w:rPr>
              <w:t>Certain Relationships and Related Person Transactions</w:t>
            </w: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Principal Stockholders</w:t>
            </w:r>
          </w:p>
        </w:tc>
        <w:tc>
          <w:tcPr>
            <w:tcW w:w="10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Description of Capital</w:t>
            </w:r>
          </w:p>
        </w:tc>
        <w:tc>
          <w:tcPr>
            <w:tcW w:w="1480" w:type="dxa"/>
            <w:vAlign w:val="bottom"/>
            <w:gridSpan w:val="7"/>
          </w:tcPr>
          <w:p>
            <w:pPr>
              <w:spacing w:after="0" w:line="182" w:lineRule="exact"/>
              <w:rPr>
                <w:sz w:val="20"/>
                <w:szCs w:val="20"/>
                <w:color w:val="auto"/>
              </w:rPr>
            </w:pPr>
            <w:r>
              <w:rPr>
                <w:rFonts w:ascii="Arial" w:cs="Arial" w:eastAsia="Arial" w:hAnsi="Arial"/>
                <w:sz w:val="18"/>
                <w:szCs w:val="18"/>
                <w:color w:val="0000EE"/>
              </w:rPr>
              <w:t>Stock</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3"/>
        </w:trPr>
        <w:tc>
          <w:tcPr>
            <w:tcW w:w="22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Shares Eligible For Future</w:t>
            </w:r>
          </w:p>
        </w:tc>
        <w:tc>
          <w:tcPr>
            <w:tcW w:w="1060" w:type="dxa"/>
            <w:vAlign w:val="bottom"/>
            <w:gridSpan w:val="5"/>
          </w:tcPr>
          <w:p>
            <w:pPr>
              <w:spacing w:after="0" w:line="182" w:lineRule="exact"/>
              <w:rPr>
                <w:sz w:val="20"/>
                <w:szCs w:val="20"/>
                <w:color w:val="auto"/>
              </w:rPr>
            </w:pPr>
            <w:r>
              <w:rPr>
                <w:rFonts w:ascii="Arial" w:cs="Arial" w:eastAsia="Arial" w:hAnsi="Arial"/>
                <w:sz w:val="18"/>
                <w:szCs w:val="18"/>
                <w:color w:val="0000EE"/>
              </w:rPr>
              <w:t>Sale</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83"/>
        </w:trPr>
        <w:tc>
          <w:tcPr>
            <w:tcW w:w="25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Material United States Federal</w:t>
            </w:r>
          </w:p>
        </w:tc>
        <w:tc>
          <w:tcPr>
            <w:tcW w:w="7860" w:type="dxa"/>
            <w:vAlign w:val="bottom"/>
            <w:gridSpan w:val="10"/>
          </w:tcPr>
          <w:p>
            <w:pPr>
              <w:spacing w:after="0" w:line="182" w:lineRule="exact"/>
              <w:rPr>
                <w:sz w:val="20"/>
                <w:szCs w:val="20"/>
                <w:color w:val="auto"/>
              </w:rPr>
            </w:pPr>
            <w:r>
              <w:rPr>
                <w:rFonts w:ascii="Arial" w:cs="Arial" w:eastAsia="Arial" w:hAnsi="Arial"/>
                <w:sz w:val="18"/>
                <w:szCs w:val="18"/>
                <w:color w:val="0000EE"/>
              </w:rPr>
              <w:t>Income Tax Consequences to Non-U.S. Holders</w:t>
            </w: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Underwriting</w:t>
            </w:r>
          </w:p>
        </w:tc>
        <w:tc>
          <w:tcPr>
            <w:tcW w:w="10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83"/>
        </w:trPr>
        <w:tc>
          <w:tcPr>
            <w:tcW w:w="10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1"/>
              </w:rPr>
              <w:t>Legal Matters</w:t>
            </w:r>
          </w:p>
        </w:tc>
        <w:tc>
          <w:tcPr>
            <w:tcW w:w="60" w:type="dxa"/>
            <w:vAlign w:val="bottom"/>
            <w:tcBorders>
              <w:bottom w:val="single" w:sz="8" w:color="0000EE"/>
            </w:tcBorders>
            <w:gridSpan w:val="2"/>
          </w:tcPr>
          <w:p>
            <w:pPr>
              <w:spacing w:after="0"/>
              <w:rPr>
                <w:sz w:val="15"/>
                <w:szCs w:val="15"/>
                <w:color w:val="auto"/>
              </w:rPr>
            </w:pPr>
          </w:p>
        </w:tc>
        <w:tc>
          <w:tcPr>
            <w:tcW w:w="1260" w:type="dxa"/>
            <w:vAlign w:val="bottom"/>
            <w:gridSpan w:val="7"/>
          </w:tcPr>
          <w:p>
            <w:pPr>
              <w:spacing w:after="0"/>
              <w:rPr>
                <w:sz w:val="15"/>
                <w:szCs w:val="15"/>
                <w:color w:val="auto"/>
              </w:rPr>
            </w:pPr>
          </w:p>
        </w:tc>
        <w:tc>
          <w:tcPr>
            <w:tcW w:w="7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83"/>
        </w:trPr>
        <w:tc>
          <w:tcPr>
            <w:tcW w:w="1100" w:type="dxa"/>
            <w:vAlign w:val="bottom"/>
            <w:gridSpan w:val="6"/>
          </w:tcPr>
          <w:p>
            <w:pPr>
              <w:spacing w:after="0" w:line="182" w:lineRule="exact"/>
              <w:rPr>
                <w:sz w:val="20"/>
                <w:szCs w:val="20"/>
                <w:color w:val="auto"/>
              </w:rPr>
            </w:pPr>
            <w:r>
              <w:rPr>
                <w:rFonts w:ascii="Arial" w:cs="Arial" w:eastAsia="Arial" w:hAnsi="Arial"/>
                <w:sz w:val="18"/>
                <w:szCs w:val="18"/>
                <w:color w:val="0000EE"/>
              </w:rPr>
              <w:t>Experts</w:t>
            </w:r>
          </w:p>
        </w:tc>
        <w:tc>
          <w:tcPr>
            <w:tcW w:w="1260" w:type="dxa"/>
            <w:vAlign w:val="bottom"/>
            <w:gridSpan w:val="7"/>
          </w:tcPr>
          <w:p>
            <w:pPr>
              <w:spacing w:after="0"/>
              <w:rPr>
                <w:sz w:val="15"/>
                <w:szCs w:val="15"/>
                <w:color w:val="auto"/>
              </w:rPr>
            </w:pPr>
          </w:p>
        </w:tc>
        <w:tc>
          <w:tcPr>
            <w:tcW w:w="7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2660" w:type="dxa"/>
            <w:vAlign w:val="bottom"/>
            <w:gridSpan w:val="16"/>
          </w:tcPr>
          <w:p>
            <w:pPr>
              <w:spacing w:after="0" w:line="182" w:lineRule="exact"/>
              <w:rPr>
                <w:sz w:val="20"/>
                <w:szCs w:val="20"/>
                <w:color w:val="auto"/>
              </w:rPr>
            </w:pPr>
            <w:r>
              <w:rPr>
                <w:rFonts w:ascii="Arial" w:cs="Arial" w:eastAsia="Arial" w:hAnsi="Arial"/>
                <w:sz w:val="18"/>
                <w:szCs w:val="18"/>
                <w:color w:val="0000EE"/>
              </w:rPr>
              <w:t>You Can Find More Information</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83"/>
        </w:trPr>
        <w:tc>
          <w:tcPr>
            <w:tcW w:w="30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Index to Financial Statements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2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31"/>
        </w:trPr>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260" w:type="dxa"/>
            <w:vAlign w:val="bottom"/>
            <w:gridSpan w:val="17"/>
          </w:tcPr>
          <w:p>
            <w:pPr>
              <w:ind w:left="440"/>
              <w:spacing w:after="0"/>
              <w:rPr>
                <w:sz w:val="20"/>
                <w:szCs w:val="20"/>
                <w:color w:val="auto"/>
              </w:rPr>
            </w:pPr>
            <w:r>
              <w:rPr>
                <w:rFonts w:ascii="Arial" w:cs="Arial" w:eastAsia="Arial" w:hAnsi="Arial"/>
                <w:sz w:val="18"/>
                <w:szCs w:val="18"/>
                <w:b w:val="1"/>
                <w:bCs w:val="1"/>
                <w:color w:val="auto"/>
              </w:rPr>
              <w:t>Through and including</w:t>
            </w:r>
          </w:p>
        </w:tc>
        <w:tc>
          <w:tcPr>
            <w:tcW w:w="7720" w:type="dxa"/>
            <w:vAlign w:val="bottom"/>
            <w:gridSpan w:val="9"/>
          </w:tcPr>
          <w:p>
            <w:pPr>
              <w:ind w:left="180"/>
              <w:spacing w:after="0"/>
              <w:rPr>
                <w:sz w:val="20"/>
                <w:szCs w:val="20"/>
                <w:color w:val="auto"/>
              </w:rPr>
            </w:pPr>
            <w:r>
              <w:rPr>
                <w:rFonts w:ascii="Arial" w:cs="Arial" w:eastAsia="Arial" w:hAnsi="Arial"/>
                <w:sz w:val="18"/>
                <w:szCs w:val="18"/>
                <w:b w:val="1"/>
                <w:bCs w:val="1"/>
                <w:color w:val="auto"/>
              </w:rPr>
              <w:t>, 2024 (the 25th day after the date of this prospectus), all dealers that buy, sell or trade</w:t>
            </w:r>
          </w:p>
        </w:tc>
        <w:tc>
          <w:tcPr>
            <w:tcW w:w="0" w:type="dxa"/>
            <w:vAlign w:val="bottom"/>
          </w:tcPr>
          <w:p>
            <w:pPr>
              <w:spacing w:after="0"/>
              <w:rPr>
                <w:sz w:val="1"/>
                <w:szCs w:val="1"/>
                <w:color w:val="auto"/>
              </w:rPr>
            </w:pPr>
          </w:p>
        </w:tc>
      </w:tr>
    </w:tbl>
    <w:p>
      <w:pPr>
        <w:jc w:val="both"/>
        <w:ind w:left="120" w:right="20"/>
        <w:spacing w:after="0" w:line="247" w:lineRule="auto"/>
        <w:rPr>
          <w:sz w:val="20"/>
          <w:szCs w:val="20"/>
          <w:color w:val="auto"/>
        </w:rPr>
      </w:pPr>
      <w:r>
        <w:rPr>
          <w:rFonts w:ascii="Arial" w:cs="Arial" w:eastAsia="Arial" w:hAnsi="Arial"/>
          <w:sz w:val="18"/>
          <w:szCs w:val="18"/>
          <w:b w:val="1"/>
          <w:bCs w:val="1"/>
          <w:color w:val="auto"/>
        </w:rPr>
        <w:t>shares of our common stock, whether or not participating in this offering, may be required to deliver a prospectus. This delivery requirement is in addition to the dealer’s obligation to deliver a prospectus when acting as an underwriter and with respect to an unsold allotment or subscription.</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44" w:lineRule="exact"/>
        <w:rPr>
          <w:sz w:val="20"/>
          <w:szCs w:val="20"/>
          <w:color w:val="auto"/>
        </w:rPr>
      </w:pPr>
    </w:p>
    <w:p>
      <w:pPr>
        <w:ind w:left="120" w:right="300" w:firstLine="551"/>
        <w:spacing w:after="0" w:line="244"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“Boundless,” the “Company,” “we,” “us,” and “our” refer to Boundless Bio, Inc. In addition, in this prospectus we refer to our ecDNA-directed therapeutic candidates as “ecDTx,” which are under clinical or preclinical investigation and which have not yet been approved for marketing by the U.S. Food and Drug Administration (FDA) or any other regulatory authority.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right="240" w:firstLine="532"/>
        <w:spacing w:after="0" w:line="244" w:lineRule="auto"/>
        <w:rPr>
          <w:sz w:val="20"/>
          <w:szCs w:val="20"/>
          <w:color w:val="auto"/>
        </w:rPr>
      </w:pPr>
      <w:r>
        <w:rPr>
          <w:rFonts w:ascii="Arial" w:cs="Arial" w:eastAsia="Arial" w:hAnsi="Arial"/>
          <w:sz w:val="18"/>
          <w:szCs w:val="18"/>
          <w:color w:val="auto"/>
        </w:rPr>
        <w:t>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w:t>
      </w:r>
    </w:p>
    <w:p>
      <w:pPr>
        <w:spacing w:after="0" w:line="136"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w:t>
      </w:r>
    </w:p>
    <w:p>
      <w:pPr>
        <w:spacing w:after="0" w:line="162" w:lineRule="exact"/>
        <w:rPr>
          <w:sz w:val="20"/>
          <w:szCs w:val="20"/>
          <w:color w:val="auto"/>
        </w:rPr>
      </w:pPr>
    </w:p>
    <w:p>
      <w:pPr>
        <w:ind w:left="300" w:firstLine="532"/>
        <w:spacing w:after="0" w:line="253" w:lineRule="auto"/>
        <w:rPr>
          <w:sz w:val="20"/>
          <w:szCs w:val="20"/>
          <w:color w:val="auto"/>
        </w:rPr>
      </w:pPr>
      <w:r>
        <w:rPr>
          <w:rFonts w:ascii="Arial" w:cs="Arial" w:eastAsia="Arial" w:hAnsi="Arial"/>
          <w:sz w:val="17"/>
          <w:szCs w:val="17"/>
          <w:color w:val="auto"/>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 xml:space="preserve">ovel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nterrupting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mplifications </w:t>
      </w:r>
      <w:r>
        <w:rPr>
          <w:rFonts w:ascii="Arial" w:cs="Arial" w:eastAsia="Arial" w:hAnsi="Arial"/>
          <w:sz w:val="17"/>
          <w:szCs w:val="17"/>
          <w:u w:val="single" w:color="auto"/>
          <w:color w:val="auto"/>
        </w:rPr>
        <w:t>T</w:t>
      </w:r>
      <w:r>
        <w:rPr>
          <w:rFonts w:ascii="Arial" w:cs="Arial" w:eastAsia="Arial" w:hAnsi="Arial"/>
          <w:sz w:val="17"/>
          <w:szCs w:val="17"/>
          <w:color w:val="auto"/>
        </w:rPr>
        <w:t xml:space="preserve">ied to </w:t>
      </w:r>
      <w:r>
        <w:rPr>
          <w:rFonts w:ascii="Arial" w:cs="Arial" w:eastAsia="Arial" w:hAnsi="Arial"/>
          <w:sz w:val="17"/>
          <w:szCs w:val="17"/>
          <w:u w:val="single" w:color="auto"/>
          <w:color w:val="auto"/>
        </w:rPr>
        <w:t>e</w:t>
      </w:r>
      <w:r>
        <w:rPr>
          <w:rFonts w:ascii="Arial" w:cs="Arial" w:eastAsia="Arial" w:hAnsi="Arial"/>
          <w:sz w:val="17"/>
          <w:szCs w:val="17"/>
          <w:color w:val="auto"/>
        </w:rPr>
        <w:t>cDNA). We expect to have preliminary clinical proof of concept safety and anti-tumor activity data of BBI-355 as a single agent and in combination</w:t>
      </w:r>
    </w:p>
    <w:p>
      <w:pPr>
        <w:ind w:left="300" w:right="320"/>
        <w:spacing w:after="0" w:line="245" w:lineRule="auto"/>
        <w:rPr>
          <w:sz w:val="20"/>
          <w:szCs w:val="20"/>
          <w:color w:val="auto"/>
        </w:rPr>
      </w:pPr>
      <w:r>
        <w:rPr>
          <w:rFonts w:ascii="Arial" w:cs="Arial" w:eastAsia="Arial" w:hAnsi="Arial"/>
          <w:sz w:val="18"/>
          <w:szCs w:val="18"/>
          <w:color w:val="auto"/>
        </w:rPr>
        <w:t>with targeted therapies from the POTENTIATE trial in the , including approximately total enrolled patients (single</w:t>
      </w: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7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178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agent cohorts N=~ , combination cohorts N=~ ). We believe BBI-355 is the first ecDNA-directed therapeutic candidate in clinical development. Our second ecDTx, BBI-825, is a novel, oral, selective inhibitor of ribonucleotide reductase (RNR), which is essential for ecDNA assembly and repair in cancer cells. BBI-825 demonstrated RNR inhibition and tumor regressions in amplification-enabled preclinical cancer models. In January 2024, we received allowance from the FDA to initiate a first-in-human, Phase 1/2 clinical trial of BBI-825 in patients with resistance gene amplifications. We refer to this trial as STARMAP (</w:t>
      </w:r>
      <w:r>
        <w:rPr>
          <w:rFonts w:ascii="Arial" w:cs="Arial" w:eastAsia="Arial" w:hAnsi="Arial"/>
          <w:sz w:val="18"/>
          <w:szCs w:val="18"/>
          <w:u w:val="single" w:color="auto"/>
          <w:color w:val="auto"/>
        </w:rPr>
        <w:t>S</w:t>
      </w:r>
      <w:r>
        <w:rPr>
          <w:rFonts w:ascii="Arial" w:cs="Arial" w:eastAsia="Arial" w:hAnsi="Arial"/>
          <w:sz w:val="18"/>
          <w:szCs w:val="18"/>
          <w:color w:val="auto"/>
        </w:rPr>
        <w:t xml:space="preserve">tudy </w:t>
      </w:r>
      <w:r>
        <w:rPr>
          <w:rFonts w:ascii="Arial" w:cs="Arial" w:eastAsia="Arial" w:hAnsi="Arial"/>
          <w:sz w:val="18"/>
          <w:szCs w:val="18"/>
          <w:u w:val="single" w:color="auto"/>
          <w:color w:val="auto"/>
        </w:rPr>
        <w:t>T</w:t>
      </w:r>
      <w:r>
        <w:rPr>
          <w:rFonts w:ascii="Arial" w:cs="Arial" w:eastAsia="Arial" w:hAnsi="Arial"/>
          <w:sz w:val="18"/>
          <w:szCs w:val="18"/>
          <w:color w:val="auto"/>
        </w:rPr>
        <w:t>reating</w:t>
      </w:r>
    </w:p>
    <w:p>
      <w:pPr>
        <w:spacing w:after="0" w:line="4" w:lineRule="exact"/>
        <w:rPr>
          <w:sz w:val="20"/>
          <w:szCs w:val="20"/>
          <w:color w:val="auto"/>
        </w:rPr>
      </w:pPr>
    </w:p>
    <w:p>
      <w:pPr>
        <w:ind w:left="300"/>
        <w:spacing w:after="0" w:line="234" w:lineRule="auto"/>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cquired </w:t>
      </w:r>
      <w:r>
        <w:rPr>
          <w:rFonts w:ascii="Arial" w:cs="Arial" w:eastAsia="Arial" w:hAnsi="Arial"/>
          <w:sz w:val="18"/>
          <w:szCs w:val="18"/>
          <w:u w:val="single" w:color="auto"/>
          <w:color w:val="auto"/>
        </w:rPr>
        <w:t>R</w:t>
      </w:r>
      <w:r>
        <w:rPr>
          <w:rFonts w:ascii="Arial" w:cs="Arial" w:eastAsia="Arial" w:hAnsi="Arial"/>
          <w:sz w:val="18"/>
          <w:szCs w:val="18"/>
          <w:color w:val="auto"/>
        </w:rPr>
        <w:t xml:space="preserve">esistance: </w:t>
      </w:r>
      <w:r>
        <w:rPr>
          <w:rFonts w:ascii="Arial" w:cs="Arial" w:eastAsia="Arial" w:hAnsi="Arial"/>
          <w:sz w:val="18"/>
          <w:szCs w:val="18"/>
          <w:u w:val="single" w:color="auto"/>
          <w:color w:val="auto"/>
        </w:rPr>
        <w:t>MAP</w:t>
      </w:r>
      <w:r>
        <w:rPr>
          <w:rFonts w:ascii="Arial" w:cs="Arial" w:eastAsia="Arial" w:hAnsi="Arial"/>
          <w:sz w:val="18"/>
          <w:szCs w:val="18"/>
          <w:color w:val="auto"/>
        </w:rPr>
        <w:t>K Amplifications), and we expect to initiate the STARMAP trial in . We expect to have preliminary clinical proof of concept safety and anti-tumor activity data of BBI-825 in combination with targeted therapies from the STARMAP trial</w:t>
      </w:r>
    </w:p>
    <w:p>
      <w:pPr>
        <w:spacing w:after="0" w:line="1" w:lineRule="exact"/>
        <w:rPr>
          <w:sz w:val="20"/>
          <w:szCs w:val="20"/>
          <w:color w:val="auto"/>
        </w:rPr>
      </w:pPr>
    </w:p>
    <w:p>
      <w:pPr>
        <w:ind w:left="300" w:right="20"/>
        <w:spacing w:after="0" w:line="242" w:lineRule="auto"/>
        <w:rPr>
          <w:sz w:val="20"/>
          <w:szCs w:val="20"/>
          <w:color w:val="auto"/>
        </w:rPr>
      </w:pPr>
      <w:r>
        <w:rPr>
          <w:rFonts w:ascii="Arial" w:cs="Arial" w:eastAsia="Arial" w:hAnsi="Arial"/>
          <w:sz w:val="18"/>
          <w:szCs w:val="18"/>
          <w:color w:val="auto"/>
        </w:rPr>
        <w:t>in the . Our third ecDTx program is directed at a previously undrugged kinesin target essential for ecDNA segregation and inheritance during cell division. We are advancing our third ecDTx program through drug discovery to candidate identification and into clinical development.</w:t>
      </w:r>
    </w:p>
    <w:p>
      <w:pPr>
        <w:spacing w:after="0" w:line="139" w:lineRule="exact"/>
        <w:rPr>
          <w:sz w:val="20"/>
          <w:szCs w:val="20"/>
          <w:color w:val="auto"/>
        </w:rPr>
      </w:pPr>
    </w:p>
    <w:p>
      <w:pPr>
        <w:ind w:left="300" w:right="40" w:firstLine="532"/>
        <w:spacing w:after="0" w:line="244" w:lineRule="auto"/>
        <w:rPr>
          <w:sz w:val="20"/>
          <w:szCs w:val="20"/>
          <w:color w:val="auto"/>
        </w:rPr>
      </w:pPr>
      <w:r>
        <w:rPr>
          <w:rFonts w:ascii="Arial" w:cs="Arial" w:eastAsia="Arial" w:hAnsi="Arial"/>
          <w:sz w:val="18"/>
          <w:szCs w:val="18"/>
          <w:color w:val="auto"/>
        </w:rPr>
        <w:t>To assist in identifying patients that may benefit from our ecDTx, we have developed an ecDNA diagnostic, which we internally call ECHO (</w:t>
      </w:r>
      <w:r>
        <w:rPr>
          <w:rFonts w:ascii="Arial" w:cs="Arial" w:eastAsia="Arial" w:hAnsi="Arial"/>
          <w:sz w:val="18"/>
          <w:szCs w:val="18"/>
          <w:u w:val="single" w:color="auto"/>
          <w:color w:val="auto"/>
        </w:rPr>
        <w:t>ec</w:t>
      </w:r>
      <w:r>
        <w:rPr>
          <w:rFonts w:ascii="Arial" w:cs="Arial" w:eastAsia="Arial" w:hAnsi="Arial"/>
          <w:sz w:val="18"/>
          <w:szCs w:val="18"/>
          <w:color w:val="auto"/>
        </w:rPr>
        <w:t xml:space="preserve">DNA </w:t>
      </w:r>
      <w:r>
        <w:rPr>
          <w:rFonts w:ascii="Arial" w:cs="Arial" w:eastAsia="Arial" w:hAnsi="Arial"/>
          <w:sz w:val="18"/>
          <w:szCs w:val="18"/>
          <w:u w:val="single" w:color="auto"/>
          <w:color w:val="auto"/>
        </w:rPr>
        <w:t>H</w:t>
      </w:r>
      <w:r>
        <w:rPr>
          <w:rFonts w:ascii="Arial" w:cs="Arial" w:eastAsia="Arial" w:hAnsi="Arial"/>
          <w:sz w:val="18"/>
          <w:szCs w:val="18"/>
          <w:color w:val="auto"/>
        </w:rPr>
        <w:t xml:space="preserve">arboring </w:t>
      </w:r>
      <w:r>
        <w:rPr>
          <w:rFonts w:ascii="Arial" w:cs="Arial" w:eastAsia="Arial" w:hAnsi="Arial"/>
          <w:sz w:val="18"/>
          <w:szCs w:val="18"/>
          <w:u w:val="single" w:color="auto"/>
          <w:color w:val="auto"/>
        </w:rPr>
        <w:t>O</w:t>
      </w:r>
      <w:r>
        <w:rPr>
          <w:rFonts w:ascii="Arial" w:cs="Arial" w:eastAsia="Arial" w:hAnsi="Arial"/>
          <w:sz w:val="18"/>
          <w:szCs w:val="18"/>
          <w:color w:val="auto"/>
        </w:rPr>
        <w:t xml:space="preserve">ncogenes), to detect ecDNA in patient tumor samples. This test analyzes the genomic data output from routine next-generation sequencing (NGS) assays that are commonly used by commercial reference and academic laboratories to profile patient tumor samples. We are working with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company to develop this diagnostic test into a clinical trial assay, which we intend to use in our ongoing Phase 1/2 POTENTIATE clinical trial.</w:t>
      </w:r>
    </w:p>
    <w:p>
      <w:pPr>
        <w:spacing w:after="0" w:line="149" w:lineRule="exact"/>
        <w:rPr>
          <w:sz w:val="20"/>
          <w:szCs w:val="20"/>
          <w:color w:val="auto"/>
        </w:rPr>
      </w:pPr>
    </w:p>
    <w:p>
      <w:pPr>
        <w:ind w:left="300" w:right="60" w:firstLine="532"/>
        <w:spacing w:after="0" w:line="261" w:lineRule="auto"/>
        <w:rPr>
          <w:sz w:val="20"/>
          <w:szCs w:val="20"/>
          <w:color w:val="auto"/>
        </w:rPr>
      </w:pPr>
      <w:r>
        <w:rPr>
          <w:rFonts w:ascii="Arial" w:cs="Arial" w:eastAsia="Arial" w:hAnsi="Arial"/>
          <w:sz w:val="17"/>
          <w:szCs w:val="17"/>
          <w:color w:val="auto"/>
        </w:rPr>
        <w:t>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w:t>
      </w:r>
    </w:p>
    <w:p>
      <w:pPr>
        <w:spacing w:after="0" w:line="125" w:lineRule="exact"/>
        <w:rPr>
          <w:sz w:val="20"/>
          <w:szCs w:val="20"/>
          <w:color w:val="auto"/>
        </w:rPr>
      </w:pPr>
    </w:p>
    <w:p>
      <w:pPr>
        <w:ind w:left="300" w:right="200" w:firstLine="532"/>
        <w:spacing w:after="0"/>
        <w:rPr>
          <w:sz w:val="20"/>
          <w:szCs w:val="20"/>
          <w:color w:val="auto"/>
        </w:rPr>
      </w:pPr>
      <w:r>
        <w:rPr>
          <w:rFonts w:ascii="Arial" w:cs="Arial" w:eastAsia="Arial" w:hAnsi="Arial"/>
          <w:sz w:val="18"/>
          <w:szCs w:val="18"/>
          <w:color w:val="auto"/>
        </w:rPr>
        <w:t>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 Dr. Mischel is the Chairman of our Scientific Advisory Board. We leverage this unique expertise to identify new cancer targets that are synthetic lethal in ecDNA-bearing cancer cells and to develop new medicines for patients with oncogene amplified cancers.</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0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Pipeline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firstLine="532"/>
        <w:spacing w:after="0" w:line="250" w:lineRule="auto"/>
        <w:rPr>
          <w:sz w:val="20"/>
          <w:szCs w:val="20"/>
          <w:color w:val="auto"/>
        </w:rPr>
      </w:pPr>
      <w:r>
        <w:rPr>
          <w:rFonts w:ascii="Arial" w:cs="Arial" w:eastAsia="Arial" w:hAnsi="Arial"/>
          <w:sz w:val="17"/>
          <w:szCs w:val="17"/>
          <w:color w:val="auto"/>
        </w:rPr>
        <w:t xml:space="preserve">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 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 chronic intermittent dosing, which we believe is critical for targeting ecDNA biology. BBI-355 showed inhibition of CHK1 in a host of tumor cell lines and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across multiple oncogene amplification tumor settings. We expect to have preliminary clinical proof of concept safety and anti-tumor activity data of BBI-355 as a single agent and in combination with targeted therapies from our ongoing</w:t>
      </w:r>
    </w:p>
    <w:p>
      <w:pPr>
        <w:spacing w:after="0" w:line="2" w:lineRule="exact"/>
        <w:rPr>
          <w:sz w:val="20"/>
          <w:szCs w:val="20"/>
          <w:color w:val="auto"/>
        </w:rPr>
      </w:pPr>
    </w:p>
    <w:p>
      <w:pPr>
        <w:ind w:left="300" w:right="700"/>
        <w:spacing w:after="0" w:line="250" w:lineRule="auto"/>
        <w:rPr>
          <w:sz w:val="20"/>
          <w:szCs w:val="20"/>
          <w:color w:val="auto"/>
        </w:rPr>
      </w:pPr>
      <w:r>
        <w:rPr>
          <w:rFonts w:ascii="Arial" w:cs="Arial" w:eastAsia="Arial" w:hAnsi="Arial"/>
          <w:sz w:val="18"/>
          <w:szCs w:val="18"/>
          <w:color w:val="auto"/>
        </w:rPr>
        <w:t>POTENTIATE clinical trial in the , including approximately total enrolled patients (single agent cohorts N=~ , combination cohorts N=~ ).</w:t>
      </w:r>
    </w:p>
    <w:p>
      <w:pPr>
        <w:spacing w:after="0" w:line="145" w:lineRule="exact"/>
        <w:rPr>
          <w:sz w:val="20"/>
          <w:szCs w:val="20"/>
          <w:color w:val="auto"/>
        </w:rPr>
      </w:pPr>
    </w:p>
    <w:p>
      <w:pPr>
        <w:ind w:left="300" w:right="100" w:firstLine="532"/>
        <w:spacing w:after="0" w:line="259" w:lineRule="auto"/>
        <w:rPr>
          <w:sz w:val="20"/>
          <w:szCs w:val="20"/>
          <w:color w:val="auto"/>
        </w:rPr>
      </w:pPr>
      <w:r>
        <w:rPr>
          <w:rFonts w:ascii="Arial" w:cs="Arial" w:eastAsia="Arial" w:hAnsi="Arial"/>
          <w:sz w:val="17"/>
          <w:szCs w:val="17"/>
          <w:color w:val="auto"/>
        </w:rPr>
        <w:t>Our second ecDTx, BBI-825, is a novel, oral, selective small molecule RNR inhibitor. In January 2024, we received allowance from the FDA to initiate the first-in-human, Phase 1/2 STARMAP clinical trial in patients with resistance gene amplifications. We</w:t>
      </w:r>
    </w:p>
    <w:p>
      <w:pPr>
        <w:spacing w:after="0" w:line="1" w:lineRule="exact"/>
        <w:rPr>
          <w:sz w:val="20"/>
          <w:szCs w:val="20"/>
          <w:color w:val="auto"/>
        </w:rPr>
      </w:pPr>
    </w:p>
    <w:p>
      <w:pPr>
        <w:ind w:left="300" w:right="380"/>
        <w:spacing w:after="0"/>
        <w:rPr>
          <w:sz w:val="20"/>
          <w:szCs w:val="20"/>
          <w:color w:val="auto"/>
        </w:rPr>
      </w:pPr>
      <w:r>
        <w:rPr>
          <w:rFonts w:ascii="Arial" w:cs="Arial" w:eastAsia="Arial" w:hAnsi="Arial"/>
          <w:sz w:val="18"/>
          <w:szCs w:val="18"/>
          <w:color w:val="auto"/>
        </w:rPr>
        <w:t>expect to initiate the STARMAP trial in . RNR is a rate-limiting enzyme responsible for cellular production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ecDNA-bearing cancer models.</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 xml:space="preserve">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and synergistic activity, including tumor regressions, when combined with specific targeted therapies in amplification-enabled tumor models, in particular, cancer models that develop resistance amplifications in response to mitogen activated protein kinase (MAPK) pathway targeting therapies, such as BRAF</w:t>
      </w:r>
      <w:r>
        <w:rPr>
          <w:rFonts w:ascii="Arial" w:cs="Arial" w:eastAsia="Arial" w:hAnsi="Arial"/>
          <w:sz w:val="25"/>
          <w:szCs w:val="25"/>
          <w:color w:val="auto"/>
          <w:vertAlign w:val="superscript"/>
        </w:rPr>
        <w:t>V600</w:t>
      </w:r>
      <w:r>
        <w:rPr>
          <w:rFonts w:ascii="Arial" w:cs="Arial" w:eastAsia="Arial" w:hAnsi="Arial"/>
          <w:sz w:val="17"/>
          <w:szCs w:val="17"/>
          <w:color w:val="auto"/>
        </w:rPr>
        <w:t xml:space="preserve">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We expect to have preliminary clinical proof of concept safety and anti-tumor activity data of BBI-825 in combination with targeted</w:t>
      </w:r>
    </w:p>
    <w:p>
      <w:pPr>
        <w:spacing w:after="0" w:line="5" w:lineRule="exact"/>
        <w:rPr>
          <w:sz w:val="20"/>
          <w:szCs w:val="20"/>
          <w:color w:val="auto"/>
        </w:rPr>
      </w:pPr>
    </w:p>
    <w:p>
      <w:pPr>
        <w:ind w:left="300"/>
        <w:spacing w:after="0"/>
        <w:tabs>
          <w:tab w:leader="none" w:pos="4900" w:val="left"/>
        </w:tabs>
        <w:rPr>
          <w:sz w:val="20"/>
          <w:szCs w:val="20"/>
          <w:color w:val="auto"/>
        </w:rPr>
      </w:pPr>
      <w:r>
        <w:rPr>
          <w:rFonts w:ascii="Arial" w:cs="Arial" w:eastAsia="Arial" w:hAnsi="Arial"/>
          <w:sz w:val="18"/>
          <w:szCs w:val="18"/>
          <w:color w:val="auto"/>
        </w:rPr>
        <w:t>therapies from the STARMAP clinical trial in the</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left="300" w:right="60" w:firstLine="532"/>
        <w:spacing w:after="0" w:line="247" w:lineRule="auto"/>
        <w:rPr>
          <w:sz w:val="20"/>
          <w:szCs w:val="20"/>
          <w:color w:val="auto"/>
        </w:rPr>
      </w:pPr>
      <w:r>
        <w:rPr>
          <w:rFonts w:ascii="Arial" w:cs="Arial" w:eastAsia="Arial" w:hAnsi="Arial"/>
          <w:sz w:val="18"/>
          <w:szCs w:val="18"/>
          <w:color w:val="auto"/>
        </w:rPr>
        <w:t>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into clinical development.</w:t>
      </w:r>
    </w:p>
    <w:p>
      <w:pPr>
        <w:spacing w:after="0" w:line="147" w:lineRule="exact"/>
        <w:rPr>
          <w:sz w:val="20"/>
          <w:szCs w:val="20"/>
          <w:color w:val="auto"/>
        </w:rPr>
      </w:pPr>
    </w:p>
    <w:p>
      <w:pPr>
        <w:ind w:left="300" w:right="100" w:firstLine="532"/>
        <w:spacing w:after="0" w:line="244" w:lineRule="auto"/>
        <w:rPr>
          <w:sz w:val="20"/>
          <w:szCs w:val="20"/>
          <w:color w:val="auto"/>
        </w:rPr>
      </w:pPr>
      <w:r>
        <w:rPr>
          <w:rFonts w:ascii="Arial" w:cs="Arial" w:eastAsia="Arial" w:hAnsi="Arial"/>
          <w:sz w:val="18"/>
          <w:szCs w:val="18"/>
          <w:color w:val="auto"/>
        </w:rPr>
        <w:t>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our unique approach to developing ecDTx has many potential benefits for patients, including:</w:t>
      </w:r>
    </w:p>
    <w:p>
      <w:pPr>
        <w:spacing w:after="0" w:line="117" w:lineRule="exact"/>
        <w:rPr>
          <w:sz w:val="20"/>
          <w:szCs w:val="20"/>
          <w:color w:val="auto"/>
        </w:rPr>
      </w:pPr>
    </w:p>
    <w:p>
      <w:pPr>
        <w:ind w:left="1560" w:hanging="411"/>
        <w:spacing w:after="0"/>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addressing oncogene amplified cancers, a type of cancer without effective treatment options;</w:t>
      </w:r>
    </w:p>
    <w:p>
      <w:pPr>
        <w:spacing w:after="0" w:line="117" w:lineRule="exact"/>
        <w:rPr>
          <w:rFonts w:ascii="Arial" w:cs="Arial" w:eastAsia="Arial" w:hAnsi="Arial"/>
          <w:sz w:val="18"/>
          <w:szCs w:val="18"/>
          <w:color w:val="auto"/>
        </w:rPr>
      </w:pPr>
    </w:p>
    <w:p>
      <w:pPr>
        <w:ind w:left="1560" w:right="540" w:hanging="411"/>
        <w:spacing w:after="0" w:line="271" w:lineRule="auto"/>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identifying patients whose tumors have ecDNA and are likely to benefit from our ecDTx by using our proprietary ecDNA diagnostic; and</w:t>
      </w:r>
    </w:p>
    <w:p>
      <w:pPr>
        <w:spacing w:after="0" w:line="59" w:lineRule="exact"/>
        <w:rPr>
          <w:rFonts w:ascii="Arial" w:cs="Arial" w:eastAsia="Arial" w:hAnsi="Arial"/>
          <w:sz w:val="18"/>
          <w:szCs w:val="18"/>
          <w:color w:val="auto"/>
        </w:rPr>
      </w:pPr>
    </w:p>
    <w:p>
      <w:pPr>
        <w:ind w:left="1560" w:right="160" w:hanging="411"/>
        <w:spacing w:after="0" w:line="271" w:lineRule="auto"/>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employing a tumor-agnostic development strategy, focusing on oncogene amplified cancers across a broad range of tumor types and amplified oncogene drivers.</w:t>
      </w:r>
    </w:p>
    <w:p>
      <w:pPr>
        <w:spacing w:after="0" w:line="113"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as amended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 and Team</w:t>
      </w:r>
    </w:p>
    <w:p>
      <w:pPr>
        <w:spacing w:after="0" w:line="104" w:lineRule="exact"/>
        <w:rPr>
          <w:sz w:val="20"/>
          <w:szCs w:val="20"/>
          <w:color w:val="auto"/>
        </w:rPr>
      </w:pPr>
    </w:p>
    <w:p>
      <w:pPr>
        <w:ind w:left="300" w:right="100" w:firstLine="532"/>
        <w:spacing w:after="0" w:line="244" w:lineRule="auto"/>
        <w:rPr>
          <w:sz w:val="20"/>
          <w:szCs w:val="20"/>
          <w:color w:val="auto"/>
        </w:rPr>
      </w:pPr>
      <w:r>
        <w:rPr>
          <w:rFonts w:ascii="Arial" w:cs="Arial" w:eastAsia="Arial" w:hAnsi="Arial"/>
          <w:sz w:val="18"/>
          <w:szCs w:val="18"/>
          <w:color w:val="auto"/>
        </w:rPr>
        <w:t>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other scientific co-founders include:</w:t>
      </w:r>
    </w:p>
    <w:p>
      <w:pPr>
        <w:spacing w:after="0" w:line="117" w:lineRule="exact"/>
        <w:rPr>
          <w:sz w:val="20"/>
          <w:szCs w:val="20"/>
          <w:color w:val="auto"/>
        </w:rPr>
      </w:pPr>
    </w:p>
    <w:p>
      <w:pPr>
        <w:ind w:left="1560" w:right="680" w:hanging="411"/>
        <w:spacing w:after="0" w:line="271"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Vineet Bafna, Ph.D., Professor of Computer Science &amp; Engineering at the University of California, San Diego; co-founder of Digital Proteomics; current member of our Scientific Advisory Board.</w:t>
      </w:r>
    </w:p>
    <w:p>
      <w:pPr>
        <w:spacing w:after="0" w:line="59" w:lineRule="exact"/>
        <w:rPr>
          <w:rFonts w:ascii="Arial" w:cs="Arial" w:eastAsia="Arial" w:hAnsi="Arial"/>
          <w:sz w:val="18"/>
          <w:szCs w:val="18"/>
          <w:color w:val="auto"/>
        </w:rPr>
      </w:pPr>
    </w:p>
    <w:p>
      <w:pPr>
        <w:ind w:left="1560" w:right="420" w:hanging="411"/>
        <w:spacing w:after="0" w:line="247"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w:t>
      </w:r>
    </w:p>
    <w:p>
      <w:pPr>
        <w:spacing w:after="0" w:line="79" w:lineRule="exact"/>
        <w:rPr>
          <w:rFonts w:ascii="Arial" w:cs="Arial" w:eastAsia="Arial" w:hAnsi="Arial"/>
          <w:sz w:val="18"/>
          <w:szCs w:val="18"/>
          <w:color w:val="auto"/>
        </w:rPr>
      </w:pPr>
    </w:p>
    <w:p>
      <w:pPr>
        <w:ind w:left="1560" w:right="160" w:hanging="411"/>
        <w:spacing w:after="0" w:line="247"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 Cravatt, Ph.D., Professor and Gilula Chair of Chemical Biology at The Scripps Research Institute; co-founder of Abide Therapeutics, ActiveX Biosciences, Belharra Therapeutics, and Vividion Therapeutics; recipient of the 2022 Wolf Prize for chemistry; member of the National Academy of Sciences; current member of our Scientific Advisory Board.</w:t>
      </w:r>
    </w:p>
    <w:p>
      <w:pPr>
        <w:spacing w:after="0" w:line="79" w:lineRule="exact"/>
        <w:rPr>
          <w:rFonts w:ascii="Arial" w:cs="Arial" w:eastAsia="Arial" w:hAnsi="Arial"/>
          <w:sz w:val="18"/>
          <w:szCs w:val="18"/>
          <w:color w:val="auto"/>
        </w:rPr>
      </w:pPr>
    </w:p>
    <w:p>
      <w:pPr>
        <w:ind w:left="1560" w:right="300" w:hanging="411"/>
        <w:spacing w:after="0" w:line="271"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Prashant Mali, Ph.D., Professor of Bioengineering at the University of California, San Diego; co-founder of Navega Therapeutics and Shape Therapeutics.</w:t>
      </w:r>
    </w:p>
    <w:p>
      <w:pPr>
        <w:spacing w:after="0" w:line="59"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Roel Verhaak, Ph.D., Professor in the Department of Neurosurgery at Yale University School of Medicine.</w:t>
      </w:r>
    </w:p>
    <w:p>
      <w:pPr>
        <w:spacing w:after="0" w:line="171" w:lineRule="exact"/>
        <w:rPr>
          <w:sz w:val="20"/>
          <w:szCs w:val="20"/>
          <w:color w:val="auto"/>
        </w:rPr>
      </w:pPr>
    </w:p>
    <w:p>
      <w:pPr>
        <w:ind w:left="300" w:right="60" w:firstLine="532"/>
        <w:spacing w:after="0" w:line="253" w:lineRule="auto"/>
        <w:rPr>
          <w:sz w:val="20"/>
          <w:szCs w:val="20"/>
          <w:color w:val="auto"/>
        </w:rPr>
      </w:pPr>
      <w:r>
        <w:rPr>
          <w:rFonts w:ascii="Arial" w:cs="Arial" w:eastAsia="Arial" w:hAnsi="Arial"/>
          <w:sz w:val="18"/>
          <w:szCs w:val="18"/>
          <w:color w:val="auto"/>
        </w:rPr>
        <w:t>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w:t>
      </w:r>
    </w:p>
    <w:p>
      <w:pPr>
        <w:spacing w:after="0" w:line="142" w:lineRule="exact"/>
        <w:rPr>
          <w:sz w:val="20"/>
          <w:szCs w:val="20"/>
          <w:color w:val="auto"/>
        </w:rPr>
      </w:pPr>
    </w:p>
    <w:p>
      <w:pPr>
        <w:ind w:left="300" w:right="140" w:firstLine="532"/>
        <w:spacing w:after="0" w:line="271" w:lineRule="auto"/>
        <w:rPr>
          <w:sz w:val="20"/>
          <w:szCs w:val="20"/>
          <w:color w:val="auto"/>
        </w:rPr>
      </w:pPr>
      <w:r>
        <w:rPr>
          <w:rFonts w:ascii="Arial" w:cs="Arial" w:eastAsia="Arial" w:hAnsi="Arial"/>
          <w:sz w:val="18"/>
          <w:szCs w:val="18"/>
          <w:color w:val="auto"/>
        </w:rPr>
        <w:t>One of our industry co-founders is Jonathan Lim, M.D., Co-founder, CEO, and Chairman of Erasca, Venture Partner at ARCH Venture Partners, and former Co-founder and CEO of Ignyta. Dr. Lim serves as the Chairman of our Board of Directors.</w:t>
      </w:r>
    </w:p>
    <w:p>
      <w:pPr>
        <w:spacing w:after="0" w:line="113" w:lineRule="exact"/>
        <w:rPr>
          <w:sz w:val="20"/>
          <w:szCs w:val="20"/>
          <w:color w:val="auto"/>
        </w:rPr>
      </w:pPr>
    </w:p>
    <w:p>
      <w:pPr>
        <w:ind w:left="300" w:right="80" w:firstLine="532"/>
        <w:spacing w:after="0" w:line="242" w:lineRule="auto"/>
        <w:rPr>
          <w:sz w:val="20"/>
          <w:szCs w:val="20"/>
          <w:color w:val="auto"/>
        </w:rPr>
      </w:pPr>
      <w:r>
        <w:rPr>
          <w:rFonts w:ascii="Arial" w:cs="Arial" w:eastAsia="Arial" w:hAnsi="Arial"/>
          <w:sz w:val="18"/>
          <w:szCs w:val="18"/>
          <w:color w:val="auto"/>
        </w:rPr>
        <w:t>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w:t>
      </w:r>
    </w:p>
    <w:p>
      <w:pPr>
        <w:spacing w:after="0" w:line="138" w:lineRule="exact"/>
        <w:rPr>
          <w:sz w:val="20"/>
          <w:szCs w:val="20"/>
          <w:color w:val="auto"/>
        </w:rPr>
      </w:pPr>
    </w:p>
    <w:p>
      <w:pPr>
        <w:ind w:left="300" w:firstLine="532"/>
        <w:spacing w:after="0" w:line="228" w:lineRule="auto"/>
        <w:rPr>
          <w:sz w:val="20"/>
          <w:szCs w:val="20"/>
          <w:color w:val="auto"/>
        </w:rPr>
      </w:pPr>
      <w:r>
        <w:rPr>
          <w:rFonts w:ascii="Arial" w:cs="Arial" w:eastAsia="Arial" w:hAnsi="Arial"/>
          <w:sz w:val="18"/>
          <w:szCs w:val="18"/>
          <w:color w:val="auto"/>
        </w:rPr>
        <w:t>Our management team is led by our President and Chief Executive Officer, Zachary Hornby, who formerly served as Chief Operating Officer and Chief Financial Officer at Ignyta. At Ignyta, he led the operational team that developed Rozlytrek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which is globally approved and commercialized for patients with </w:t>
      </w:r>
      <w:r>
        <w:rPr>
          <w:rFonts w:ascii="Arial" w:cs="Arial" w:eastAsia="Arial" w:hAnsi="Arial"/>
          <w:sz w:val="18"/>
          <w:szCs w:val="18"/>
          <w:i w:val="1"/>
          <w:iCs w:val="1"/>
          <w:color w:val="auto"/>
        </w:rPr>
        <w:t>NTRK+</w:t>
      </w:r>
      <w:r>
        <w:rPr>
          <w:rFonts w:ascii="Arial" w:cs="Arial" w:eastAsia="Arial" w:hAnsi="Arial"/>
          <w:sz w:val="18"/>
          <w:szCs w:val="18"/>
          <w:color w:val="auto"/>
        </w:rPr>
        <w:t xml:space="preserve"> solid tumors and </w:t>
      </w:r>
      <w:r>
        <w:rPr>
          <w:rFonts w:ascii="Arial" w:cs="Arial" w:eastAsia="Arial" w:hAnsi="Arial"/>
          <w:sz w:val="18"/>
          <w:szCs w:val="18"/>
          <w:i w:val="1"/>
          <w:iCs w:val="1"/>
          <w:color w:val="auto"/>
        </w:rPr>
        <w:t>ROS1+</w:t>
      </w:r>
      <w:r>
        <w:rPr>
          <w:rFonts w:ascii="Arial" w:cs="Arial" w:eastAsia="Arial" w:hAnsi="Arial"/>
          <w:sz w:val="18"/>
          <w:szCs w:val="18"/>
          <w:color w:val="auto"/>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where he led an integrated clinical development organization that was responsible for advancing three oncology programs from pre-IND into clinical development. Our Chief Financial Officer, Jami Rubin, most recently served as Chief Financial Officer at EQRx where she led the go public and capital raising process.</w:t>
      </w:r>
    </w:p>
    <w:p>
      <w:pPr>
        <w:spacing w:after="0" w:line="3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93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ind w:left="300" w:right="360" w:firstLine="532"/>
        <w:spacing w:after="0" w:line="244" w:lineRule="auto"/>
        <w:rPr>
          <w:sz w:val="20"/>
          <w:szCs w:val="20"/>
          <w:color w:val="auto"/>
        </w:rPr>
      </w:pPr>
      <w:r>
        <w:rPr>
          <w:rFonts w:ascii="Arial" w:cs="Arial" w:eastAsia="Arial" w:hAnsi="Arial"/>
          <w:sz w:val="18"/>
          <w:szCs w:val="18"/>
          <w:color w:val="auto"/>
        </w:rPr>
        <w:t>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w:t>
      </w:r>
    </w:p>
    <w:p>
      <w:pPr>
        <w:spacing w:after="0" w:line="84" w:lineRule="exact"/>
        <w:rPr>
          <w:sz w:val="20"/>
          <w:szCs w:val="20"/>
          <w:color w:val="auto"/>
        </w:rPr>
      </w:pPr>
    </w:p>
    <w:p>
      <w:pPr>
        <w:ind w:left="1560" w:right="100" w:hanging="411"/>
        <w:spacing w:after="0" w:line="278" w:lineRule="auto"/>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Advance our lead ecDTx, BBI-355, a CHK1 inhibitor, through clinical development and regulatory approval in patients with oncogene amplified cancers enabled by ecDNA.</w:t>
      </w:r>
    </w:p>
    <w:p>
      <w:pPr>
        <w:spacing w:after="0" w:line="46" w:lineRule="exact"/>
        <w:rPr>
          <w:rFonts w:ascii="Arial" w:cs="Arial" w:eastAsia="Arial" w:hAnsi="Arial"/>
          <w:sz w:val="18"/>
          <w:szCs w:val="18"/>
          <w:b w:val="1"/>
          <w:bCs w:val="1"/>
          <w:i w:val="1"/>
          <w:iCs w:val="1"/>
          <w:color w:val="auto"/>
        </w:rPr>
      </w:pPr>
    </w:p>
    <w:p>
      <w:pPr>
        <w:ind w:left="1560" w:right="20" w:hanging="411"/>
        <w:spacing w:after="0" w:line="278" w:lineRule="auto"/>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Advance our second ecDTx, BBI-825, an RNR inhibitor, through clinical development and regulatory approval in patients whose cancers harbor resistance amplifications.</w:t>
      </w:r>
    </w:p>
    <w:p>
      <w:pPr>
        <w:spacing w:after="0" w:line="46" w:lineRule="exact"/>
        <w:rPr>
          <w:rFonts w:ascii="Arial" w:cs="Arial" w:eastAsia="Arial" w:hAnsi="Arial"/>
          <w:sz w:val="18"/>
          <w:szCs w:val="18"/>
          <w:b w:val="1"/>
          <w:bCs w:val="1"/>
          <w:i w:val="1"/>
          <w:iCs w:val="1"/>
          <w:color w:val="auto"/>
        </w:rPr>
      </w:pPr>
    </w:p>
    <w:p>
      <w:pPr>
        <w:ind w:left="1560" w:hanging="411"/>
        <w:spacing w:after="0"/>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Advance our ecDTx 3 program to identify a development candidate and progress it into IND-enabling studies.</w:t>
      </w:r>
    </w:p>
    <w:p>
      <w:pPr>
        <w:spacing w:after="0" w:line="117" w:lineRule="exact"/>
        <w:rPr>
          <w:rFonts w:ascii="Arial" w:cs="Arial" w:eastAsia="Arial" w:hAnsi="Arial"/>
          <w:sz w:val="18"/>
          <w:szCs w:val="18"/>
          <w:b w:val="1"/>
          <w:bCs w:val="1"/>
          <w:i w:val="1"/>
          <w:iCs w:val="1"/>
          <w:color w:val="auto"/>
        </w:rPr>
      </w:pPr>
    </w:p>
    <w:p>
      <w:pPr>
        <w:ind w:left="1560" w:hanging="411"/>
        <w:spacing w:after="0"/>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Deploy our proprietary ecDNA diagnostic, ECHO, to identify patients most likely to benefit from our ecDTx.</w:t>
      </w:r>
    </w:p>
    <w:p>
      <w:pPr>
        <w:spacing w:after="0" w:line="117" w:lineRule="exact"/>
        <w:rPr>
          <w:rFonts w:ascii="Arial" w:cs="Arial" w:eastAsia="Arial" w:hAnsi="Arial"/>
          <w:sz w:val="18"/>
          <w:szCs w:val="18"/>
          <w:b w:val="1"/>
          <w:bCs w:val="1"/>
          <w:i w:val="1"/>
          <w:iCs w:val="1"/>
          <w:color w:val="auto"/>
        </w:rPr>
      </w:pPr>
    </w:p>
    <w:p>
      <w:pPr>
        <w:ind w:left="1560" w:right="200" w:hanging="411"/>
        <w:spacing w:after="0" w:line="278" w:lineRule="auto"/>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Leverage Spyglass to continue to identify and preclinically validate additional ecDNA targets to expand our pipeline of novel ecDTx.</w:t>
      </w:r>
    </w:p>
    <w:p>
      <w:pPr>
        <w:spacing w:after="0" w:line="46" w:lineRule="exact"/>
        <w:rPr>
          <w:rFonts w:ascii="Arial" w:cs="Arial" w:eastAsia="Arial" w:hAnsi="Arial"/>
          <w:sz w:val="18"/>
          <w:szCs w:val="18"/>
          <w:b w:val="1"/>
          <w:bCs w:val="1"/>
          <w:i w:val="1"/>
          <w:iCs w:val="1"/>
          <w:color w:val="auto"/>
        </w:rPr>
      </w:pPr>
    </w:p>
    <w:p>
      <w:pPr>
        <w:ind w:left="1560" w:right="460" w:hanging="411"/>
        <w:spacing w:after="0" w:line="278" w:lineRule="auto"/>
        <w:tabs>
          <w:tab w:leader="none" w:pos="15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Opportunistically pursue strategic collaborations to accelerate development timelines and maximize the commercial potential of our ecDTx.</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04" w:lineRule="exact"/>
        <w:rPr>
          <w:sz w:val="20"/>
          <w:szCs w:val="20"/>
          <w:color w:val="auto"/>
        </w:rPr>
      </w:pPr>
    </w:p>
    <w:p>
      <w:pPr>
        <w:jc w:val="both"/>
        <w:ind w:left="300" w:right="380" w:firstLine="532"/>
        <w:spacing w:after="0" w:line="253" w:lineRule="auto"/>
        <w:rPr>
          <w:sz w:val="20"/>
          <w:szCs w:val="20"/>
          <w:color w:val="auto"/>
        </w:rPr>
      </w:pPr>
      <w:r>
        <w:rPr>
          <w:rFonts w:ascii="Arial" w:cs="Arial" w:eastAsia="Arial" w:hAnsi="Arial"/>
          <w:sz w:val="18"/>
          <w:szCs w:val="18"/>
          <w:color w:val="auto"/>
        </w:rPr>
        <w:t>Our ability to execute our business strategy is subject to numerous risks and uncertainties that you should consider before investing in us, as more fully described in the section titled “Risk Factors” immediately following this Prospectus Summary. These risks include, among others:</w:t>
      </w:r>
    </w:p>
    <w:p>
      <w:pPr>
        <w:spacing w:after="0" w:line="74" w:lineRule="exact"/>
        <w:rPr>
          <w:sz w:val="20"/>
          <w:szCs w:val="20"/>
          <w:color w:val="auto"/>
        </w:rPr>
      </w:pPr>
    </w:p>
    <w:p>
      <w:pPr>
        <w:ind w:left="1560" w:hanging="411"/>
        <w:spacing w:after="0" w:line="253"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74" w:lineRule="exact"/>
        <w:rPr>
          <w:rFonts w:ascii="Arial" w:cs="Arial" w:eastAsia="Arial" w:hAnsi="Arial"/>
          <w:sz w:val="18"/>
          <w:szCs w:val="18"/>
          <w:color w:val="auto"/>
        </w:rPr>
      </w:pPr>
    </w:p>
    <w:p>
      <w:pPr>
        <w:ind w:left="1560" w:right="100" w:hanging="411"/>
        <w:spacing w:after="0" w:line="253"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74" w:lineRule="exact"/>
        <w:rPr>
          <w:rFonts w:ascii="Arial" w:cs="Arial" w:eastAsia="Arial" w:hAnsi="Arial"/>
          <w:sz w:val="18"/>
          <w:szCs w:val="18"/>
          <w:color w:val="auto"/>
        </w:rPr>
      </w:pPr>
    </w:p>
    <w:p>
      <w:pPr>
        <w:ind w:left="1560" w:right="60" w:hanging="411"/>
        <w:spacing w:after="0" w:line="247"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ecDTx, BBI-355,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w:t>
      </w:r>
    </w:p>
    <w:p>
      <w:pPr>
        <w:spacing w:after="0" w:line="79" w:lineRule="exact"/>
        <w:rPr>
          <w:rFonts w:ascii="Arial" w:cs="Arial" w:eastAsia="Arial" w:hAnsi="Arial"/>
          <w:sz w:val="18"/>
          <w:szCs w:val="18"/>
          <w:color w:val="auto"/>
        </w:rPr>
      </w:pPr>
    </w:p>
    <w:p>
      <w:pPr>
        <w:ind w:left="1560" w:right="280" w:hanging="411"/>
        <w:spacing w:after="0" w:line="253"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approach to treating cancer with oncogene amplifications by developing ecDTx directed against ecDNA is unproven, and we do not know whether we will be able to develop any ecDTx of commercial value, or if competing approaches will limit the commercial value of our ecDTx.</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hanging="411"/>
        <w:spacing w:after="0" w:line="24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Clinical and preclinical development involves a lengthy and expensive process with uncertain timelines and outcomes, and results of prior preclinical studies and early clinical trials are not necessarily predictive of future results. Our ecDTx may not achieve favorable results in clinical trials or preclinical studies or receive regulatory approval on a timely basis, if at all.</w:t>
      </w:r>
    </w:p>
    <w:p>
      <w:pPr>
        <w:spacing w:after="0" w:line="79" w:lineRule="exact"/>
        <w:rPr>
          <w:rFonts w:ascii="Arial" w:cs="Arial" w:eastAsia="Arial" w:hAnsi="Arial"/>
          <w:sz w:val="18"/>
          <w:szCs w:val="18"/>
          <w:color w:val="auto"/>
        </w:rPr>
      </w:pPr>
    </w:p>
    <w:p>
      <w:pPr>
        <w:ind w:left="1560" w:right="220" w:hanging="411"/>
        <w:spacing w:after="0" w:line="24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Use of our ecDTx could be associated with adverse side effects, adverse events, or other properties or safety risks, which could delay or preclude regulatory approval, cause us to suspend or discontinue clinical trials, abandon a ecDTx, limit the commercial profile of an approved label, or result in other significant negative consequences that could severely harm our business, financial condition, results of operations, and prospects.</w:t>
      </w:r>
    </w:p>
    <w:p>
      <w:pPr>
        <w:spacing w:after="0" w:line="79" w:lineRule="exact"/>
        <w:rPr>
          <w:rFonts w:ascii="Arial" w:cs="Arial" w:eastAsia="Arial" w:hAnsi="Arial"/>
          <w:sz w:val="18"/>
          <w:szCs w:val="18"/>
          <w:color w:val="auto"/>
        </w:rPr>
      </w:pPr>
    </w:p>
    <w:p>
      <w:pPr>
        <w:ind w:left="1560" w:right="220" w:hanging="411"/>
        <w:spacing w:after="0" w:line="24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we are unable to successfully develop an ecDNA diagnostic to enable patient selection for our ecDTx, or if we experience significant delays in doing so, or if we do not obtain, or face delays in obtaining, FDA approval of such a diagnostic, if required, we may not realize the full commercial potential of, or may be unable to commercialize, our ecDTx.</w:t>
      </w:r>
    </w:p>
    <w:p>
      <w:pPr>
        <w:spacing w:after="0" w:line="79" w:lineRule="exact"/>
        <w:rPr>
          <w:rFonts w:ascii="Arial" w:cs="Arial" w:eastAsia="Arial" w:hAnsi="Arial"/>
          <w:sz w:val="18"/>
          <w:szCs w:val="18"/>
          <w:color w:val="auto"/>
        </w:rPr>
      </w:pPr>
    </w:p>
    <w:p>
      <w:pPr>
        <w:ind w:left="1560" w:hanging="411"/>
        <w:spacing w:after="0" w:line="275" w:lineRule="auto"/>
        <w:tabs>
          <w:tab w:leader="none" w:pos="1560"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face significant competition, and if our competitors develop and commercialize technologies or product candidates more rapidly than we do, or their technologies or product candidates are more effective, safer, or less expensive than our ecDTx, our business and our ability to develop and successfully commercialize ecDTx will be adversely affected.</w:t>
      </w:r>
    </w:p>
    <w:p>
      <w:pPr>
        <w:spacing w:after="0" w:line="57" w:lineRule="exact"/>
        <w:rPr>
          <w:rFonts w:ascii="Arial" w:cs="Arial" w:eastAsia="Arial" w:hAnsi="Arial"/>
          <w:sz w:val="17"/>
          <w:szCs w:val="17"/>
          <w:color w:val="auto"/>
        </w:rPr>
      </w:pPr>
    </w:p>
    <w:p>
      <w:pPr>
        <w:jc w:val="both"/>
        <w:ind w:left="1560" w:right="240" w:hanging="411"/>
        <w:spacing w:after="0" w:line="253"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to develop an ecDNA diagnostic, and to manufacture our ecDTx, and these third parties may not perform satisfactorily, which could delay, prevent, or impair our development or commercialization efforts.</w:t>
      </w:r>
    </w:p>
    <w:p>
      <w:pPr>
        <w:spacing w:after="0" w:line="74" w:lineRule="exact"/>
        <w:rPr>
          <w:rFonts w:ascii="Arial" w:cs="Arial" w:eastAsia="Arial" w:hAnsi="Arial"/>
          <w:sz w:val="18"/>
          <w:szCs w:val="18"/>
          <w:color w:val="auto"/>
        </w:rPr>
      </w:pPr>
    </w:p>
    <w:p>
      <w:pPr>
        <w:ind w:left="1560" w:right="100" w:hanging="519"/>
        <w:spacing w:after="0" w:line="247" w:lineRule="auto"/>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or other intellectual property protection for our ecDTx, diagnostic test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 Information</w:t>
      </w:r>
    </w:p>
    <w:p>
      <w:pPr>
        <w:spacing w:after="0" w:line="104" w:lineRule="exact"/>
        <w:rPr>
          <w:sz w:val="20"/>
          <w:szCs w:val="20"/>
          <w:color w:val="auto"/>
        </w:rPr>
      </w:pPr>
    </w:p>
    <w:p>
      <w:pPr>
        <w:ind w:left="300" w:right="20" w:firstLine="532"/>
        <w:spacing w:after="0" w:line="244" w:lineRule="auto"/>
        <w:rPr>
          <w:sz w:val="20"/>
          <w:szCs w:val="20"/>
          <w:color w:val="auto"/>
        </w:rPr>
      </w:pPr>
      <w:r>
        <w:rPr>
          <w:rFonts w:ascii="Arial" w:cs="Arial" w:eastAsia="Arial" w:hAnsi="Arial"/>
          <w:sz w:val="18"/>
          <w:szCs w:val="18"/>
          <w:color w:val="auto"/>
        </w:rPr>
        <w:t>We were originally founded as a Delaware corporation on April 10, 2018 under the name Pretzel Therapeutics, Inc. On July 8, 2019, we changed our name to Boundless Bio, Inc. Our principal executive offices are located at 9880 Campus Point Drive, Suite 120, San Diego, CA 92121, and our telephone number is (858) 766-9912. Our website address is www.boundlessbio.com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 We have included our website address as an inactive textual reference only.</w:t>
      </w:r>
    </w:p>
    <w:p>
      <w:pPr>
        <w:spacing w:after="0" w:line="136" w:lineRule="exact"/>
        <w:rPr>
          <w:sz w:val="20"/>
          <w:szCs w:val="20"/>
          <w:color w:val="auto"/>
        </w:rPr>
      </w:pPr>
    </w:p>
    <w:p>
      <w:pPr>
        <w:ind w:left="300" w:firstLine="532"/>
        <w:spacing w:after="0" w:line="220"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trademarks and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76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04" w:lineRule="exact"/>
        <w:rPr>
          <w:sz w:val="20"/>
          <w:szCs w:val="20"/>
          <w:color w:val="auto"/>
        </w:rPr>
      </w:pPr>
    </w:p>
    <w:p>
      <w:pPr>
        <w:ind w:left="300" w:right="160" w:firstLine="532"/>
        <w:spacing w:after="0" w:line="25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w:t>
      </w:r>
    </w:p>
    <w:p>
      <w:pPr>
        <w:spacing w:after="0" w:line="74" w:lineRule="exact"/>
        <w:rPr>
          <w:sz w:val="20"/>
          <w:szCs w:val="20"/>
          <w:color w:val="auto"/>
        </w:rPr>
      </w:pPr>
    </w:p>
    <w:p>
      <w:pPr>
        <w:ind w:left="1560" w:hanging="411"/>
        <w:spacing w:after="0" w:line="253"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Arial" w:cs="Arial" w:eastAsia="Arial" w:hAnsi="Arial"/>
          <w:sz w:val="18"/>
          <w:szCs w:val="18"/>
          <w:color w:val="auto"/>
        </w:rPr>
      </w:pPr>
    </w:p>
    <w:p>
      <w:pPr>
        <w:ind w:left="1560" w:right="300" w:hanging="411"/>
        <w:spacing w:after="0" w:line="271"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(the Sarbanes-Oxley Act);</w:t>
      </w:r>
    </w:p>
    <w:p>
      <w:pPr>
        <w:spacing w:after="0" w:line="59" w:lineRule="exact"/>
        <w:rPr>
          <w:rFonts w:ascii="Arial" w:cs="Arial" w:eastAsia="Arial" w:hAnsi="Arial"/>
          <w:sz w:val="18"/>
          <w:szCs w:val="18"/>
          <w:color w:val="auto"/>
        </w:rPr>
      </w:pPr>
    </w:p>
    <w:p>
      <w:pPr>
        <w:ind w:left="1560" w:right="20" w:hanging="411"/>
        <w:spacing w:after="0" w:line="247"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79" w:lineRule="exact"/>
        <w:rPr>
          <w:rFonts w:ascii="Arial" w:cs="Arial" w:eastAsia="Arial" w:hAnsi="Arial"/>
          <w:sz w:val="18"/>
          <w:szCs w:val="18"/>
          <w:color w:val="auto"/>
        </w:rPr>
      </w:pPr>
    </w:p>
    <w:p>
      <w:pPr>
        <w:ind w:left="1560" w:right="540" w:hanging="411"/>
        <w:spacing w:after="0" w:line="271"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59" w:lineRule="exact"/>
        <w:rPr>
          <w:rFonts w:ascii="Arial" w:cs="Arial" w:eastAsia="Arial" w:hAnsi="Arial"/>
          <w:sz w:val="18"/>
          <w:szCs w:val="18"/>
          <w:color w:val="auto"/>
        </w:rPr>
      </w:pPr>
    </w:p>
    <w:p>
      <w:pPr>
        <w:ind w:left="1560" w:right="60" w:hanging="411"/>
        <w:spacing w:after="0" w:line="271"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3"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2029.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w:t>
      </w:r>
    </w:p>
    <w:p>
      <w:pPr>
        <w:spacing w:after="0" w:line="152"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w:t>
      </w:r>
    </w:p>
    <w:p>
      <w:pPr>
        <w:spacing w:after="0" w:line="133" w:lineRule="exact"/>
        <w:rPr>
          <w:sz w:val="20"/>
          <w:szCs w:val="20"/>
          <w:color w:val="auto"/>
        </w:rPr>
      </w:pPr>
    </w:p>
    <w:p>
      <w:pPr>
        <w:ind w:left="300" w:right="40" w:firstLine="532"/>
        <w:spacing w:after="0" w:line="242"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w:t>
      </w: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135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1135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320" w:top="455" w:right="7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9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480" w:type="dxa"/>
            <w:vAlign w:val="bottom"/>
          </w:tcPr>
          <w:p>
            <w:pPr>
              <w:spacing w:after="0"/>
              <w:rPr>
                <w:sz w:val="21"/>
                <w:szCs w:val="21"/>
                <w:color w:val="auto"/>
              </w:rPr>
            </w:pPr>
          </w:p>
        </w:tc>
        <w:tc>
          <w:tcPr>
            <w:tcW w:w="1980" w:type="dxa"/>
            <w:vAlign w:val="bottom"/>
          </w:tcPr>
          <w:p>
            <w:pPr>
              <w:ind w:left="300"/>
              <w:spacing w:after="0"/>
              <w:rPr>
                <w:sz w:val="20"/>
                <w:szCs w:val="20"/>
                <w:color w:val="auto"/>
              </w:rPr>
            </w:pPr>
            <w:r>
              <w:rPr>
                <w:rFonts w:ascii="Arial" w:cs="Arial" w:eastAsia="Arial" w:hAnsi="Arial"/>
                <w:sz w:val="18"/>
                <w:szCs w:val="18"/>
                <w:b w:val="1"/>
                <w:bCs w:val="1"/>
                <w:color w:val="auto"/>
              </w:rPr>
              <w:t>The Offering</w:t>
            </w:r>
          </w:p>
        </w:tc>
        <w:tc>
          <w:tcPr>
            <w:tcW w:w="23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438"/>
        </w:trPr>
        <w:tc>
          <w:tcPr>
            <w:tcW w:w="44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980" w:type="dxa"/>
            <w:vAlign w:val="bottom"/>
          </w:tcPr>
          <w:p>
            <w:pPr>
              <w:ind w:left="940"/>
              <w:spacing w:after="0"/>
              <w:rPr>
                <w:sz w:val="20"/>
                <w:szCs w:val="20"/>
                <w:color w:val="auto"/>
              </w:rPr>
            </w:pPr>
            <w:r>
              <w:rPr>
                <w:rFonts w:ascii="Arial" w:cs="Arial" w:eastAsia="Arial" w:hAnsi="Arial"/>
                <w:sz w:val="18"/>
                <w:szCs w:val="18"/>
                <w:color w:val="auto"/>
              </w:rPr>
              <w:t>shares.</w:t>
            </w: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23"/>
        </w:trPr>
        <w:tc>
          <w:tcPr>
            <w:tcW w:w="448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100" w:type="dxa"/>
            <w:vAlign w:val="bottom"/>
            <w:gridSpan w:val="3"/>
          </w:tcPr>
          <w:p>
            <w:pPr>
              <w:ind w:left="80"/>
              <w:spacing w:after="0"/>
              <w:rPr>
                <w:sz w:val="20"/>
                <w:szCs w:val="20"/>
                <w:color w:val="auto"/>
              </w:rPr>
            </w:pPr>
            <w:r>
              <w:rPr>
                <w:rFonts w:ascii="Arial" w:cs="Arial" w:eastAsia="Arial" w:hAnsi="Arial"/>
                <w:sz w:val="18"/>
                <w:szCs w:val="18"/>
                <w:color w:val="auto"/>
              </w:rPr>
              <w:t>We have granted the underwriters an option to purchase up to</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additional shares of common stock from us at any time within 30 days from</w:t>
            </w:r>
          </w:p>
        </w:tc>
      </w:tr>
      <w:tr>
        <w:trPr>
          <w:trHeight w:val="239"/>
        </w:trPr>
        <w:tc>
          <w:tcPr>
            <w:tcW w:w="4480" w:type="dxa"/>
            <w:vAlign w:val="bottom"/>
          </w:tcPr>
          <w:p>
            <w:pPr>
              <w:spacing w:after="0"/>
              <w:rPr>
                <w:sz w:val="20"/>
                <w:szCs w:val="20"/>
                <w:color w:val="auto"/>
              </w:rPr>
            </w:pPr>
          </w:p>
        </w:tc>
        <w:tc>
          <w:tcPr>
            <w:tcW w:w="4340" w:type="dxa"/>
            <w:vAlign w:val="bottom"/>
            <w:gridSpan w:val="2"/>
          </w:tcPr>
          <w:p>
            <w:pPr>
              <w:ind w:left="80"/>
              <w:spacing w:after="0"/>
              <w:rPr>
                <w:sz w:val="20"/>
                <w:szCs w:val="20"/>
                <w:color w:val="auto"/>
              </w:rPr>
            </w:pPr>
            <w:r>
              <w:rPr>
                <w:rFonts w:ascii="Arial" w:cs="Arial" w:eastAsia="Arial" w:hAnsi="Arial"/>
                <w:sz w:val="18"/>
                <w:szCs w:val="18"/>
                <w:color w:val="auto"/>
              </w:rPr>
              <w:t>the date of this prospectus.</w:t>
            </w:r>
          </w:p>
        </w:tc>
        <w:tc>
          <w:tcPr>
            <w:tcW w:w="1760" w:type="dxa"/>
            <w:vAlign w:val="bottom"/>
          </w:tcPr>
          <w:p>
            <w:pPr>
              <w:spacing w:after="0"/>
              <w:rPr>
                <w:sz w:val="20"/>
                <w:szCs w:val="20"/>
                <w:color w:val="auto"/>
              </w:rPr>
            </w:pPr>
          </w:p>
        </w:tc>
      </w:tr>
      <w:tr>
        <w:trPr>
          <w:trHeight w:val="409"/>
        </w:trPr>
        <w:tc>
          <w:tcPr>
            <w:tcW w:w="4480" w:type="dxa"/>
            <w:vAlign w:val="bottom"/>
          </w:tcPr>
          <w:p>
            <w:pPr>
              <w:spacing w:after="0"/>
              <w:rPr>
                <w:sz w:val="20"/>
                <w:szCs w:val="20"/>
                <w:color w:val="auto"/>
              </w:rPr>
            </w:pPr>
            <w:r>
              <w:rPr>
                <w:rFonts w:ascii="Arial" w:cs="Arial" w:eastAsia="Arial" w:hAnsi="Arial"/>
                <w:sz w:val="18"/>
                <w:szCs w:val="18"/>
                <w:color w:val="auto"/>
              </w:rPr>
              <w:t>Common stock to be outstanding immediately after this</w:t>
            </w:r>
          </w:p>
        </w:tc>
        <w:tc>
          <w:tcPr>
            <w:tcW w:w="1980" w:type="dxa"/>
            <w:vAlign w:val="bottom"/>
          </w:tcPr>
          <w:p>
            <w:pPr>
              <w:ind w:left="940"/>
              <w:spacing w:after="0"/>
              <w:rPr>
                <w:sz w:val="20"/>
                <w:szCs w:val="20"/>
                <w:color w:val="auto"/>
              </w:rPr>
            </w:pPr>
            <w:r>
              <w:rPr>
                <w:rFonts w:ascii="Arial" w:cs="Arial" w:eastAsia="Arial" w:hAnsi="Arial"/>
                <w:sz w:val="18"/>
                <w:szCs w:val="18"/>
                <w:color w:val="auto"/>
              </w:rPr>
              <w:t>shares (or</w:t>
            </w:r>
          </w:p>
        </w:tc>
        <w:tc>
          <w:tcPr>
            <w:tcW w:w="4120" w:type="dxa"/>
            <w:vAlign w:val="bottom"/>
            <w:gridSpan w:val="2"/>
          </w:tcPr>
          <w:p>
            <w:pPr>
              <w:ind w:left="660"/>
              <w:spacing w:after="0"/>
              <w:rPr>
                <w:sz w:val="20"/>
                <w:szCs w:val="20"/>
                <w:color w:val="auto"/>
              </w:rPr>
            </w:pPr>
            <w:r>
              <w:rPr>
                <w:rFonts w:ascii="Arial" w:cs="Arial" w:eastAsia="Arial" w:hAnsi="Arial"/>
                <w:sz w:val="18"/>
                <w:szCs w:val="18"/>
                <w:color w:val="auto"/>
              </w:rPr>
              <w:t>shares if the underwriters exercise their</w:t>
            </w: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offering</w:t>
            </w:r>
          </w:p>
        </w:tc>
        <w:tc>
          <w:tcPr>
            <w:tcW w:w="4340" w:type="dxa"/>
            <w:vAlign w:val="bottom"/>
            <w:gridSpan w:val="2"/>
          </w:tcPr>
          <w:p>
            <w:pPr>
              <w:ind w:left="80"/>
              <w:spacing w:after="0"/>
              <w:rPr>
                <w:sz w:val="20"/>
                <w:szCs w:val="20"/>
                <w:color w:val="auto"/>
              </w:rPr>
            </w:pPr>
            <w:r>
              <w:rPr>
                <w:rFonts w:ascii="Arial" w:cs="Arial" w:eastAsia="Arial" w:hAnsi="Arial"/>
                <w:sz w:val="18"/>
                <w:szCs w:val="18"/>
                <w:color w:val="auto"/>
              </w:rPr>
              <w:t>option to purchase additional shares in full).</w:t>
            </w:r>
          </w:p>
        </w:tc>
        <w:tc>
          <w:tcPr>
            <w:tcW w:w="1760" w:type="dxa"/>
            <w:vAlign w:val="bottom"/>
          </w:tcPr>
          <w:p>
            <w:pPr>
              <w:spacing w:after="0"/>
              <w:rPr>
                <w:sz w:val="20"/>
                <w:szCs w:val="20"/>
                <w:color w:val="auto"/>
              </w:rPr>
            </w:pPr>
          </w:p>
        </w:tc>
      </w:tr>
      <w:tr>
        <w:trPr>
          <w:trHeight w:val="423"/>
        </w:trPr>
        <w:tc>
          <w:tcPr>
            <w:tcW w:w="4480" w:type="dxa"/>
            <w:vAlign w:val="bottom"/>
          </w:tcPr>
          <w:p>
            <w:pPr>
              <w:spacing w:after="0"/>
              <w:rPr>
                <w:sz w:val="20"/>
                <w:szCs w:val="20"/>
                <w:color w:val="auto"/>
              </w:rPr>
            </w:pPr>
            <w:r>
              <w:rPr>
                <w:rFonts w:ascii="Arial" w:cs="Arial" w:eastAsia="Arial" w:hAnsi="Arial"/>
                <w:sz w:val="18"/>
                <w:szCs w:val="18"/>
                <w:color w:val="auto"/>
              </w:rPr>
              <w:t>Use of proceeds</w:t>
            </w:r>
          </w:p>
        </w:tc>
        <w:tc>
          <w:tcPr>
            <w:tcW w:w="6100" w:type="dxa"/>
            <w:vAlign w:val="bottom"/>
            <w:gridSpan w:val="3"/>
          </w:tcPr>
          <w:p>
            <w:pPr>
              <w:ind w:left="8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480" w:type="dxa"/>
            <w:vAlign w:val="bottom"/>
          </w:tcPr>
          <w:p>
            <w:pPr>
              <w:spacing w:after="0"/>
              <w:rPr>
                <w:sz w:val="17"/>
                <w:szCs w:val="17"/>
                <w:color w:val="auto"/>
              </w:rPr>
            </w:pPr>
          </w:p>
        </w:tc>
        <w:tc>
          <w:tcPr>
            <w:tcW w:w="1980" w:type="dxa"/>
            <w:vAlign w:val="bottom"/>
          </w:tcPr>
          <w:p>
            <w:pPr>
              <w:ind w:left="80"/>
              <w:spacing w:after="0" w:line="202" w:lineRule="exact"/>
              <w:rPr>
                <w:sz w:val="20"/>
                <w:szCs w:val="20"/>
                <w:color w:val="auto"/>
              </w:rPr>
            </w:pPr>
            <w:r>
              <w:rPr>
                <w:rFonts w:ascii="Arial" w:cs="Arial" w:eastAsia="Arial" w:hAnsi="Arial"/>
                <w:sz w:val="18"/>
                <w:szCs w:val="18"/>
                <w:color w:val="auto"/>
              </w:rPr>
              <w:t>approximately $</w:t>
            </w:r>
          </w:p>
        </w:tc>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million (or approximately $</w:t>
            </w:r>
          </w:p>
        </w:tc>
        <w:tc>
          <w:tcPr>
            <w:tcW w:w="1760" w:type="dxa"/>
            <w:vAlign w:val="bottom"/>
          </w:tcPr>
          <w:p>
            <w:pPr>
              <w:ind w:left="820"/>
              <w:spacing w:after="0" w:line="202" w:lineRule="exact"/>
              <w:rPr>
                <w:sz w:val="20"/>
                <w:szCs w:val="20"/>
                <w:color w:val="auto"/>
              </w:rPr>
            </w:pPr>
            <w:r>
              <w:rPr>
                <w:rFonts w:ascii="Arial" w:cs="Arial" w:eastAsia="Arial" w:hAnsi="Arial"/>
                <w:sz w:val="18"/>
                <w:szCs w:val="18"/>
                <w:color w:val="auto"/>
                <w:w w:val="96"/>
              </w:rPr>
              <w:t>million if the</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underwriters exercise their option to purchase additional shares in full) from</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the sale of the shares of common stock offered by us in this offering,</w:t>
            </w:r>
          </w:p>
        </w:tc>
      </w:tr>
      <w:tr>
        <w:trPr>
          <w:trHeight w:val="203"/>
        </w:trPr>
        <w:tc>
          <w:tcPr>
            <w:tcW w:w="4480" w:type="dxa"/>
            <w:vAlign w:val="bottom"/>
          </w:tcPr>
          <w:p>
            <w:pPr>
              <w:spacing w:after="0"/>
              <w:rPr>
                <w:sz w:val="17"/>
                <w:szCs w:val="17"/>
                <w:color w:val="auto"/>
              </w:rPr>
            </w:pPr>
          </w:p>
        </w:tc>
        <w:tc>
          <w:tcPr>
            <w:tcW w:w="43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assuming an initial public offering price of $</w:t>
            </w:r>
          </w:p>
        </w:tc>
        <w:tc>
          <w:tcPr>
            <w:tcW w:w="1760" w:type="dxa"/>
            <w:vAlign w:val="bottom"/>
          </w:tcPr>
          <w:p>
            <w:pPr>
              <w:ind w:left="20"/>
              <w:spacing w:after="0" w:line="202" w:lineRule="exact"/>
              <w:rPr>
                <w:sz w:val="20"/>
                <w:szCs w:val="20"/>
                <w:color w:val="auto"/>
              </w:rPr>
            </w:pPr>
            <w:r>
              <w:rPr>
                <w:rFonts w:ascii="Arial" w:cs="Arial" w:eastAsia="Arial" w:hAnsi="Arial"/>
                <w:sz w:val="18"/>
                <w:szCs w:val="18"/>
                <w:color w:val="auto"/>
              </w:rPr>
              <w:t>per share, which is</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the midpoint of the price range set forth on the cover page of this</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prospectus, and after deducting the estimated underwriting discounts and</w:t>
            </w:r>
          </w:p>
        </w:tc>
      </w:tr>
      <w:tr>
        <w:trPr>
          <w:trHeight w:val="239"/>
        </w:trPr>
        <w:tc>
          <w:tcPr>
            <w:tcW w:w="4480" w:type="dxa"/>
            <w:vAlign w:val="bottom"/>
          </w:tcPr>
          <w:p>
            <w:pPr>
              <w:spacing w:after="0"/>
              <w:rPr>
                <w:sz w:val="20"/>
                <w:szCs w:val="20"/>
                <w:color w:val="auto"/>
              </w:rPr>
            </w:pPr>
          </w:p>
        </w:tc>
        <w:tc>
          <w:tcPr>
            <w:tcW w:w="6100" w:type="dxa"/>
            <w:vAlign w:val="bottom"/>
            <w:gridSpan w:val="3"/>
          </w:tcPr>
          <w:p>
            <w:pPr>
              <w:ind w:left="8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409"/>
        </w:trPr>
        <w:tc>
          <w:tcPr>
            <w:tcW w:w="4480" w:type="dxa"/>
            <w:vAlign w:val="bottom"/>
          </w:tcPr>
          <w:p>
            <w:pPr>
              <w:spacing w:after="0"/>
              <w:rPr>
                <w:sz w:val="24"/>
                <w:szCs w:val="24"/>
                <w:color w:val="auto"/>
              </w:rPr>
            </w:pPr>
          </w:p>
        </w:tc>
        <w:tc>
          <w:tcPr>
            <w:tcW w:w="6100" w:type="dxa"/>
            <w:vAlign w:val="bottom"/>
            <w:gridSpan w:val="3"/>
          </w:tcPr>
          <w:p>
            <w:pPr>
              <w:ind w:left="80"/>
              <w:spacing w:after="0"/>
              <w:rPr>
                <w:sz w:val="20"/>
                <w:szCs w:val="20"/>
                <w:color w:val="auto"/>
              </w:rPr>
            </w:pPr>
            <w:r>
              <w:rPr>
                <w:rFonts w:ascii="Arial" w:cs="Arial" w:eastAsia="Arial" w:hAnsi="Arial"/>
                <w:sz w:val="18"/>
                <w:szCs w:val="18"/>
                <w:color w:val="auto"/>
                <w:w w:val="99"/>
              </w:rPr>
              <w:t>We currently intend to use the net proceeds from this offering, together with</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9"/>
              </w:rPr>
              <w:t>our existing cash, cash equivalents, and short-term investments, to fund the</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research and development of our ecDTx, ecDNA diagnostic test, and</w:t>
            </w:r>
          </w:p>
        </w:tc>
      </w:tr>
      <w:tr>
        <w:trPr>
          <w:trHeight w:val="203"/>
        </w:trPr>
        <w:tc>
          <w:tcPr>
            <w:tcW w:w="4480" w:type="dxa"/>
            <w:vAlign w:val="bottom"/>
          </w:tcPr>
          <w:p>
            <w:pPr>
              <w:spacing w:after="0"/>
              <w:rPr>
                <w:sz w:val="17"/>
                <w:szCs w:val="17"/>
                <w:color w:val="auto"/>
              </w:rPr>
            </w:pPr>
          </w:p>
        </w:tc>
        <w:tc>
          <w:tcPr>
            <w:tcW w:w="6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Spyglass platform, and for working capital and general corporate purposes.</w:t>
            </w:r>
          </w:p>
        </w:tc>
      </w:tr>
      <w:tr>
        <w:trPr>
          <w:trHeight w:val="239"/>
        </w:trPr>
        <w:tc>
          <w:tcPr>
            <w:tcW w:w="4480" w:type="dxa"/>
            <w:vAlign w:val="bottom"/>
          </w:tcPr>
          <w:p>
            <w:pPr>
              <w:spacing w:after="0"/>
              <w:rPr>
                <w:sz w:val="20"/>
                <w:szCs w:val="20"/>
                <w:color w:val="auto"/>
              </w:rPr>
            </w:pPr>
          </w:p>
        </w:tc>
        <w:tc>
          <w:tcPr>
            <w:tcW w:w="4340" w:type="dxa"/>
            <w:vAlign w:val="bottom"/>
            <w:gridSpan w:val="2"/>
          </w:tcPr>
          <w:p>
            <w:pPr>
              <w:ind w:left="80"/>
              <w:spacing w:after="0"/>
              <w:rPr>
                <w:sz w:val="20"/>
                <w:szCs w:val="20"/>
                <w:color w:val="auto"/>
              </w:rPr>
            </w:pPr>
            <w:r>
              <w:rPr>
                <w:rFonts w:ascii="Arial" w:cs="Arial" w:eastAsia="Arial" w:hAnsi="Arial"/>
                <w:sz w:val="18"/>
                <w:szCs w:val="18"/>
                <w:color w:val="auto"/>
              </w:rPr>
              <w:t>See the section titled “Use of Proceeds.”</w:t>
            </w:r>
          </w:p>
        </w:tc>
        <w:tc>
          <w:tcPr>
            <w:tcW w:w="1760" w:type="dxa"/>
            <w:vAlign w:val="bottom"/>
          </w:tcPr>
          <w:p>
            <w:pPr>
              <w:spacing w:after="0"/>
              <w:rPr>
                <w:sz w:val="20"/>
                <w:szCs w:val="20"/>
                <w:color w:val="auto"/>
              </w:rPr>
            </w:pPr>
          </w:p>
        </w:tc>
      </w:tr>
      <w:tr>
        <w:trPr>
          <w:trHeight w:val="409"/>
        </w:trPr>
        <w:tc>
          <w:tcPr>
            <w:tcW w:w="4480" w:type="dxa"/>
            <w:vAlign w:val="bottom"/>
          </w:tcPr>
          <w:p>
            <w:pPr>
              <w:spacing w:after="0"/>
              <w:rPr>
                <w:sz w:val="20"/>
                <w:szCs w:val="20"/>
                <w:color w:val="auto"/>
              </w:rPr>
            </w:pPr>
            <w:r>
              <w:rPr>
                <w:rFonts w:ascii="Arial" w:cs="Arial" w:eastAsia="Arial" w:hAnsi="Arial"/>
                <w:sz w:val="18"/>
                <w:szCs w:val="18"/>
                <w:color w:val="auto"/>
              </w:rPr>
              <w:t>Risk factors</w:t>
            </w:r>
          </w:p>
        </w:tc>
        <w:tc>
          <w:tcPr>
            <w:tcW w:w="6100" w:type="dxa"/>
            <w:vAlign w:val="bottom"/>
            <w:gridSpan w:val="3"/>
          </w:tcPr>
          <w:p>
            <w:pPr>
              <w:ind w:left="80"/>
              <w:spacing w:after="0"/>
              <w:rPr>
                <w:sz w:val="20"/>
                <w:szCs w:val="20"/>
                <w:color w:val="auto"/>
              </w:rPr>
            </w:pPr>
            <w:r>
              <w:rPr>
                <w:rFonts w:ascii="Arial" w:cs="Arial" w:eastAsia="Arial" w:hAnsi="Arial"/>
                <w:sz w:val="18"/>
                <w:szCs w:val="18"/>
                <w:color w:val="auto"/>
              </w:rPr>
              <w:t>See the section titled “Risk Factors” for a discussion of risks you should</w:t>
            </w:r>
          </w:p>
        </w:tc>
      </w:tr>
      <w:tr>
        <w:trPr>
          <w:trHeight w:val="239"/>
        </w:trPr>
        <w:tc>
          <w:tcPr>
            <w:tcW w:w="4480" w:type="dxa"/>
            <w:vAlign w:val="bottom"/>
          </w:tcPr>
          <w:p>
            <w:pPr>
              <w:spacing w:after="0"/>
              <w:rPr>
                <w:sz w:val="20"/>
                <w:szCs w:val="20"/>
                <w:color w:val="auto"/>
              </w:rPr>
            </w:pPr>
          </w:p>
        </w:tc>
        <w:tc>
          <w:tcPr>
            <w:tcW w:w="6100" w:type="dxa"/>
            <w:vAlign w:val="bottom"/>
            <w:gridSpan w:val="3"/>
          </w:tcPr>
          <w:p>
            <w:pPr>
              <w:ind w:left="80"/>
              <w:spacing w:after="0"/>
              <w:rPr>
                <w:sz w:val="20"/>
                <w:szCs w:val="20"/>
                <w:color w:val="auto"/>
              </w:rPr>
            </w:pPr>
            <w:r>
              <w:rPr>
                <w:rFonts w:ascii="Arial" w:cs="Arial" w:eastAsia="Arial" w:hAnsi="Arial"/>
                <w:sz w:val="18"/>
                <w:szCs w:val="18"/>
                <w:color w:val="auto"/>
              </w:rPr>
              <w:t>consider carefully before deciding to invest in our common stock.</w:t>
            </w:r>
          </w:p>
        </w:tc>
      </w:tr>
      <w:tr>
        <w:trPr>
          <w:trHeight w:val="445"/>
        </w:trPr>
        <w:tc>
          <w:tcPr>
            <w:tcW w:w="448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980" w:type="dxa"/>
            <w:vAlign w:val="bottom"/>
          </w:tcPr>
          <w:p>
            <w:pPr>
              <w:ind w:left="80"/>
              <w:spacing w:after="0"/>
              <w:rPr>
                <w:sz w:val="20"/>
                <w:szCs w:val="20"/>
                <w:color w:val="auto"/>
              </w:rPr>
            </w:pPr>
            <w:r>
              <w:rPr>
                <w:rFonts w:ascii="Arial" w:cs="Arial" w:eastAsia="Arial" w:hAnsi="Arial"/>
                <w:sz w:val="18"/>
                <w:szCs w:val="18"/>
                <w:color w:val="auto"/>
              </w:rPr>
              <w:t>“BOLD”</w:t>
            </w: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93" w:lineRule="exact"/>
        <w:rPr>
          <w:sz w:val="20"/>
          <w:szCs w:val="20"/>
          <w:color w:val="auto"/>
        </w:rPr>
      </w:pPr>
    </w:p>
    <w:p>
      <w:pPr>
        <w:ind w:left="300" w:right="200" w:firstLine="532"/>
        <w:spacing w:after="0" w:line="247" w:lineRule="auto"/>
        <w:rPr>
          <w:sz w:val="20"/>
          <w:szCs w:val="20"/>
          <w:color w:val="auto"/>
        </w:rPr>
      </w:pPr>
      <w:r>
        <w:rPr>
          <w:rFonts w:ascii="Arial" w:cs="Arial" w:eastAsia="Arial" w:hAnsi="Arial"/>
          <w:sz w:val="18"/>
          <w:szCs w:val="18"/>
          <w:color w:val="auto"/>
        </w:rPr>
        <w:t>The number of shares of our common stock to be outstanding after this offering set forth above is based on 311,793,763 shares of our common stock outstanding as of December 31, 2023, including 28,890 shares subject to a right of repurchase after giving effect to the automatic conversion of all outstanding shares of our convertible preferred stock into 287,446,844 shares of our common stock immediately prior to the closing of this offering, and excludes:</w:t>
      </w:r>
    </w:p>
    <w:p>
      <w:pPr>
        <w:spacing w:after="0" w:line="79" w:lineRule="exact"/>
        <w:rPr>
          <w:sz w:val="20"/>
          <w:szCs w:val="20"/>
          <w:color w:val="auto"/>
        </w:rPr>
      </w:pPr>
    </w:p>
    <w:p>
      <w:pPr>
        <w:ind w:left="1560" w:right="340" w:hanging="411"/>
        <w:spacing w:after="0" w:line="271" w:lineRule="auto"/>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54,873,734 shares of common stock issuable upon the exercise of stock options outstanding as of December 31, 2023, with a weighted-average exercise price of $0.21 per share;</w:t>
      </w:r>
    </w:p>
    <w:p>
      <w:pPr>
        <w:spacing w:after="0" w:line="59" w:lineRule="exact"/>
        <w:rPr>
          <w:rFonts w:ascii="Arial" w:cs="Arial" w:eastAsia="Arial" w:hAnsi="Arial"/>
          <w:sz w:val="18"/>
          <w:szCs w:val="18"/>
          <w:color w:val="auto"/>
        </w:rPr>
      </w:pPr>
    </w:p>
    <w:p>
      <w:pPr>
        <w:ind w:left="2400" w:hanging="1251"/>
        <w:spacing w:after="0"/>
        <w:tabs>
          <w:tab w:leader="none" w:pos="2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common stock issuable upon exercise of stock options granted subsequent to December 31,</w:t>
      </w:r>
    </w:p>
    <w:p>
      <w:pPr>
        <w:spacing w:after="0" w:line="14" w:lineRule="exact"/>
        <w:rPr>
          <w:sz w:val="20"/>
          <w:szCs w:val="20"/>
          <w:color w:val="auto"/>
        </w:rPr>
      </w:pPr>
    </w:p>
    <w:p>
      <w:pPr>
        <w:ind w:left="1560"/>
        <w:spacing w:after="0"/>
        <w:tabs>
          <w:tab w:leader="none" w:pos="6340" w:val="left"/>
        </w:tabs>
        <w:rPr>
          <w:sz w:val="20"/>
          <w:szCs w:val="20"/>
          <w:color w:val="auto"/>
        </w:rPr>
      </w:pPr>
      <w:r>
        <w:rPr>
          <w:rFonts w:ascii="Arial" w:cs="Arial" w:eastAsia="Arial" w:hAnsi="Arial"/>
          <w:sz w:val="18"/>
          <w:szCs w:val="18"/>
          <w:color w:val="auto"/>
        </w:rPr>
        <w:t>2023, with a weighted-average exercise price of $</w:t>
      </w:r>
      <w:r>
        <w:rPr>
          <w:sz w:val="20"/>
          <w:szCs w:val="20"/>
          <w:color w:val="auto"/>
        </w:rPr>
        <w:tab/>
      </w:r>
      <w:r>
        <w:rPr>
          <w:rFonts w:ascii="Arial" w:cs="Arial" w:eastAsia="Arial" w:hAnsi="Arial"/>
          <w:sz w:val="18"/>
          <w:szCs w:val="18"/>
          <w:color w:val="auto"/>
        </w:rPr>
        <w:t>per share;</w:t>
      </w: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93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2893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hanging="411"/>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2024 Incentive Award Plan (the 2024</w:t>
      </w:r>
    </w:p>
    <w:p>
      <w:pPr>
        <w:spacing w:after="0" w:line="9" w:lineRule="exact"/>
        <w:rPr>
          <w:sz w:val="20"/>
          <w:szCs w:val="20"/>
          <w:color w:val="auto"/>
        </w:rPr>
      </w:pPr>
    </w:p>
    <w:p>
      <w:pPr>
        <w:ind w:left="1560"/>
        <w:spacing w:after="0"/>
        <w:tabs>
          <w:tab w:leader="none" w:pos="9880" w:val="left"/>
        </w:tabs>
        <w:rPr>
          <w:sz w:val="20"/>
          <w:szCs w:val="20"/>
          <w:color w:val="auto"/>
        </w:rPr>
      </w:pPr>
      <w:r>
        <w:rPr>
          <w:rFonts w:ascii="Arial" w:cs="Arial" w:eastAsia="Arial" w:hAnsi="Arial"/>
          <w:sz w:val="18"/>
          <w:szCs w:val="18"/>
          <w:color w:val="auto"/>
        </w:rPr>
        <w:t>Plan), which will become effective in connection with this offering, which will equal the sum of (1)</w:t>
      </w:r>
      <w:r>
        <w:rPr>
          <w:sz w:val="20"/>
          <w:szCs w:val="20"/>
          <w:color w:val="auto"/>
        </w:rPr>
        <w:tab/>
      </w:r>
      <w:r>
        <w:rPr>
          <w:rFonts w:ascii="Arial" w:cs="Arial" w:eastAsia="Arial" w:hAnsi="Arial"/>
          <w:sz w:val="18"/>
          <w:szCs w:val="18"/>
          <w:color w:val="auto"/>
        </w:rPr>
        <w:t>shares, plus</w:t>
      </w:r>
    </w:p>
    <w:p>
      <w:pPr>
        <w:ind w:left="1560" w:right="280" w:hanging="6"/>
        <w:spacing w:after="0" w:line="242" w:lineRule="auto"/>
        <w:tabs>
          <w:tab w:leader="none" w:pos="2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shares of common stock remaining available for issuance under our 2018 Equity Incentive Plan (the 2018 Plan) as of the effective date of the 2024 Plan, which shares will be added to the 2024 Plan upon its effectiveness, plus (3) any potential evergreen increases pursuant to the terms of the 2024 Plan; and</w:t>
      </w:r>
    </w:p>
    <w:p>
      <w:pPr>
        <w:spacing w:after="0" w:line="84" w:lineRule="exact"/>
        <w:rPr>
          <w:rFonts w:ascii="Arial" w:cs="Arial" w:eastAsia="Arial" w:hAnsi="Arial"/>
          <w:sz w:val="18"/>
          <w:szCs w:val="18"/>
          <w:color w:val="auto"/>
        </w:rPr>
      </w:pPr>
    </w:p>
    <w:p>
      <w:pPr>
        <w:ind w:left="1560" w:right="600" w:hanging="411"/>
        <w:spacing w:after="0" w:line="253" w:lineRule="auto"/>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2024 Employee Stock Purchase Plan (the ESPP), which will become effective in connection with this offering, which will equal the sum of (1) shares, plus (2) any potential evergreen increases pursuant to the terms of the ESPP.</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 the following:</w:t>
      </w:r>
    </w:p>
    <w:p>
      <w:pPr>
        <w:spacing w:after="0" w:line="117" w:lineRule="exact"/>
        <w:rPr>
          <w:sz w:val="20"/>
          <w:szCs w:val="20"/>
          <w:color w:val="auto"/>
        </w:rPr>
      </w:pPr>
    </w:p>
    <w:p>
      <w:pPr>
        <w:ind w:left="1560" w:right="300" w:hanging="411"/>
        <w:spacing w:after="0" w:line="271" w:lineRule="auto"/>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59" w:lineRule="exact"/>
        <w:rPr>
          <w:rFonts w:ascii="Arial" w:cs="Arial" w:eastAsia="Arial" w:hAnsi="Arial"/>
          <w:sz w:val="18"/>
          <w:szCs w:val="18"/>
          <w:color w:val="auto"/>
        </w:rPr>
      </w:pPr>
    </w:p>
    <w:p>
      <w:pPr>
        <w:ind w:left="1560" w:right="420" w:hanging="411"/>
        <w:spacing w:after="0" w:line="271" w:lineRule="auto"/>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287,446,844 shares of our common stock immediately prior to the closing of this offering;</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a   -for-   reverse stock split of our common stock, which we effected on</w:t>
            </w:r>
          </w:p>
        </w:tc>
        <w:tc>
          <w:tcPr>
            <w:tcW w:w="3240" w:type="dxa"/>
            <w:vAlign w:val="bottom"/>
          </w:tcPr>
          <w:p>
            <w:pPr>
              <w:jc w:val="right"/>
              <w:ind w:right="2170"/>
              <w:spacing w:after="0"/>
              <w:rPr>
                <w:sz w:val="20"/>
                <w:szCs w:val="20"/>
                <w:color w:val="auto"/>
              </w:rPr>
            </w:pPr>
            <w:r>
              <w:rPr>
                <w:rFonts w:ascii="Arial" w:cs="Arial" w:eastAsia="Arial" w:hAnsi="Arial"/>
                <w:sz w:val="18"/>
                <w:szCs w:val="18"/>
                <w:color w:val="auto"/>
              </w:rPr>
              <w:t>, 2024;</w:t>
            </w:r>
          </w:p>
        </w:tc>
      </w:tr>
      <w:tr>
        <w:trPr>
          <w:trHeight w:val="324"/>
        </w:trPr>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5700" w:type="dxa"/>
            <w:vAlign w:val="bottom"/>
          </w:tcPr>
          <w:p>
            <w:pPr>
              <w:ind w:left="180"/>
              <w:spacing w:after="0"/>
              <w:rPr>
                <w:sz w:val="20"/>
                <w:szCs w:val="20"/>
                <w:color w:val="auto"/>
              </w:rPr>
            </w:pPr>
            <w:r>
              <w:rPr>
                <w:rFonts w:ascii="Arial" w:cs="Arial" w:eastAsia="Arial" w:hAnsi="Arial"/>
                <w:sz w:val="18"/>
                <w:szCs w:val="18"/>
                <w:color w:val="auto"/>
              </w:rPr>
              <w:t>no exercise of the outstanding stock options described above; and</w:t>
            </w:r>
          </w:p>
        </w:tc>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24"/>
        </w:trPr>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5700" w:type="dxa"/>
            <w:vAlign w:val="bottom"/>
          </w:tcPr>
          <w:p>
            <w:pPr>
              <w:ind w:left="180"/>
              <w:spacing w:after="0"/>
              <w:rPr>
                <w:sz w:val="20"/>
                <w:szCs w:val="20"/>
                <w:color w:val="auto"/>
              </w:rPr>
            </w:pPr>
            <w:r>
              <w:rPr>
                <w:rFonts w:ascii="Arial" w:cs="Arial" w:eastAsia="Arial" w:hAnsi="Arial"/>
                <w:sz w:val="18"/>
                <w:szCs w:val="18"/>
                <w:color w:val="auto"/>
              </w:rPr>
              <w:t>no exercise by the underwriters of their option to purchase up to</w:t>
            </w:r>
          </w:p>
        </w:tc>
        <w:tc>
          <w:tcPr>
            <w:tcW w:w="4060" w:type="dxa"/>
            <w:vAlign w:val="bottom"/>
            <w:gridSpan w:val="2"/>
          </w:tcPr>
          <w:p>
            <w:pPr>
              <w:jc w:val="right"/>
              <w:ind w:right="590"/>
              <w:spacing w:after="0"/>
              <w:rPr>
                <w:sz w:val="20"/>
                <w:szCs w:val="20"/>
                <w:color w:val="auto"/>
              </w:rPr>
            </w:pPr>
            <w:r>
              <w:rPr>
                <w:rFonts w:ascii="Arial" w:cs="Arial" w:eastAsia="Arial" w:hAnsi="Arial"/>
                <w:sz w:val="18"/>
                <w:szCs w:val="18"/>
                <w:color w:val="auto"/>
              </w:rPr>
              <w:t>additional shares of our common stock.</w:t>
            </w:r>
          </w:p>
        </w:tc>
      </w:tr>
      <w:tr>
        <w:trPr>
          <w:trHeight w:val="141"/>
        </w:trPr>
        <w:tc>
          <w:tcPr>
            <w:tcW w:w="126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r>
      <w:tr>
        <w:trPr>
          <w:trHeight w:val="365"/>
        </w:trPr>
        <w:tc>
          <w:tcPr>
            <w:tcW w:w="1260" w:type="dxa"/>
            <w:vAlign w:val="bottom"/>
          </w:tcPr>
          <w:p>
            <w:pPr>
              <w:spacing w:after="0"/>
              <w:rPr>
                <w:sz w:val="24"/>
                <w:szCs w:val="24"/>
                <w:color w:val="auto"/>
              </w:rPr>
            </w:pPr>
          </w:p>
        </w:tc>
        <w:tc>
          <w:tcPr>
            <w:tcW w:w="5700" w:type="dxa"/>
            <w:vAlign w:val="bottom"/>
          </w:tcPr>
          <w:p>
            <w:pPr>
              <w:jc w:val="right"/>
              <w:ind w:right="127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1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summary statements of operations data for the years ended December 31, 2021 and 2022 from our audited financial statements included elsewhere in this prospectus. We have derived the summary statements of operations data for the nine months ended September 30, 2022 and 2023 and the summary balance sheet data as of September 30, 2023 from our unaudited condensed financial statements included elsewhere in this prospectus. The unaudited condensed financial statements have been prepared on a basis consistent with our audited financial statements included in this prospectus and, in the opinion of management, reflect all adjustments, consisting only of normal recurring adjustments, necessary to fairly state the financial information in those statements.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 and our interim results are not necessarily indicative of our expected results for the year ended December 31, 2023.</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Statements of Operations Data:</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19,278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37,159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27,501</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46,469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(25,301)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(46,469)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(34,396)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568</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3,710</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(25,210)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(45,901)</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(34,122)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60" w:type="dxa"/>
            <w:vAlign w:val="bottom"/>
          </w:tcPr>
          <w:p>
            <w:pPr>
              <w:spacing w:after="0" w:line="197" w:lineRule="exact"/>
              <w:rPr>
                <w:sz w:val="20"/>
                <w:szCs w:val="20"/>
                <w:color w:val="auto"/>
              </w:rPr>
            </w:pPr>
            <w:r>
              <w:rPr>
                <w:rFonts w:ascii="Arial" w:cs="Arial" w:eastAsia="Arial" w:hAnsi="Arial"/>
                <w:sz w:val="16"/>
                <w:szCs w:val="16"/>
                <w:color w:val="auto"/>
              </w:rPr>
              <w:t>Net loss per common share, basic and diluted</w:t>
            </w:r>
            <w:r>
              <w:rPr>
                <w:rFonts w:ascii="Arial" w:cs="Arial" w:eastAsia="Arial" w:hAnsi="Arial"/>
                <w:sz w:val="22"/>
                <w:szCs w:val="22"/>
                <w:color w:val="auto"/>
                <w:vertAlign w:val="superscript"/>
              </w:rPr>
              <w:t>(1)</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(1.50)</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(2.14)</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(1.62)</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Weighted-average shares used in net loss per common share calculation,</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line="221" w:lineRule="exact"/>
              <w:rPr>
                <w:sz w:val="20"/>
                <w:szCs w:val="20"/>
                <w:color w:val="auto"/>
              </w:rPr>
            </w:pPr>
            <w:r>
              <w:rPr>
                <w:rFonts w:ascii="Arial" w:cs="Arial" w:eastAsia="Arial" w:hAnsi="Arial"/>
                <w:sz w:val="17"/>
                <w:szCs w:val="17"/>
                <w:color w:val="auto"/>
              </w:rPr>
              <w:t>basic and diluted</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60" w:type="dxa"/>
            <w:vAlign w:val="bottom"/>
          </w:tcPr>
          <w:p>
            <w:pPr>
              <w:spacing w:after="0" w:line="197" w:lineRule="exact"/>
              <w:rPr>
                <w:sz w:val="20"/>
                <w:szCs w:val="20"/>
                <w:color w:val="auto"/>
              </w:rPr>
            </w:pPr>
            <w:r>
              <w:rPr>
                <w:rFonts w:ascii="Arial" w:cs="Arial" w:eastAsia="Arial" w:hAnsi="Arial"/>
                <w:sz w:val="16"/>
                <w:szCs w:val="16"/>
                <w:color w:val="auto"/>
              </w:rPr>
              <w:t>Pro forma net loss per common share, basic and diluted (unaudited)</w:t>
            </w:r>
            <w:r>
              <w:rPr>
                <w:rFonts w:ascii="Arial" w:cs="Arial" w:eastAsia="Arial" w:hAnsi="Arial"/>
                <w:sz w:val="22"/>
                <w:szCs w:val="22"/>
                <w:color w:val="auto"/>
                <w:vertAlign w:val="superscript"/>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Pro forma weighted-average shares used in pro forma net loss per</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160"/>
              <w:spacing w:after="0" w:line="221" w:lineRule="exact"/>
              <w:rPr>
                <w:sz w:val="20"/>
                <w:szCs w:val="20"/>
                <w:color w:val="auto"/>
              </w:rPr>
            </w:pPr>
            <w:r>
              <w:rPr>
                <w:rFonts w:ascii="Arial" w:cs="Arial" w:eastAsia="Arial" w:hAnsi="Arial"/>
                <w:sz w:val="17"/>
                <w:szCs w:val="17"/>
                <w:color w:val="auto"/>
              </w:rPr>
              <w:t>common share calculation, basic and diluted (unaudited)</w:t>
            </w:r>
            <w:r>
              <w:rPr>
                <w:rFonts w:ascii="Arial" w:cs="Arial" w:eastAsia="Arial" w:hAnsi="Arial"/>
                <w:sz w:val="25"/>
                <w:szCs w:val="25"/>
                <w:color w:val="auto"/>
                <w:vertAlign w:val="superscript"/>
              </w:rPr>
              <w:t>(2)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165,996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259,703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720" w:right="220" w:hanging="422"/>
        <w:spacing w:after="0" w:line="263" w:lineRule="auto"/>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Notes 2 and 13 to our audited financial statements and Notes 2 and 11 to our unaudited condensed financial statements included elsewhere in this prospectus for an explanation of the methods used to calculate historical net loss per share, basic and diluted, and the weighted-average number of shares of common stock used in the computation of the per share amounts.</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18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4189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20" w:right="20" w:hanging="422"/>
        <w:spacing w:after="0" w:line="248"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 ended December 31, 2022 and the nine months ended September 30, 2023 were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 or their issuance dates, if later, and an adjustment to the net loss in the pro forma basic and diluted net loss per share calculation to remove gains from the remeasurement of the preferred stock purchase right liability.</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69"/>
        </w:trPr>
        <w:tc>
          <w:tcPr>
            <w:tcW w:w="7120" w:type="dxa"/>
            <w:vAlign w:val="bottom"/>
          </w:tcPr>
          <w:p>
            <w:pPr>
              <w:spacing w:after="0"/>
              <w:rPr>
                <w:sz w:val="14"/>
                <w:szCs w:val="14"/>
                <w:color w:val="auto"/>
              </w:rPr>
            </w:pPr>
          </w:p>
        </w:tc>
        <w:tc>
          <w:tcPr>
            <w:tcW w:w="9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1280" w:type="dxa"/>
            <w:vAlign w:val="bottom"/>
            <w:tcBorders>
              <w:top w:val="single" w:sz="8" w:color="auto"/>
            </w:tcBorders>
          </w:tcPr>
          <w:p>
            <w:pPr>
              <w:ind w:left="240"/>
              <w:spacing w:after="0" w:line="169"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19"/>
                <w:szCs w:val="19"/>
                <w:b w:val="1"/>
                <w:bCs w:val="1"/>
                <w:color w:val="auto"/>
                <w:vertAlign w:val="superscript"/>
              </w:rPr>
              <w:t>(1)</w:t>
            </w:r>
          </w:p>
        </w:tc>
        <w:tc>
          <w:tcPr>
            <w:tcW w:w="122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vMerge w:val="continue"/>
          </w:tcPr>
          <w:p>
            <w:pPr>
              <w:spacing w:after="0"/>
              <w:rPr>
                <w:sz w:val="12"/>
                <w:szCs w:val="12"/>
                <w:color w:val="auto"/>
              </w:rPr>
            </w:pPr>
          </w:p>
        </w:tc>
        <w:tc>
          <w:tcPr>
            <w:tcW w:w="1280" w:type="dxa"/>
            <w:vAlign w:val="bottom"/>
          </w:tcPr>
          <w:p>
            <w:pPr>
              <w:jc w:val="right"/>
              <w:ind w:right="489"/>
              <w:spacing w:after="0"/>
              <w:rPr>
                <w:sz w:val="20"/>
                <w:szCs w:val="20"/>
                <w:color w:val="auto"/>
              </w:rPr>
            </w:pPr>
            <w:r>
              <w:rPr>
                <w:rFonts w:ascii="Arial" w:cs="Arial" w:eastAsia="Arial" w:hAnsi="Arial"/>
                <w:sz w:val="11"/>
                <w:szCs w:val="11"/>
                <w:b w:val="1"/>
                <w:bCs w:val="1"/>
                <w:color w:val="auto"/>
              </w:rPr>
              <w:t>(3)</w:t>
            </w:r>
          </w:p>
        </w:tc>
        <w:tc>
          <w:tcPr>
            <w:tcW w:w="1280" w:type="dxa"/>
            <w:vAlign w:val="bottom"/>
            <w:gridSpan w:val="2"/>
          </w:tcPr>
          <w:p>
            <w:pPr>
              <w:ind w:left="120"/>
              <w:spacing w:after="0" w:line="14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7"/>
                <w:szCs w:val="17"/>
                <w:b w:val="1"/>
                <w:bCs w:val="1"/>
                <w:color w:val="auto"/>
                <w:vertAlign w:val="superscript"/>
              </w:rPr>
              <w:t>(2)(3)</w:t>
            </w:r>
          </w:p>
        </w:tc>
        <w:tc>
          <w:tcPr>
            <w:tcW w:w="0" w:type="dxa"/>
            <w:vAlign w:val="bottom"/>
          </w:tcPr>
          <w:p>
            <w:pPr>
              <w:spacing w:after="0"/>
              <w:rPr>
                <w:sz w:val="1"/>
                <w:szCs w:val="1"/>
                <w:color w:val="auto"/>
              </w:rPr>
            </w:pPr>
          </w:p>
        </w:tc>
      </w:tr>
      <w:tr>
        <w:trPr>
          <w:trHeight w:val="183"/>
        </w:trPr>
        <w:tc>
          <w:tcPr>
            <w:tcW w:w="7120" w:type="dxa"/>
            <w:vAlign w:val="bottom"/>
            <w:vMerge w:val="continue"/>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left="189"/>
              <w:spacing w:after="0"/>
              <w:rPr>
                <w:sz w:val="20"/>
                <w:szCs w:val="20"/>
                <w:color w:val="auto"/>
              </w:rPr>
            </w:pPr>
            <w:r>
              <w:rPr>
                <w:rFonts w:ascii="Arial" w:cs="Arial" w:eastAsia="Arial" w:hAnsi="Arial"/>
                <w:sz w:val="14"/>
                <w:szCs w:val="14"/>
                <w:b w:val="1"/>
                <w:bCs w:val="1"/>
                <w:color w:val="auto"/>
              </w:rPr>
              <w:t>(unaudited)</w:t>
            </w:r>
          </w:p>
        </w:tc>
        <w:tc>
          <w:tcPr>
            <w:tcW w:w="1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$132,727</w:t>
            </w:r>
          </w:p>
        </w:tc>
        <w:tc>
          <w:tcPr>
            <w:tcW w:w="12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(4)</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125,559</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143,738</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12,164</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247,617</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(123,965)</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(116,043)</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720" w:right="440" w:hanging="422"/>
        <w:spacing w:after="0" w:line="271"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Gives effect to the automatic conversion of all outstanding shares of our convertible preferred stock into 287,446,844 shares of our common stock and the related reclassification of the carrying value of the convertible preferred stock to permanent equity immediately prior to the closing of this offering.</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(2)</w:t>
            </w:r>
          </w:p>
        </w:tc>
        <w:tc>
          <w:tcPr>
            <w:tcW w:w="7300" w:type="dxa"/>
            <w:vAlign w:val="bottom"/>
            <w:gridSpan w:val="2"/>
          </w:tcPr>
          <w:p>
            <w:pPr>
              <w:ind w:left="120"/>
              <w:spacing w:after="0"/>
              <w:rPr>
                <w:sz w:val="20"/>
                <w:szCs w:val="20"/>
                <w:color w:val="auto"/>
              </w:rPr>
            </w:pPr>
            <w:r>
              <w:rPr>
                <w:rFonts w:ascii="Arial" w:cs="Arial" w:eastAsia="Arial" w:hAnsi="Arial"/>
                <w:sz w:val="14"/>
                <w:szCs w:val="14"/>
                <w:color w:val="auto"/>
              </w:rPr>
              <w:t>Gives effect to (i) the pro forma adjustments set forth in footnote (1) above, and (ii) the issuance and sale of</w:t>
            </w:r>
          </w:p>
        </w:tc>
        <w:tc>
          <w:tcPr>
            <w:tcW w:w="2760" w:type="dxa"/>
            <w:vAlign w:val="bottom"/>
          </w:tcPr>
          <w:p>
            <w:pPr>
              <w:ind w:left="360"/>
              <w:spacing w:after="0"/>
              <w:rPr>
                <w:sz w:val="20"/>
                <w:szCs w:val="20"/>
                <w:color w:val="auto"/>
              </w:rPr>
            </w:pPr>
            <w:r>
              <w:rPr>
                <w:rFonts w:ascii="Arial" w:cs="Arial" w:eastAsia="Arial" w:hAnsi="Arial"/>
                <w:sz w:val="14"/>
                <w:szCs w:val="14"/>
                <w:color w:val="auto"/>
              </w:rPr>
              <w:t>shares of our common stock in this</w:t>
            </w:r>
          </w:p>
        </w:tc>
      </w:tr>
      <w:tr>
        <w:trPr>
          <w:trHeight w:val="162"/>
        </w:trPr>
        <w:tc>
          <w:tcPr>
            <w:tcW w:w="30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offering at the assumed initial public offering price of $</w:t>
            </w:r>
          </w:p>
        </w:tc>
        <w:tc>
          <w:tcPr>
            <w:tcW w:w="6120" w:type="dxa"/>
            <w:vAlign w:val="bottom"/>
            <w:gridSpan w:val="2"/>
          </w:tcPr>
          <w:p>
            <w:pPr>
              <w:ind w:left="280"/>
              <w:spacing w:after="0"/>
              <w:rPr>
                <w:sz w:val="20"/>
                <w:szCs w:val="20"/>
                <w:color w:val="auto"/>
              </w:rPr>
            </w:pPr>
            <w:r>
              <w:rPr>
                <w:rFonts w:ascii="Arial" w:cs="Arial" w:eastAsia="Arial" w:hAnsi="Arial"/>
                <w:sz w:val="14"/>
                <w:szCs w:val="14"/>
                <w:color w:val="auto"/>
              </w:rPr>
              <w:t>per share, which is the midpoint of the price range set forth on the cover page of this</w:t>
            </w:r>
          </w:p>
        </w:tc>
      </w:tr>
      <w:tr>
        <w:trPr>
          <w:trHeight w:val="162"/>
        </w:trPr>
        <w:tc>
          <w:tcPr>
            <w:tcW w:w="300" w:type="dxa"/>
            <w:vAlign w:val="bottom"/>
          </w:tcPr>
          <w:p>
            <w:pPr>
              <w:spacing w:after="0"/>
              <w:rPr>
                <w:sz w:val="14"/>
                <w:szCs w:val="14"/>
                <w:color w:val="auto"/>
              </w:rPr>
            </w:pPr>
          </w:p>
        </w:tc>
        <w:tc>
          <w:tcPr>
            <w:tcW w:w="10060" w:type="dxa"/>
            <w:vAlign w:val="bottom"/>
            <w:gridSpan w:val="3"/>
          </w:tcPr>
          <w:p>
            <w:pPr>
              <w:ind w:left="120"/>
              <w:spacing w:after="0"/>
              <w:rPr>
                <w:sz w:val="20"/>
                <w:szCs w:val="20"/>
                <w:color w:val="auto"/>
              </w:rPr>
            </w:pPr>
            <w:r>
              <w:rPr>
                <w:rFonts w:ascii="Arial" w:cs="Arial" w:eastAsia="Arial" w:hAnsi="Arial"/>
                <w:sz w:val="14"/>
                <w:szCs w:val="14"/>
                <w:color w:val="auto"/>
              </w:rPr>
              <w:t>prospectus, after deducting the estimated underwriting discounts and commissions and estimated offering expenses payable by us. Each $1.00 increase or</w:t>
            </w:r>
          </w:p>
        </w:tc>
      </w:tr>
      <w:tr>
        <w:trPr>
          <w:trHeight w:val="162"/>
        </w:trPr>
        <w:tc>
          <w:tcPr>
            <w:tcW w:w="30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decrease in the assumed initial public offering price of $</w:t>
            </w:r>
          </w:p>
        </w:tc>
        <w:tc>
          <w:tcPr>
            <w:tcW w:w="6120" w:type="dxa"/>
            <w:vAlign w:val="bottom"/>
            <w:gridSpan w:val="2"/>
          </w:tcPr>
          <w:p>
            <w:pPr>
              <w:ind w:left="400"/>
              <w:spacing w:after="0"/>
              <w:rPr>
                <w:sz w:val="20"/>
                <w:szCs w:val="20"/>
                <w:color w:val="auto"/>
              </w:rPr>
            </w:pPr>
            <w:r>
              <w:rPr>
                <w:rFonts w:ascii="Arial" w:cs="Arial" w:eastAsia="Arial" w:hAnsi="Arial"/>
                <w:sz w:val="14"/>
                <w:szCs w:val="14"/>
                <w:color w:val="auto"/>
              </w:rPr>
              <w:t>per share would increase or decrease, as applicable, the pro forma as adjusted amount of</w:t>
            </w:r>
          </w:p>
        </w:tc>
      </w:tr>
      <w:tr>
        <w:trPr>
          <w:trHeight w:val="176"/>
        </w:trPr>
        <w:tc>
          <w:tcPr>
            <w:tcW w:w="300" w:type="dxa"/>
            <w:vAlign w:val="bottom"/>
          </w:tcPr>
          <w:p>
            <w:pPr>
              <w:spacing w:after="0"/>
              <w:rPr>
                <w:sz w:val="15"/>
                <w:szCs w:val="15"/>
                <w:color w:val="auto"/>
              </w:rPr>
            </w:pPr>
          </w:p>
        </w:tc>
        <w:tc>
          <w:tcPr>
            <w:tcW w:w="10060" w:type="dxa"/>
            <w:vAlign w:val="bottom"/>
            <w:gridSpan w:val="3"/>
          </w:tcPr>
          <w:p>
            <w:pPr>
              <w:ind w:left="120"/>
              <w:spacing w:after="0"/>
              <w:rPr>
                <w:sz w:val="20"/>
                <w:szCs w:val="20"/>
                <w:color w:val="auto"/>
              </w:rPr>
            </w:pPr>
            <w:r>
              <w:rPr>
                <w:rFonts w:ascii="Arial" w:cs="Arial" w:eastAsia="Arial" w:hAnsi="Arial"/>
                <w:sz w:val="14"/>
                <w:szCs w:val="14"/>
                <w:color w:val="auto"/>
              </w:rPr>
              <w:t>each of our cash, cash equivalents, and short-term investments, working capital, total assets, and total stockholders’ (deficit) equity by approximately</w:t>
            </w:r>
          </w:p>
        </w:tc>
      </w:tr>
    </w:tbl>
    <w:p>
      <w:pPr>
        <w:ind w:left="720" w:right="380" w:hanging="3"/>
        <w:spacing w:after="0" w:line="241" w:lineRule="auto"/>
        <w:tabs>
          <w:tab w:leader="none" w:pos="1439" w:val="left"/>
        </w:tabs>
        <w:numPr>
          <w:ilvl w:val="0"/>
          <w:numId w:val="14"/>
        </w:numPr>
        <w:rPr>
          <w:rFonts w:ascii="Arial" w:cs="Arial" w:eastAsia="Arial" w:hAnsi="Arial"/>
          <w:sz w:val="14"/>
          <w:szCs w:val="14"/>
          <w:color w:val="auto"/>
        </w:rPr>
      </w:pPr>
      <w:r>
        <w:rPr>
          <w:rFonts w:ascii="Arial" w:cs="Arial" w:eastAsia="Arial" w:hAnsi="Arial"/>
          <w:sz w:val="14"/>
          <w:szCs w:val="14"/>
          <w:color w:val="auto"/>
        </w:rPr>
        <w:t>,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w:t>
      </w:r>
    </w:p>
    <w:p>
      <w:pPr>
        <w:spacing w:after="0" w:line="1" w:lineRule="exact"/>
        <w:rPr>
          <w:sz w:val="20"/>
          <w:szCs w:val="20"/>
          <w:color w:val="auto"/>
        </w:rPr>
      </w:pPr>
    </w:p>
    <w:p>
      <w:pPr>
        <w:ind w:left="720" w:right="140"/>
        <w:spacing w:after="0" w:line="241" w:lineRule="auto"/>
        <w:rPr>
          <w:sz w:val="20"/>
          <w:szCs w:val="20"/>
          <w:color w:val="auto"/>
        </w:rPr>
      </w:pPr>
      <w:r>
        <w:rPr>
          <w:rFonts w:ascii="Arial" w:cs="Arial" w:eastAsia="Arial" w:hAnsi="Arial"/>
          <w:sz w:val="14"/>
          <w:szCs w:val="14"/>
          <w:color w:val="auto"/>
        </w:rPr>
        <w:t>number of shares offered by us at the assumed initial public offering price of $ per share would increase or decrease, as applicable, the pro forma as adjusted amounts of each of our cash, cash equivalents, and short-term investments, working capital, total assets, and total stockholders’ (deficit) equity by</w:t>
      </w:r>
    </w:p>
    <w:p>
      <w:pPr>
        <w:spacing w:after="0" w:line="1" w:lineRule="exact"/>
        <w:rPr>
          <w:sz w:val="20"/>
          <w:szCs w:val="20"/>
          <w:color w:val="auto"/>
        </w:rPr>
      </w:pPr>
    </w:p>
    <w:p>
      <w:pPr>
        <w:ind w:left="720"/>
        <w:spacing w:after="0"/>
        <w:tabs>
          <w:tab w:leader="none" w:pos="2360" w:val="left"/>
        </w:tabs>
        <w:rPr>
          <w:sz w:val="20"/>
          <w:szCs w:val="20"/>
          <w:color w:val="auto"/>
        </w:rPr>
      </w:pPr>
      <w:r>
        <w:rPr>
          <w:rFonts w:ascii="Arial" w:cs="Arial" w:eastAsia="Arial" w:hAnsi="Arial"/>
          <w:sz w:val="14"/>
          <w:szCs w:val="14"/>
          <w:color w:val="auto"/>
        </w:rPr>
        <w:t>approximately $</w:t>
      </w:r>
      <w:r>
        <w:rPr>
          <w:sz w:val="20"/>
          <w:szCs w:val="20"/>
          <w:color w:val="auto"/>
        </w:rPr>
        <w:tab/>
      </w:r>
      <w:r>
        <w:rPr>
          <w:rFonts w:ascii="Arial" w:cs="Arial" w:eastAsia="Arial" w:hAnsi="Arial"/>
          <w:sz w:val="14"/>
          <w:szCs w:val="14"/>
          <w:color w:val="auto"/>
        </w:rPr>
        <w:t>, after deducting the estimated underwriting discounts and commissions and estimated offering expenses payable by us.</w:t>
      </w:r>
    </w:p>
    <w:p>
      <w:pPr>
        <w:spacing w:after="0" w:line="28" w:lineRule="exact"/>
        <w:rPr>
          <w:sz w:val="20"/>
          <w:szCs w:val="20"/>
          <w:color w:val="auto"/>
        </w:rPr>
      </w:pPr>
    </w:p>
    <w:p>
      <w:pPr>
        <w:ind w:left="720" w:right="320" w:hanging="422"/>
        <w:spacing w:after="0" w:line="27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and pro forma as adjusted information discussed above is illustrative only and will be adjusted based on actual initial public offering price and other terms of this offering determined at pricing.</w:t>
      </w:r>
    </w:p>
    <w:p>
      <w:pPr>
        <w:ind w:left="720" w:right="400" w:hanging="422"/>
        <w:spacing w:after="0" w:line="285"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87"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results of operations, financial condition, and prospects.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06" w:lineRule="exact"/>
        <w:rPr>
          <w:sz w:val="20"/>
          <w:szCs w:val="20"/>
          <w:color w:val="auto"/>
        </w:rPr>
      </w:pPr>
    </w:p>
    <w:p>
      <w:pPr>
        <w:jc w:val="both"/>
        <w:ind w:left="120" w:right="800"/>
        <w:spacing w:after="0" w:line="256"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1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clinical-stage oncology company with a limited operating history upon which you can evaluate our business and prospects. We commenced operations in 2018, have no products approved for commercial sale, and have not generated any revenue from the sale of our products. To date, we have focused primarily on organizing and staffing our company, business planning, raising capital, building our proprietary Spyglass platform, discovering our ecDTx, developing our ecDNA diagnostic, establishing our intellectual property portfolio, conducting research, preclinical studies and clinical trials, establishing arrangements with third parties for the manufacture of our ecDTx and supply of related raw materials, and providing general and administrative support for these operations. Our scientific approach to the discovery and development of ecDTx, including our use of the Spyglass platform, is unproven, and we do not know whether we will be able to develop or obtain regulatory approval for any products of commercial value. In addition, we have only one ecDTx, BBI-355, in early clinical development, and our other ecDTx programs remain in the preclinical or discovery stage. We have not yet completed any clinical trials, successfully developed and validated a diagnostic test,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49"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obtain requisite approval for and commercialize our ecDTx, we may never generate revenue. Our net losses were $25.2 million and $45.9 million for the years ended December 31, 2021 and 2022, respectively, and $37.3 million for the nine months ended September 30, 2023. As of September 30, 2023, we had an accumulated deficit of $124.0 million. Substantially all of our losses have resulted from expenses incurred in connection with our research and development programs and from general and administrative costs associated with our operations. All of our ecDTx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as well as operate as a public company.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To become and remain profitable, we must succeed in discovering, developing, obtaining regulatory approvals for, and eventually commercializing products that generate significant revenue. This will require us to be successful in a range of challenging activities, including completing clinical trials and preclinical studies of our ecDTx, discovering additional ecDTx, obtaining regulatory approval for these ecDTx and, if required, our ecDNA diagnostic, and manufacturing, marketing, and selling any products for which we may obtain regulatory approval. We are in only the preliminary stages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ecDTx pipeline, achieve our strategic objectives, or even continue our operations. A decline in the value of our company could also cause you to lose all or part of your investment.</w:t>
      </w:r>
    </w:p>
    <w:p>
      <w:pPr>
        <w:spacing w:after="0" w:line="299"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w:t>
      </w:r>
    </w:p>
    <w:p>
      <w:pPr>
        <w:spacing w:after="0" w:line="51"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The development of our ecDTx,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current ecDTx and any future ecDTx we may develop. If we obtain regulatory approval for any of our ecDTx,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ecDTx. Furthermore, following the completion of this offering, we expect to incur additional costs associated with operating as a public company.</w:t>
      </w:r>
    </w:p>
    <w:p>
      <w:pPr>
        <w:spacing w:after="0" w:line="141" w:lineRule="exact"/>
        <w:rPr>
          <w:sz w:val="20"/>
          <w:szCs w:val="20"/>
          <w:color w:val="auto"/>
        </w:rPr>
      </w:pPr>
    </w:p>
    <w:p>
      <w:pPr>
        <w:ind w:left="120" w:right="500" w:firstLine="551"/>
        <w:spacing w:after="0" w:line="255" w:lineRule="auto"/>
        <w:rPr>
          <w:sz w:val="20"/>
          <w:szCs w:val="20"/>
          <w:color w:val="auto"/>
        </w:rPr>
      </w:pPr>
      <w:r>
        <w:rPr>
          <w:rFonts w:ascii="Arial" w:cs="Arial" w:eastAsia="Arial" w:hAnsi="Arial"/>
          <w:sz w:val="17"/>
          <w:szCs w:val="17"/>
          <w:color w:val="auto"/>
        </w:rPr>
        <w:t>Based on our current operating plan, we believe that the net proceeds from this offering, together with our existing cash, cash equivalents, and short-term investments, will be sufficient to fund our operations for at least the next months from the date of this prospectus. In particular, we expect that the net proceeds from this offering and our existing cash, cash equivalents and short-term</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investments will allow us to .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our ecDTx, or any future ecDTx, and after this offering, we will require substantial capital in order to advance our ecDTx and any future ecDTx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ecDTx.</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117" w:lineRule="exact"/>
        <w:rPr>
          <w:sz w:val="20"/>
          <w:szCs w:val="20"/>
          <w:color w:val="auto"/>
        </w:rPr>
      </w:pPr>
    </w:p>
    <w:p>
      <w:pPr>
        <w:ind w:left="1420" w:right="80" w:hanging="427"/>
        <w:spacing w:after="0" w:line="253"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type, number, scope, progress, expansions, results, costs, and timing of clinical trials and preclinical studies of our ecDTx that we are pursuing or may choose to pursue in the future, including the costs of any third-party products used as combination agents in our clinical trials;</w:t>
      </w:r>
    </w:p>
    <w:p>
      <w:pPr>
        <w:spacing w:after="0" w:line="74"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manufacturing for our ecDTx, including commercial manufacturing at sufficient scale, if any ecDTx is approved;</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developing companion diagnostic tests, if required, and the outcome of their regulatory review;</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meetings and reviews of our ecDTx;</w:t>
      </w:r>
    </w:p>
    <w:p>
      <w:pPr>
        <w:spacing w:after="0" w:line="117" w:lineRule="exact"/>
        <w:rPr>
          <w:rFonts w:ascii="Arial" w:cs="Arial" w:eastAsia="Arial" w:hAnsi="Arial"/>
          <w:sz w:val="18"/>
          <w:szCs w:val="18"/>
          <w:color w:val="auto"/>
        </w:rPr>
      </w:pPr>
    </w:p>
    <w:p>
      <w:pPr>
        <w:ind w:left="1420" w:right="26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obtaining, maintaining, enforcing, and protecting our patents and other intellectual property and proprietary rights;</w:t>
      </w:r>
    </w:p>
    <w:p>
      <w:pPr>
        <w:spacing w:after="0" w:line="59"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 over financial reporting;</w:t>
      </w:r>
    </w:p>
    <w:p>
      <w:pPr>
        <w:spacing w:after="0" w:line="59" w:lineRule="exact"/>
        <w:rPr>
          <w:rFonts w:ascii="Arial" w:cs="Arial" w:eastAsia="Arial" w:hAnsi="Arial"/>
          <w:sz w:val="18"/>
          <w:szCs w:val="18"/>
          <w:color w:val="auto"/>
        </w:rPr>
      </w:pPr>
    </w:p>
    <w:p>
      <w:pPr>
        <w:ind w:left="1420" w:right="8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clinical and preclinical activities increase and as we operate as a public company;</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ecDTx is approved;</w:t>
      </w:r>
    </w:p>
    <w:p>
      <w:pPr>
        <w:spacing w:after="0" w:line="117"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59" w:lineRule="exact"/>
        <w:rPr>
          <w:rFonts w:ascii="Arial" w:cs="Arial" w:eastAsia="Arial" w:hAnsi="Arial"/>
          <w:sz w:val="18"/>
          <w:szCs w:val="18"/>
          <w:color w:val="auto"/>
        </w:rPr>
      </w:pPr>
    </w:p>
    <w:p>
      <w:pPr>
        <w:ind w:left="1420" w:right="760" w:hanging="427"/>
        <w:spacing w:after="0" w:line="27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71"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Conducting clinical trials and preclinical studies and discovering potential ecDTx is a time-consuming, expensive, and uncertain process that takes years to complete, and we may never generate the necessary data or results required to obtain regulatory approval and commercialize our ecDTx. In addition, our ecDTx, if approved, may not achieve commercial success. Our commercial revenue, if any, will initially be derived from sales of products that we do not expect to be commercially available for many years, if at all.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551"/>
        <w:spacing w:after="0" w:line="25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279" w:lineRule="exact"/>
        <w:rPr>
          <w:sz w:val="20"/>
          <w:szCs w:val="20"/>
          <w:color w:val="auto"/>
        </w:rPr>
      </w:pPr>
    </w:p>
    <w:p>
      <w:pPr>
        <w:ind w:left="120" w:right="58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ecDTx.</w:t>
      </w:r>
    </w:p>
    <w:p>
      <w:pPr>
        <w:spacing w:after="0" w:line="3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5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raise additional funds through future collaborations, licenses, and other similar arrangements, we may be required to relinquish valuable rights to our future revenue streams, ecDTx, research programs, ecDNA diagnostic,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ecDTx that we might otherwise prefer to develop and market ourselves, or on less favorable terms than we would otherwise choose.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Regulatory Approval of Our ecDTx</w:t>
      </w:r>
    </w:p>
    <w:p>
      <w:pPr>
        <w:spacing w:after="0" w:line="106" w:lineRule="exact"/>
        <w:rPr>
          <w:sz w:val="20"/>
          <w:szCs w:val="20"/>
          <w:color w:val="auto"/>
        </w:rPr>
      </w:pPr>
    </w:p>
    <w:p>
      <w:pPr>
        <w:ind w:left="120" w:right="180"/>
        <w:spacing w:after="0" w:line="249" w:lineRule="auto"/>
        <w:rPr>
          <w:sz w:val="20"/>
          <w:szCs w:val="20"/>
          <w:color w:val="auto"/>
        </w:rPr>
      </w:pPr>
      <w:r>
        <w:rPr>
          <w:rFonts w:ascii="Arial" w:cs="Arial" w:eastAsia="Arial" w:hAnsi="Arial"/>
          <w:sz w:val="18"/>
          <w:szCs w:val="18"/>
          <w:b w:val="1"/>
          <w:bCs w:val="1"/>
          <w:i w:val="1"/>
          <w:iCs w:val="1"/>
          <w:color w:val="auto"/>
        </w:rPr>
        <w:t>We are early in our development efforts and have only one ecDTx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w:t>
      </w:r>
    </w:p>
    <w:p>
      <w:pPr>
        <w:spacing w:after="0" w:line="5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early in our development efforts and have only one ecDTx, BBI-355, in early clinical development. All of our other ecDTx programs are still in the preclinical or discovery stage. We have invested substantially all of our efforts to date in developing our ecDTx, developing our ecDNA diagnostic as a potential patient selection tool, identifying other targets for therapeutic pursuit, and continuing to develop our proprietary Spyglass platform. We will need to progress BBI-355 through its first in human clinical trial and progress our other ecDTx programs through additional preclinical studies to enable us to submit investigational new drug applications (INDs) to the FDA and receive allowance from the FDA to proceed with initiating their clinical development. Our ability to generate product revenue, which we do not expect will occur for many years, if ever, will depend heavily on the successful development and eventual commercialization of our ecDTx. The success of our ecDTx will depend on several factors, including the following:</w:t>
      </w:r>
    </w:p>
    <w:p>
      <w:pPr>
        <w:spacing w:after="0" w:line="86" w:lineRule="exact"/>
        <w:rPr>
          <w:sz w:val="20"/>
          <w:szCs w:val="20"/>
          <w:color w:val="auto"/>
        </w:rPr>
      </w:pPr>
    </w:p>
    <w:p>
      <w:pPr>
        <w:ind w:left="1420" w:right="400" w:hanging="427"/>
        <w:spacing w:after="0" w:line="271"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initiation and enrollment of clinical trials, and timely completion of clinical trials and preclinical studies with favorable results;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8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allowance to proceed with clinical trials for our ecDTx under INDs by the FDA, or under similar regulatory submissions by comparable foreign regulatory authorities;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 observed in clinical trials and preclinical studies;</w:t>
      </w:r>
    </w:p>
    <w:p>
      <w:pPr>
        <w:spacing w:after="0" w:line="117" w:lineRule="exact"/>
        <w:rPr>
          <w:rFonts w:ascii="Arial" w:cs="Arial" w:eastAsia="Arial" w:hAnsi="Arial"/>
          <w:sz w:val="18"/>
          <w:szCs w:val="18"/>
          <w:color w:val="auto"/>
        </w:rPr>
      </w:pPr>
    </w:p>
    <w:p>
      <w:pPr>
        <w:ind w:left="1420" w:right="80" w:hanging="427"/>
        <w:spacing w:after="0" w:line="253"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establishing relationships with contract research organizations (CROs) and clinical sites for the clinical development of our ecDTx, and ability of such CROs and clinical sites to comply with clinical trial protocols, Good Clinical Practice requirements (GCPs) and other applicable requirements;</w:t>
      </w:r>
    </w:p>
    <w:p>
      <w:pPr>
        <w:spacing w:after="0" w:line="74" w:lineRule="exact"/>
        <w:rPr>
          <w:rFonts w:ascii="Arial" w:cs="Arial" w:eastAsia="Arial" w:hAnsi="Arial"/>
          <w:sz w:val="18"/>
          <w:szCs w:val="18"/>
          <w:color w:val="auto"/>
        </w:rPr>
      </w:pPr>
    </w:p>
    <w:p>
      <w:pPr>
        <w:ind w:left="1420" w:right="34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demonstrating the safety and efficacy of our ecDTx to the satisfaction of applicable regulatory authorities, including by establishing a safety database of a size satisfactory to regulatory authorities;</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development, validation, and regulatory approval of companion diagnostic tests for use in patient selection with our ecDTx, if required;</w:t>
      </w:r>
    </w:p>
    <w:p>
      <w:pPr>
        <w:spacing w:after="0" w:line="59" w:lineRule="exact"/>
        <w:rPr>
          <w:rFonts w:ascii="Arial" w:cs="Arial" w:eastAsia="Arial" w:hAnsi="Arial"/>
          <w:sz w:val="18"/>
          <w:szCs w:val="18"/>
          <w:color w:val="auto"/>
        </w:rPr>
      </w:pPr>
    </w:p>
    <w:p>
      <w:pPr>
        <w:ind w:left="1420" w:right="64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approvals of new drug applications (NDAs), from the FDA and maintaining such approvals;</w:t>
      </w:r>
    </w:p>
    <w:p>
      <w:pPr>
        <w:spacing w:after="0" w:line="59" w:lineRule="exact"/>
        <w:rPr>
          <w:rFonts w:ascii="Arial" w:cs="Arial" w:eastAsia="Arial" w:hAnsi="Arial"/>
          <w:sz w:val="18"/>
          <w:szCs w:val="18"/>
          <w:color w:val="auto"/>
        </w:rPr>
      </w:pPr>
    </w:p>
    <w:p>
      <w:pPr>
        <w:ind w:left="1420" w:hanging="427"/>
        <w:spacing w:after="0" w:line="253"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relationships with our third-party manufacturers and their ability to comply with current Good Manufacturing Practice requirements (cGMPs) as well as making arrangements with our third-party manufacturers for, or establishing our own, commercial manufacturing capabilities at a cost and scale sufficient to support commercialization;</w:t>
      </w:r>
    </w:p>
    <w:p>
      <w:pPr>
        <w:spacing w:after="0" w:line="74" w:lineRule="exact"/>
        <w:rPr>
          <w:rFonts w:ascii="Arial" w:cs="Arial" w:eastAsia="Arial" w:hAnsi="Arial"/>
          <w:sz w:val="18"/>
          <w:szCs w:val="18"/>
          <w:color w:val="auto"/>
        </w:rPr>
      </w:pPr>
    </w:p>
    <w:p>
      <w:pPr>
        <w:ind w:left="1420" w:right="24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59" w:lineRule="exact"/>
        <w:rPr>
          <w:rFonts w:ascii="Arial" w:cs="Arial" w:eastAsia="Arial" w:hAnsi="Arial"/>
          <w:sz w:val="18"/>
          <w:szCs w:val="18"/>
          <w:color w:val="auto"/>
        </w:rPr>
      </w:pPr>
    </w:p>
    <w:p>
      <w:pPr>
        <w:ind w:left="1420" w:right="660" w:hanging="427"/>
        <w:spacing w:after="0" w:line="271"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protecting, and enforcing any patent and trade secret protection, patent term extensions (if applicable) and/or regulatory exclusivity for our ecDTx;</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regulatory approval, if any;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products, if approved, by patients, the medical community, and third-party payors.</w:t>
      </w:r>
    </w:p>
    <w:p>
      <w:pPr>
        <w:spacing w:after="0" w:line="185" w:lineRule="exact"/>
        <w:rPr>
          <w:sz w:val="20"/>
          <w:szCs w:val="20"/>
          <w:color w:val="auto"/>
        </w:rPr>
      </w:pPr>
    </w:p>
    <w:p>
      <w:pPr>
        <w:ind w:left="120" w:right="800" w:firstLine="551"/>
        <w:spacing w:after="0" w:line="271" w:lineRule="auto"/>
        <w:rPr>
          <w:sz w:val="20"/>
          <w:szCs w:val="20"/>
          <w:color w:val="auto"/>
        </w:rPr>
      </w:pPr>
      <w:r>
        <w:rPr>
          <w:rFonts w:ascii="Arial" w:cs="Arial" w:eastAsia="Arial" w:hAnsi="Arial"/>
          <w:sz w:val="18"/>
          <w:szCs w:val="18"/>
          <w:color w:val="auto"/>
        </w:rPr>
        <w:t>If we are unable to develop, obtain regulatory approval for, or, if approved, successfully commercialize our ecDTx, or if we experience delays as a result of any of the above factors or otherwise, our business would be materially harmed.</w:t>
      </w:r>
    </w:p>
    <w:p>
      <w:pPr>
        <w:spacing w:after="0" w:line="264"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Our approach to treating cancer with oncogene amplifications by developing ecDTx directed against ecDNA is unproven, and we do not know whether we will be able to develop any products of commercial value, or if competing approaches will limit the commercial value of our ecDTx.</w:t>
      </w:r>
    </w:p>
    <w:p>
      <w:pPr>
        <w:spacing w:after="0" w:line="51"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success of our business depends primarily upon our ability to discover, develop, and commercialize products based on our scientific approach, which is focused on developing therapies that are directed against ecDNA in oncogene amplified cancers, a novel and unproven approach. While we have had favorable preclinical study results for certain of our ecDTx programs, we have not yet succeeded and may not succeed in demonstrating efficacy and safety for any of our ecDTx in clinical trials or in obtaining regulatory approvals from the FDA or other regulatory authorities or in commercializing such ecDTx. Our lead ecDTx, BBI-355, is in early clinical development, and, as an organization, we have not completed any clinical trials for any of our ecDTx. Our research methodology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and scientific approach in using our Spyglass platform may be unsuccessful in identifying and discovering additional ecDTx, and, even if successful, we may not be able to submit INDs and have such INDs allowed to proceed to enable us to commence clinical trials on the timelines we expect, if at all. Any ecDTx we do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our ecDTx. Further, because our current ecDTx and all of our discovery programs are ecDNA based, adverse developments with respect to one of our programs may have a significant adverse impact on the actual or perceived likelihood of success and value of our other programs.</w:t>
      </w:r>
    </w:p>
    <w:p>
      <w:pPr>
        <w:spacing w:after="0" w:line="15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ecDTx and, if required, diagnostic tests, we may be unable to compete effectively. Our competitors may render our approach obsolete or limit the commercial value of our products or ecDTx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ecDTx.</w:t>
      </w:r>
    </w:p>
    <w:p>
      <w:pPr>
        <w:spacing w:after="0" w:line="140"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If any of these events occur, we may be forced to delay, modify, or abandon our development efforts for a program or programs, which would have a material adverse effect on our business and could potentially cause us to cease operations.</w:t>
      </w:r>
    </w:p>
    <w:p>
      <w:pPr>
        <w:spacing w:after="0" w:line="264"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i w:val="1"/>
          <w:iCs w:val="1"/>
          <w:color w:val="auto"/>
        </w:rPr>
        <w:t>Clinical and preclinical development involves a lengthy and expensive process with uncertain timelines and outcomes, and the results of preclinical studies and early clinical trials are not necessarily predictive of future results. Our ecDTx may not achieve favorable results in clinical trials or preclinical studies or receive regulatory approval on a timely basis, if at all.</w:t>
      </w:r>
    </w:p>
    <w:p>
      <w:pPr>
        <w:spacing w:after="0" w:line="51" w:lineRule="exact"/>
        <w:rPr>
          <w:sz w:val="20"/>
          <w:szCs w:val="20"/>
          <w:color w:val="auto"/>
        </w:rPr>
      </w:pPr>
    </w:p>
    <w:p>
      <w:pPr>
        <w:ind w:left="120" w:right="260" w:firstLine="551"/>
        <w:spacing w:after="0" w:line="261" w:lineRule="auto"/>
        <w:rPr>
          <w:sz w:val="20"/>
          <w:szCs w:val="20"/>
          <w:color w:val="auto"/>
        </w:rPr>
      </w:pPr>
      <w:r>
        <w:rPr>
          <w:rFonts w:ascii="Arial" w:cs="Arial" w:eastAsia="Arial" w:hAnsi="Arial"/>
          <w:sz w:val="17"/>
          <w:szCs w:val="17"/>
          <w:color w:val="auto"/>
        </w:rPr>
        <w:t>Clinical and preclinical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Despite promising preclinical or clinical results, any ecDTx can unexpectedly fail at any stage of clinical or preclinical development. The historical failure rate for product candidates in our industry is high, particularly in the earlier stages of development.</w:t>
      </w:r>
    </w:p>
    <w:p>
      <w:pPr>
        <w:spacing w:after="0" w:line="12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results from preclinical studies or clinical trials of an ecDTx or of a competitor’s product candidates in the same class may not predict the results of later clinical trials of our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any of our other ecDTx development programs, such results may delay or prevent the initiation of clinical trials for such ecDTx programs.</w:t>
      </w:r>
    </w:p>
    <w:p>
      <w:pPr>
        <w:spacing w:after="0" w:line="158"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Moreover, preclinical and clinical data may be susceptible to varying interpretations and analyses. A number of companies in the biopharmaceutical and biotechnology industries have suffered</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ecDTx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5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a result, we cannot be certain that our ongoing and planned clinical trials and preclinical studies will be successful. Any safety concerns observed in any one of our clinical trials in our targeted indications could limit the prospects for regulatory approval of our ecDTx in those and other indications, which could have a material adverse effect on our business, financial condition, results of operations, and prospects.</w:t>
      </w:r>
    </w:p>
    <w:p>
      <w:pPr>
        <w:spacing w:after="0" w:line="262" w:lineRule="exact"/>
        <w:rPr>
          <w:sz w:val="20"/>
          <w:szCs w:val="20"/>
          <w:color w:val="auto"/>
        </w:rPr>
      </w:pPr>
    </w:p>
    <w:p>
      <w:pPr>
        <w:ind w:left="120" w:right="520"/>
        <w:spacing w:after="0" w:line="256"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5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Before obtaining approval from regulatory authorities for the sale of our ecDTx, we must conduct extensive clinical trials to demonstrate the safety and efficacy of the ecDTx in humans. Before we can initiate clinical trials for our preclinical ecDTx, we must submit the results of preclinical studies to the FDA or comparable foreign regulatory authorities along with other information, including information about ecDTx chemistry, manufacturing, and controls and our proposed clinical trial protocol, as part of an IND or similar regulatory submission. The FDA or comparable foreign regulatory authorities may require us to conduct additional preclinical studies for any ecDTx before it allows us to initiate clinical trials under any IND or similar regulatory submission, which may lead to delays and increase the costs of our preclinical ecDTx programs. Moreover, even if we commence clinical trials, issues may arise that could cause regulatory authorities to suspend or terminate such clinical trials. Any such delays in the commencement or completion, or the termination or suspension, of our ongoing and planned clinical trials or preclinical studies for our current and any future ecDTx could significantly affect our product development timelines and product development costs.</w:t>
      </w:r>
    </w:p>
    <w:p>
      <w:pPr>
        <w:spacing w:after="0" w:line="13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We do not know whether our planned clinical trials and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74" w:lineRule="exact"/>
        <w:rPr>
          <w:sz w:val="20"/>
          <w:szCs w:val="20"/>
          <w:color w:val="auto"/>
        </w:rPr>
      </w:pPr>
    </w:p>
    <w:p>
      <w:pPr>
        <w:ind w:left="1420" w:right="260" w:hanging="427"/>
        <w:spacing w:after="0" w:line="271"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animals or materials to initiate and generate sufficient preclinical, toxicology, or other in vivo or in vitro data to support the initiation or continuation of clinical trials;</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allowance from regulatory authorities to commence a trial or reaching a consensus with regulatory authorities on trial design;</w:t>
      </w:r>
    </w:p>
    <w:p>
      <w:pPr>
        <w:spacing w:after="0" w:line="59" w:lineRule="exact"/>
        <w:rPr>
          <w:rFonts w:ascii="Arial" w:cs="Arial" w:eastAsia="Arial" w:hAnsi="Arial"/>
          <w:sz w:val="18"/>
          <w:szCs w:val="18"/>
          <w:color w:val="auto"/>
        </w:rPr>
      </w:pPr>
    </w:p>
    <w:p>
      <w:pPr>
        <w:ind w:left="5520" w:right="140" w:hanging="4527"/>
        <w:spacing w:after="0" w:line="443" w:lineRule="auto"/>
        <w:tabs>
          <w:tab w:leader="none" w:pos="14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 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44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(IRBs) or ethics committees (ECs) at clinical trial sites;</w:t>
      </w:r>
    </w:p>
    <w:p>
      <w:pPr>
        <w:spacing w:after="0" w:line="117" w:lineRule="exact"/>
        <w:rPr>
          <w:rFonts w:ascii="Arial" w:cs="Arial" w:eastAsia="Arial" w:hAnsi="Arial"/>
          <w:sz w:val="18"/>
          <w:szCs w:val="18"/>
          <w:color w:val="auto"/>
        </w:rPr>
      </w:pPr>
    </w:p>
    <w:p>
      <w:pPr>
        <w:ind w:left="1420" w:right="42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IRBs/ECs refusing to approve, suspending, or terminating the trial at an investigational site, precluding enrollment of additional patients, or withdrawing their approval of the trial;</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clinical trial protocol;</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the trial protocol or dropping out of a trial;</w:t>
      </w:r>
    </w:p>
    <w:p>
      <w:pPr>
        <w:spacing w:after="0" w:line="117"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CROs to perform in accordance with GCP requirements or applicable regulatory requirements or guidelines in other countries;</w:t>
      </w:r>
    </w:p>
    <w:p>
      <w:pPr>
        <w:spacing w:after="0" w:line="59" w:lineRule="exact"/>
        <w:rPr>
          <w:rFonts w:ascii="Arial" w:cs="Arial" w:eastAsia="Arial" w:hAnsi="Arial"/>
          <w:sz w:val="18"/>
          <w:szCs w:val="18"/>
          <w:color w:val="auto"/>
        </w:rPr>
      </w:pPr>
    </w:p>
    <w:p>
      <w:pPr>
        <w:ind w:left="1420" w:right="90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raw materials for manufacturing sufficient quantities of our ecDTx or obtaining sufficient quantities of combination therapies or other materials needed for use in clinical trials and preclinical studies;</w:t>
      </w:r>
    </w:p>
    <w:p>
      <w:pPr>
        <w:spacing w:after="0" w:line="59" w:lineRule="exact"/>
        <w:rPr>
          <w:rFonts w:ascii="Arial" w:cs="Arial" w:eastAsia="Arial" w:hAnsi="Arial"/>
          <w:sz w:val="18"/>
          <w:szCs w:val="18"/>
          <w:color w:val="auto"/>
        </w:rPr>
      </w:pPr>
    </w:p>
    <w:p>
      <w:pPr>
        <w:ind w:left="1420" w:right="140" w:hanging="427"/>
        <w:spacing w:after="0" w:line="253"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74" w:lineRule="exact"/>
        <w:rPr>
          <w:rFonts w:ascii="Arial" w:cs="Arial" w:eastAsia="Arial" w:hAnsi="Arial"/>
          <w:sz w:val="18"/>
          <w:szCs w:val="18"/>
          <w:color w:val="auto"/>
        </w:rPr>
      </w:pPr>
    </w:p>
    <w:p>
      <w:pPr>
        <w:ind w:left="1420" w:right="36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choosing alternative treatments for the indications for which we are developing our ecDTx, or participating in competing clinical trials;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 or preclinical studies or costs being greater than we anticipate;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experiencing severe or serious unexpected drug-related adverse effects;</w:t>
      </w:r>
    </w:p>
    <w:p>
      <w:pPr>
        <w:spacing w:after="0" w:line="117" w:lineRule="exact"/>
        <w:rPr>
          <w:rFonts w:ascii="Arial" w:cs="Arial" w:eastAsia="Arial" w:hAnsi="Arial"/>
          <w:sz w:val="18"/>
          <w:szCs w:val="18"/>
          <w:color w:val="auto"/>
        </w:rPr>
      </w:pPr>
    </w:p>
    <w:p>
      <w:pPr>
        <w:ind w:left="1420" w:right="20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 that could be considered similar to our ecDTx;</w:t>
      </w:r>
    </w:p>
    <w:p>
      <w:pPr>
        <w:spacing w:after="0" w:line="59" w:lineRule="exact"/>
        <w:rPr>
          <w:rFonts w:ascii="Arial" w:cs="Arial" w:eastAsia="Arial" w:hAnsi="Arial"/>
          <w:sz w:val="18"/>
          <w:szCs w:val="18"/>
          <w:color w:val="auto"/>
        </w:rPr>
      </w:pPr>
    </w:p>
    <w:p>
      <w:pPr>
        <w:ind w:left="1420" w:right="160" w:hanging="427"/>
        <w:spacing w:after="0" w:line="27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extended analysis of the resulting data;</w:t>
      </w:r>
    </w:p>
    <w:p>
      <w:pPr>
        <w:spacing w:after="0" w:line="59" w:lineRule="exact"/>
        <w:rPr>
          <w:rFonts w:ascii="Arial" w:cs="Arial" w:eastAsia="Arial" w:hAnsi="Arial"/>
          <w:sz w:val="18"/>
          <w:szCs w:val="18"/>
          <w:color w:val="auto"/>
        </w:rPr>
      </w:pPr>
    </w:p>
    <w:p>
      <w:pPr>
        <w:ind w:left="1420" w:right="180" w:hanging="427"/>
        <w:spacing w:after="0" w:line="253"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p>
    <w:p>
      <w:pPr>
        <w:spacing w:after="0" w:line="74" w:lineRule="exact"/>
        <w:rPr>
          <w:rFonts w:ascii="Arial" w:cs="Arial" w:eastAsia="Arial" w:hAnsi="Arial"/>
          <w:sz w:val="18"/>
          <w:szCs w:val="18"/>
          <w:color w:val="auto"/>
        </w:rPr>
      </w:pPr>
    </w:p>
    <w:p>
      <w:pPr>
        <w:ind w:left="1420" w:hanging="427"/>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 in a timely manner.</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47"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Further, in the future we may conduct clinical trials in foreign countries, and this will present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3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ecDTx.</w:t>
      </w:r>
    </w:p>
    <w:p>
      <w:pPr>
        <w:spacing w:after="0" w:line="140"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In addition, many of the factors that cause, or lead to, the termination or suspension of, or a delay in the commencement or completion of, clinical trials may also ultimately lead to the denial of regulatory approval of an ecDTx. Any delays to our clinical trials that occur as a result could shorten any period during which we may have the exclusive right to commercialize our ecDTx. In such cases, our competitors may be able to bring products to market before we do, and the commercial viability of our ecDTx could be significantly reduced. Any of these occurrences may harm our business, financial condition, results of operations, and prospects.</w:t>
      </w:r>
    </w:p>
    <w:p>
      <w:pPr>
        <w:spacing w:after="0" w:line="286" w:lineRule="exact"/>
        <w:rPr>
          <w:sz w:val="20"/>
          <w:szCs w:val="20"/>
          <w:color w:val="auto"/>
        </w:rPr>
      </w:pPr>
    </w:p>
    <w:p>
      <w:pPr>
        <w:ind w:left="120" w:right="600"/>
        <w:spacing w:after="0" w:line="278"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31" w:lineRule="exact"/>
        <w:rPr>
          <w:sz w:val="20"/>
          <w:szCs w:val="20"/>
          <w:color w:val="auto"/>
        </w:rPr>
      </w:pPr>
    </w:p>
    <w:p>
      <w:pPr>
        <w:jc w:val="both"/>
        <w:ind w:left="120" w:right="200" w:firstLine="551"/>
        <w:spacing w:after="0" w:line="255" w:lineRule="auto"/>
        <w:rPr>
          <w:sz w:val="20"/>
          <w:szCs w:val="20"/>
          <w:color w:val="auto"/>
        </w:rPr>
      </w:pPr>
      <w:r>
        <w:rPr>
          <w:rFonts w:ascii="Arial" w:cs="Arial" w:eastAsia="Arial" w:hAnsi="Arial"/>
          <w:sz w:val="17"/>
          <w:szCs w:val="17"/>
          <w:color w:val="auto"/>
        </w:rPr>
        <w:t>Successful and timely completion of clinical trials will require that we identify and enroll a specified number of patients for each of our clinical trials. We may not be able to initiate or continue clinical trials for our ecDTx if we are unable to identify and enroll a sufficient number of eligible patients to participate in these trials as required by the FDA or similar regulatory authorities outside the United States.</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ecDTx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In particular, because our ecDTx are focused on patients with tumors harboring oncogene amplifications on ecDNA, our ability to enroll eligible patients may be limited or take more time than we anticipate, due to the frequency of the biomarker we are seeking to target, or our ability to effectively identify such biomarker. We also may encounter difficulties in identifying and enrolling patients with the proper tumor characteristics or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our ecDTx may be delayed. Additionally, because our clinical trials are in patients with relapsed/refractory cancer, the patients are typically in the late stages of their disease and may experience disease progression independent from our ecDTx, making them unevaluable for purposes of the clinical trial and requiring additional patient enrollment. Our inability to enroll a sufficient number of patients for any of our future clinical trials would result in significant delays or may require us to abandon one or more clinical trials altogether.</w:t>
      </w:r>
    </w:p>
    <w:p>
      <w:pPr>
        <w:spacing w:after="0" w:line="148"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138"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i w:val="1"/>
          <w:iCs w:val="1"/>
          <w:color w:val="auto"/>
        </w:rPr>
        <w:t>Use of our ecDTx could be associated with side effects, adverse events, or other properties or safety risks, which could delay or preclude regulatory approval, cause us to suspend or discontinue clinical trials, abandon an ecDTx, limit the commercial profile of an approved label, or result in other significant negative consequences that could severely harm our business, financial condition, results of operations, and prospects.</w:t>
      </w:r>
    </w:p>
    <w:p>
      <w:pPr>
        <w:spacing w:after="0" w:line="12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As is the case with oncology drugs generally, it is likely that there may be side effects and adverse events associated with use of our ecDTx. Results of our clinical trials could reveal a high and unacceptable severity and prevalence of expected or unexpected side effects or unexpected characteristics. Undesirable side effects caused by our ecDTx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58"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Moreover, if our ecDTx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certain toxicities may be seen when our ecDTx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w:t>
      </w:r>
    </w:p>
    <w:p>
      <w:pPr>
        <w:spacing w:after="0" w:line="147"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It is possible that as we test our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and prospects significantly.</w:t>
      </w:r>
    </w:p>
    <w:p>
      <w:pPr>
        <w:spacing w:after="0" w:line="136"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7"/>
          <w:szCs w:val="17"/>
          <w:color w:val="auto"/>
        </w:rPr>
        <w:t>In addition, we plan to study our ecDTx in combination with other therapies, which may exacerbate adverse events associated with such ecDTx. Patients treated with our ecDTx may also be undergoing surgical, radiation, and/or chemotherapy treatments, which can cause side effects or adverse events that are unrelated to our ecDTx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we expect that some of the patients enrolled in our clinical trials will die or experience major clinical events either during the course of our clinical trials or after participating in such trials.</w:t>
      </w:r>
    </w:p>
    <w:p>
      <w:pPr>
        <w:spacing w:after="0" w:line="125"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In addition, if one or more of our ecDTx receives regulatory approval, and we or others later identify undesirable side effects caused by such product, a number of potentially significant negative consequences could result, including:</w:t>
      </w:r>
    </w:p>
    <w:p>
      <w:pPr>
        <w:spacing w:after="0" w:line="59" w:lineRule="exact"/>
        <w:rPr>
          <w:sz w:val="20"/>
          <w:szCs w:val="20"/>
          <w:color w:val="auto"/>
        </w:rPr>
      </w:pPr>
    </w:p>
    <w:p>
      <w:pPr>
        <w:ind w:left="1420" w:right="740" w:hanging="427"/>
        <w:spacing w:after="0" w:line="271"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17" w:lineRule="exact"/>
        <w:rPr>
          <w:rFonts w:ascii="Arial" w:cs="Arial" w:eastAsia="Arial" w:hAnsi="Arial"/>
          <w:sz w:val="18"/>
          <w:szCs w:val="18"/>
          <w:color w:val="auto"/>
        </w:rPr>
      </w:pPr>
    </w:p>
    <w:p>
      <w:pPr>
        <w:ind w:left="1420" w:right="700" w:hanging="427"/>
        <w:spacing w:after="0" w:line="271"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59" w:lineRule="exact"/>
        <w:rPr>
          <w:rFonts w:ascii="Arial" w:cs="Arial" w:eastAsia="Arial" w:hAnsi="Arial"/>
          <w:sz w:val="18"/>
          <w:szCs w:val="18"/>
          <w:color w:val="auto"/>
        </w:rPr>
      </w:pPr>
    </w:p>
    <w:p>
      <w:pPr>
        <w:ind w:left="1420" w:right="620" w:hanging="427"/>
        <w:spacing w:after="0" w:line="271"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ecDTx, if approved, and could significantly harm our business, results of operations, and prospects.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an organization, we have never completed any clinical trials and may be unable to do so for any of our ecDTx.</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early in our development efforts for our ecDTx, have never completed any clinical trials, and we will need to successfully complete our ongoing and later-stage and pivotal clinical trials in order to obtain FDA or comparable foreign regulatory approval to market our ecDTx. Carrying out later-stage clinical trials and the submission of a successful NDA is a complicated process. We are currently conducting our first Phase 1/2 clinical trial for BBI-355. We have not yet conducted any clinical trials for our other ecDTx or development programs. We have limited experience as a company in preparing and submitting marketing applications and have not previously submitted an NDA or other comparable foreign regulatory submission for any ecDTx. In addition, as a company, we have had limited interactions with the FDA and no interaction with other comparable foreign regulatory authorities and cannot be certain how many additional clinical trials of our ecDTx will be required or how such trials should be designed. Consequently, we may be unable to successfully and efficiently execute and complete necessary clinical trials in a way that leads to submission and regulatory approval of any of our ecDTx. We may require more time and incur greater costs than our competitors and may not succeed in obtaining regulatory approvals of ecDTx that we develop. Failure to commence or complete, or delays in, our planned clinical trials could prevent us from or delay us in submitting marketing applications, including NDAs, for and commercializing our ecDTx.</w:t>
      </w:r>
    </w:p>
    <w:p>
      <w:pPr>
        <w:spacing w:after="0" w:line="293"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If we are unable to successfully develop an ecDNA diagnostic to enable patient selection for our ecDTx, or if we experience significant delays in doing so, we may not realize the full commercial potential of our ecDTx.</w:t>
      </w:r>
    </w:p>
    <w:p>
      <w:pPr>
        <w:spacing w:after="0" w:line="3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 xml:space="preserve">A key component of our strategy will be our ability to identify patients with tumors harboring oncogene amplifications on ecDNA from genomic data obtained through next generation sequencing of patient tumor samples. Identification of these patients will require the development and use of an ecDNA diagnostic assay. We have engaged a third-party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company to develop our ecDNA diagnostic as a clinical trial assay for use during our Phase 1/2 POTENTIATE clinical trial of BBI-355. We may continue to work with this company on this, and/or other ecDNA diagnostic assays in the future, or we may choose to work with other third-party diagnostic developers. We may have difficulty in maintaining our relationship with our current third-party diagnostic developer or establishing or maintaining relationships with other third-party diagnostic development companies in the future, and we may face competition from other companies in establishing these relationships.</w:t>
      </w:r>
    </w:p>
    <w:p>
      <w:pPr>
        <w:spacing w:after="0" w:line="153"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There are also several risks associated with the development of an ecDNA diagnostic assay. We may not be able to identify predictive biomarkers to identify patients whose tumors harbor oncogene amplifications on ecDNA. We may not be able to validate an ecDNA diagnostic and the related biomarkers or their functional relevance clinically. Potential biomarkers, even if validated preclinically, may not be functionally validated in human clinical trials. Any failure by us or our third-party diagnostic developer to successfully develop or obtain marketing authorization for an ecDNA diagnostic assay, or any delays in doing so, may harm the commercial prospects of our ecDTx.</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intend to develop our ecDTx in combination with other therapies, which exposes us to additional risks.</w:t>
      </w:r>
    </w:p>
    <w:p>
      <w:pPr>
        <w:spacing w:after="0" w:line="169"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We intend to develop our current and any future ecDTx for use in combination with one or more currently approved cancer therapies. Even if any ecDTx we develop was to receive regulatory approval or be commercialized for use in combination with other existing therapies, we would continue to bear the risks that the FDA or similar foreign regulatory authorities could revoke approval of the therapy used in combination with our ecDTx or that safety, efficacy, manufacturing, or supply issues could arise with these existing therapies. Combination therapies are commonly used for the treatment of cancer,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and we would be subject to similar risks if we develop any of our ecDTx for use in combination with other drugs or biologics or for indications other than cancer. Developing combination therapies using approved therapeutics, as we plan to do for our ecDTx, also exposes us to additional clinical risks, such as the requirement that we demonstrate the safety and efficacy of each active component of any combination regimen we may develop.</w:t>
      </w:r>
    </w:p>
    <w:p>
      <w:pPr>
        <w:spacing w:after="0" w:line="147"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If the FDA or similar foreign regulatory authorities revoke the approval of combination agents, or if safety, efficacy, manufacturing, or supply issues arise with the drugs we choose to evaluate in combination with our ecDTx, we may be unable to obtain approval of or market our ecDTx for combination therapy regimens.</w:t>
      </w:r>
    </w:p>
    <w:p>
      <w:pPr>
        <w:spacing w:after="0" w:line="61"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ecDTx are unable to produce sufficient quantities for clinical trials or for commercialization of our ecDTx, or if the cost of combination therapies are prohibitive, our development and commercialization efforts would be impaired, which would have an adverse effect on our business, financial condition, results of operations, and prospects.</w:t>
      </w:r>
    </w:p>
    <w:p>
      <w:pPr>
        <w:spacing w:after="0" w:line="284"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ecDTx or a particular indication for an ecDTx and fail to capitalize on ecDTx or indications that may be more profitable or for which there is a greater likelihood of success.</w:t>
      </w:r>
    </w:p>
    <w:p>
      <w:pPr>
        <w:spacing w:after="0" w:line="3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Because we have limited financial and managerial resources, we focus on specific ecDTx, development programs, and indications. As a result, we may forgo or delay pursuit of opportunities with other ecDTx that could have had greater commercial potential. Our resource allocation and other decisions may cause us to fail to identify and capitalize on viable potential ecDTx or additional indications for our ecDTx or other profitable market opportunities. Our spending on current and future research and development programs and ecDTx for specific indications may not yield any commercially viable ecDTx. If we do not accurately evaluate the commercial potential or target market for a particular indication or ecDTx, we may relinquish valuable rights to that ecDTx through collaborations, licenses, and other similar arrangements in cases in which it would have been more advantageous for us to retain sole development and commercialization rights to such ecDTx.</w:t>
      </w:r>
    </w:p>
    <w:p>
      <w:pPr>
        <w:spacing w:after="0" w:line="290"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may in the future conduct certain of our clinical trials for our ecDTx outside of the United States. However, the FDA and other foreign equivalents may not accept data from such trials, in which case our development plans will be delayed, which could materially harm our business.</w:t>
      </w:r>
    </w:p>
    <w:p>
      <w:pPr>
        <w:spacing w:after="0" w:line="5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may in the future conduct one or more of our clinical trials for our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our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clinical trials of our ecDTx, it would likely result in the need for additional clinical trials, which would be costly and time-consuming and delay or permanently halt our development of our ecDTx.</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212" w:lineRule="exact"/>
        <w:rPr>
          <w:sz w:val="20"/>
          <w:szCs w:val="20"/>
          <w:color w:val="auto"/>
        </w:rPr>
      </w:pPr>
    </w:p>
    <w:p>
      <w:pPr>
        <w:ind w:left="1420" w:hanging="427"/>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211" w:lineRule="exact"/>
        <w:rPr>
          <w:rFonts w:ascii="Arial" w:cs="Arial" w:eastAsia="Arial" w:hAnsi="Arial"/>
          <w:sz w:val="18"/>
          <w:szCs w:val="18"/>
          <w:color w:val="auto"/>
        </w:rPr>
      </w:pPr>
    </w:p>
    <w:p>
      <w:pPr>
        <w:ind w:left="1420" w:hanging="427"/>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11" w:lineRule="exact"/>
        <w:rPr>
          <w:rFonts w:ascii="Arial" w:cs="Arial" w:eastAsia="Arial" w:hAnsi="Arial"/>
          <w:sz w:val="18"/>
          <w:szCs w:val="18"/>
          <w:color w:val="auto"/>
        </w:rPr>
      </w:pPr>
    </w:p>
    <w:p>
      <w:pPr>
        <w:ind w:left="1420" w:hanging="427"/>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211" w:lineRule="exact"/>
        <w:rPr>
          <w:rFonts w:ascii="Arial" w:cs="Arial" w:eastAsia="Arial" w:hAnsi="Arial"/>
          <w:sz w:val="18"/>
          <w:szCs w:val="18"/>
          <w:color w:val="auto"/>
        </w:rPr>
      </w:pPr>
    </w:p>
    <w:p>
      <w:pPr>
        <w:ind w:left="1420" w:hanging="427"/>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inconsistent standards for reporting and evaluating clinical data and adverse events;</w:t>
      </w:r>
    </w:p>
    <w:p>
      <w:pPr>
        <w:spacing w:after="0" w:line="211" w:lineRule="exact"/>
        <w:rPr>
          <w:rFonts w:ascii="Arial" w:cs="Arial" w:eastAsia="Arial" w:hAnsi="Arial"/>
          <w:sz w:val="18"/>
          <w:szCs w:val="18"/>
          <w:color w:val="auto"/>
        </w:rPr>
      </w:pPr>
    </w:p>
    <w:p>
      <w:pPr>
        <w:ind w:left="1420" w:hanging="427"/>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117" w:lineRule="exact"/>
        <w:rPr>
          <w:rFonts w:ascii="Arial" w:cs="Arial" w:eastAsia="Arial" w:hAnsi="Arial"/>
          <w:sz w:val="18"/>
          <w:szCs w:val="18"/>
          <w:color w:val="auto"/>
        </w:rPr>
      </w:pPr>
    </w:p>
    <w:p>
      <w:pPr>
        <w:ind w:left="1420" w:right="820" w:hanging="427"/>
        <w:spacing w:after="0" w:line="271"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health concerns or political instability, civil unrest, war, or similar events that may jeopardize our ability to commence, conduct, or complete a clinical trial and evaluate resulting data.</w:t>
      </w:r>
    </w:p>
    <w:p>
      <w:pPr>
        <w:spacing w:after="0" w:line="264"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45"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ecDTx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ecDTx or our business. If the interim, topline, or preliminary data that we report differ from actual results, or if others, including regulatory authorities, disagree with the conclusions reached, our ability to obtain approval for, and commercialize our ecDTx may be harmed, which could harm our business, operating results, prospects, or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ecDTx manufacturing or formulation may result in additional costs or delay.</w:t>
      </w:r>
    </w:p>
    <w:p>
      <w:pPr>
        <w:spacing w:after="0" w:line="10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As our ecDTx progress through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For example, in the future we may consider developing a higher dosage strength tablet for use in our ongoing Phase 1/2 POTENTIATE clinical trial of BBI-355. There can be no assurance that this or any other future manufacturing or formulation changes will achieve their intended objectives. These changes and any future changes we may make to our ecDTx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our ability to commercialize our ecDTx, if approved, and generate revenue.</w:t>
      </w:r>
    </w:p>
    <w:p>
      <w:pPr>
        <w:spacing w:after="0" w:line="290"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i w:val="1"/>
          <w:iCs w:val="1"/>
          <w:color w:val="auto"/>
        </w:rPr>
        <w:t>If we are required by the FDA or comparable foreign regulatory authority to obtain approval of a companion diagnostic test, such as our investigational ecDNA diagnostic, in connection with approval of any of our ecDTx, and we do not obtain, or face delays in obtaining, FDA or foreign approval of such companion diagnostic, we will not be able to commercialize our ecDTx, and our ability to generate revenue will be materially impaired.</w:t>
      </w:r>
    </w:p>
    <w:p>
      <w:pPr>
        <w:spacing w:after="0" w:line="57"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 xml:space="preserve">We are currently working with a third party to develop an ecDNA diagnostic assay to identify patients with tumors harboring oncogene amplifications on ecDNA. We believe an ecDNA diagnostic will be helpful in identifying patients that may benefit from certain of our ecDTx, including BBI-355. If the FDA believes that the safe and effective use of any of our ecDTx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such as our investigational ecDNA diagnostic, then it may require approval or clearance of that diagnostic as a companion diagnostic at the same time that the FDA approves our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an ecDNA diagnostic, or an alternative companion diagnostic is not commercially available in this situation, we may be required to complete the development of an ecDNA diagnostic or obtain an alternative companion diagnostic that would be subject to regulatory approval requirements. The process of obtaining or creating such diagnostics is time-consuming and costly.</w:t>
      </w:r>
    </w:p>
    <w:p>
      <w:pPr>
        <w:spacing w:after="0" w:line="15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we expect we may need to obtain approval for any ecDNA diagnostic we may develop for use with our ecDTx.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38"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If the FDA or a comparable foreign regulatory authority requires approval or clearance of a companion diagnostic for any of our ecDTx, whether before, simultaneously with, or after the candidate obtains regulatory approval, we and/or third-party developers may encounter difficulties in developing and obtaining approval or clearance for these companion diagnostics. Any delay or failure by us or third-party developers to develop or obtain regulatory approval or clearance of a companion diagnostic could delay or prevent approval or continued marketing of the relevant product. We or our third-party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developers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ecDTx, if approved, on a timely or profitable basis, if at all.</w:t>
      </w:r>
    </w:p>
    <w:p>
      <w:pPr>
        <w:spacing w:after="0" w:line="279" w:lineRule="exact"/>
        <w:rPr>
          <w:sz w:val="20"/>
          <w:szCs w:val="20"/>
          <w:color w:val="auto"/>
        </w:rPr>
      </w:pPr>
    </w:p>
    <w:p>
      <w:pPr>
        <w:ind w:left="120" w:right="240"/>
        <w:spacing w:after="0" w:line="245" w:lineRule="auto"/>
        <w:rPr>
          <w:sz w:val="20"/>
          <w:szCs w:val="20"/>
          <w:color w:val="auto"/>
        </w:rPr>
      </w:pPr>
      <w:r>
        <w:rPr>
          <w:rFonts w:ascii="Arial" w:cs="Arial" w:eastAsia="Arial" w:hAnsi="Arial"/>
          <w:sz w:val="18"/>
          <w:szCs w:val="18"/>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6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may in the future seek an accelerated approval for one or more of our ecDTx.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5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3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Prior to seeking approval for any of our ecDTx, we intend to seek feedback from the FDA and will otherwise evaluate our ability to seek and receive accelerated approval. There can be no assurance that after our evaluation of the feedback and other factors we will decide to pursue or submit an NDA for accelerated approval or obtain any other form of expedited development, review, or approval. Furthermore, if we decide to submit an application for accelerated approval for our ecDTx,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ecDTx would result in a longer time period to commercialization of such ecDTx, if any, could increase the cost of development of such ecDTx, and could harm our competitive position in the marketplace.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jc w:val="both"/>
        <w:ind w:left="120" w:right="300"/>
        <w:spacing w:after="0" w:line="278"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56"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6"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ecDTx development programs and our ability to seek or obtain regulatory approval for or commercialize our ecDTx may be delayed.</w:t>
      </w:r>
    </w:p>
    <w:p>
      <w:pPr>
        <w:spacing w:after="0" w:line="5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clinical trials of all of our ecDTx.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5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90"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b w:val="1"/>
          <w:bCs w:val="1"/>
          <w:i w:val="1"/>
          <w:iCs w:val="1"/>
          <w:color w:val="auto"/>
        </w:rPr>
        <w:t>We rely on third parties for the manufacture of our ecDTx for clinical and preclinical development and expect to continue to do so for the foreseeable future. This reliance on third parties increases the risk that we will not have sufficient quantities of our ecDTx or products or such quantities at an acceptable cost, which could delay, prevent, or impair, our development or commercialization efforts.</w:t>
      </w:r>
    </w:p>
    <w:p>
      <w:pPr>
        <w:spacing w:after="0" w:line="5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do not own or operate manufacturing facilities and have no plans to develop our own clinical or commercial-scale manufacturing capabilities. We rely, and expect to continue to rely, on third parties for the manufacture of our ecDTx and related raw materials for clinical and preclinical development, as well as for commercial manufacture if any of our ecDTx receive regulatory approval. The facilities used by third-party manufacturers to manufacture our ecDTx must be approved for the manufacture of our ecDTx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ecDTx or if it withdraws any such approval in the future, we may need to find alternative manufacturing facilities, which would significantly impact our ability to develop, obtain regulatory approval for, or market our ecDTx,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ecDTx or products, operating restrictions, and criminal prosecutions, any of which could significantly and adversely affect supplies of our ecDTx.</w:t>
      </w:r>
    </w:p>
    <w:p>
      <w:pPr>
        <w:spacing w:after="0" w:line="145" w:lineRule="exact"/>
        <w:rPr>
          <w:sz w:val="20"/>
          <w:szCs w:val="20"/>
          <w:color w:val="auto"/>
        </w:rPr>
      </w:pPr>
    </w:p>
    <w:p>
      <w:pPr>
        <w:ind w:left="120" w:right="180" w:firstLine="551"/>
        <w:spacing w:after="0" w:line="301" w:lineRule="auto"/>
        <w:rPr>
          <w:sz w:val="20"/>
          <w:szCs w:val="20"/>
          <w:color w:val="auto"/>
        </w:rPr>
      </w:pPr>
      <w:r>
        <w:rPr>
          <w:rFonts w:ascii="Arial" w:cs="Arial" w:eastAsia="Arial" w:hAnsi="Arial"/>
          <w:sz w:val="17"/>
          <w:szCs w:val="17"/>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36" w:lineRule="exact"/>
        <w:rPr>
          <w:sz w:val="20"/>
          <w:szCs w:val="20"/>
          <w:color w:val="auto"/>
        </w:rPr>
      </w:pPr>
    </w:p>
    <w:p>
      <w:pPr>
        <w:ind w:left="5520" w:right="4980" w:hanging="4527"/>
        <w:spacing w:after="0" w:line="443" w:lineRule="auto"/>
        <w:tabs>
          <w:tab w:leader="none" w:pos="14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our ecDTx; 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our ecDTx;</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subjecting third-party manufacturing facilities to additional inspections by regulatory authorities;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ecDTx;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ecDTx, an inability to meet commercial demands for our ecDTx.</w:t>
      </w:r>
    </w:p>
    <w:p>
      <w:pPr>
        <w:spacing w:after="0" w:line="185"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In addition, we do not have any long-term commitments or supply agreements with our third -party manufacturers. We may be unable to establish any long-term supply agreements with third-party manufacturers or to do so on acceptable terms or at all, which increases the risk of failing to timely obtain sufficient quantities of our ecDTx or such quantities at an acceptable cost. Even if we are able to establish agreements with third-party manufacturers, reliance on third-party manufacturers entails additional risks, including:</w:t>
      </w:r>
    </w:p>
    <w:p>
      <w:pPr>
        <w:spacing w:after="0" w:line="79" w:lineRule="exact"/>
        <w:rPr>
          <w:sz w:val="20"/>
          <w:szCs w:val="20"/>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obtain adequate raw materials and other materials required for manufacturing;</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successfully scale up manufacturing capacity, if required;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04" w:lineRule="exact"/>
        <w:rPr>
          <w:sz w:val="20"/>
          <w:szCs w:val="20"/>
          <w:color w:val="auto"/>
        </w:rPr>
      </w:pPr>
    </w:p>
    <w:p>
      <w:pPr>
        <w:ind w:left="120" w:right="760" w:firstLine="551"/>
        <w:spacing w:after="0" w:line="271" w:lineRule="auto"/>
        <w:rPr>
          <w:sz w:val="20"/>
          <w:szCs w:val="20"/>
          <w:color w:val="auto"/>
        </w:rPr>
      </w:pPr>
      <w:r>
        <w:rPr>
          <w:rFonts w:ascii="Arial" w:cs="Arial" w:eastAsia="Arial" w:hAnsi="Arial"/>
          <w:sz w:val="18"/>
          <w:szCs w:val="18"/>
          <w:color w:val="auto"/>
        </w:rPr>
        <w:t>Our ecDTx and any products that we may develop may compete with other product candidates and products for access to manufacturing facilities.</w:t>
      </w:r>
    </w:p>
    <w:p>
      <w:pPr>
        <w:spacing w:after="0" w:line="11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and any related remedial measures may be costly or time consuming to implement. We do not currently have arrangements in place for redundant supply or a second source for all required raw materials used in the manufacture of our ecDTx. If our existing or future third-party manufacturers cannot perform as agreed, we may be required to replace such manufacturers and we may be unable to replace them on a timely basis or at all.</w:t>
      </w:r>
    </w:p>
    <w:p>
      <w:pPr>
        <w:spacing w:after="0" w:line="136" w:lineRule="exact"/>
        <w:rPr>
          <w:sz w:val="20"/>
          <w:szCs w:val="20"/>
          <w:color w:val="auto"/>
        </w:rPr>
      </w:pPr>
    </w:p>
    <w:p>
      <w:pPr>
        <w:ind w:left="120" w:right="300" w:firstLine="551"/>
        <w:spacing w:after="0" w:line="253" w:lineRule="auto"/>
        <w:rPr>
          <w:sz w:val="20"/>
          <w:szCs w:val="20"/>
          <w:color w:val="auto"/>
        </w:rPr>
      </w:pPr>
      <w:r>
        <w:rPr>
          <w:rFonts w:ascii="Arial" w:cs="Arial" w:eastAsia="Arial" w:hAnsi="Arial"/>
          <w:sz w:val="18"/>
          <w:szCs w:val="18"/>
          <w:color w:val="auto"/>
        </w:rPr>
        <w:t>In addition, our current and anticipated future dependence upon others for the manufacture of our ecDTx or products may adversely affect our future profit margins and our ability to commercialize any products that receive regulatory approval on a timely and competitive basis.</w:t>
      </w:r>
    </w:p>
    <w:p>
      <w:pPr>
        <w:spacing w:after="0" w:line="279"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31"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Because we currently rely on third parties for the development of a diagnostic and to manufacture our ecDTx and to perform quality testing, we must, at times, share our proprietary technology and confidential information, including trade secrets, with them. We seek to protect our proprietary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90"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may seek to enter into collaborations, joint ventures, licenses, and other similar arrangements for the development or commercialization of our ecDTx, if approved, due to capital costs required to develop or commercialize the ecDTx or manufacturing constraints. We may not be successful in our efforts to establish or maintain such collaborations for our ecDTx because our research and development pipeline may be insufficient, our ecDTx may be deemed to be at too early of a stage of development for collaborative effort, or third parties may not view our ecDTx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ecDTx or ecDNA diagnostic,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ecDTx.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or ecDTx for our pipeline. Furthermore, we may not be able to maintain such collaborations if, for example, the development or approval of an ecDTx is delayed, the safety of an ecDTx is questioned, or the sales of an approved ecDTx are unsatisfactory.</w:t>
      </w:r>
    </w:p>
    <w:p>
      <w:pPr>
        <w:spacing w:after="0" w:line="157"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ecDTx, if approved, and may not conduct those activities in the same manner as we do.</w:t>
      </w:r>
    </w:p>
    <w:p>
      <w:pPr>
        <w:spacing w:after="0" w:line="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Any termination of collaborations we enter into in the future, or any delay in entering into collaborations related to our ecDTx, could delay the development and commercialization of our ecDTx, if approved, and reduce their competitiveness if they reach the market, which could have a material adverse effect on our business, financial condition, results of operations, and prospects.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ecDTx</w:t>
      </w:r>
    </w:p>
    <w:p>
      <w:pPr>
        <w:spacing w:after="0" w:line="106"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Even if we receive regulatory approval for any ecDTx, we will be subject to ongoing regulatory obligations and continued regulatory review, which may result in significant additional expense.</w:t>
      </w:r>
    </w:p>
    <w:p>
      <w:pPr>
        <w:spacing w:after="0" w:line="31"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Any regulatory approvals that we may receive for our ecDTx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ecDTx, which could include requirements for a medication guide, physician communication plans, or additional elements to ensure safe use, such as restricted distribution methods, patient registries, and other risk minimization tools.</w:t>
      </w:r>
    </w:p>
    <w:p>
      <w:pPr>
        <w:spacing w:after="0" w:line="15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if the FDA or a comparable foreign regulatory authority approves our ecDTx,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86" w:lineRule="exact"/>
        <w:rPr>
          <w:sz w:val="20"/>
          <w:szCs w:val="20"/>
          <w:color w:val="auto"/>
        </w:rPr>
      </w:pPr>
    </w:p>
    <w:p>
      <w:pPr>
        <w:ind w:left="1420" w:right="180" w:hanging="427"/>
        <w:spacing w:after="0" w:line="271"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 warning letters, untitled letters, adverse publicity requirements, or holds on clinical trials;</w:t>
      </w:r>
    </w:p>
    <w:p>
      <w:pPr>
        <w:spacing w:after="0" w:line="59" w:lineRule="exact"/>
        <w:rPr>
          <w:rFonts w:ascii="Arial" w:cs="Arial" w:eastAsia="Arial" w:hAnsi="Arial"/>
          <w:sz w:val="18"/>
          <w:szCs w:val="18"/>
          <w:color w:val="auto"/>
        </w:rPr>
      </w:pPr>
    </w:p>
    <w:p>
      <w:pPr>
        <w:ind w:left="1420" w:right="940" w:hanging="427"/>
        <w:spacing w:after="0" w:line="271"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submitted by us or suspension or revocation of approvals;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and the imposition of civil or criminal penalties.</w:t>
      </w:r>
    </w:p>
    <w:p>
      <w:pPr>
        <w:spacing w:after="0" w:line="171"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ecDTx and generate revenue and could require us to expend significant time and resources in response and could generate negative publicity.</w:t>
      </w:r>
    </w:p>
    <w:p>
      <w:pPr>
        <w:spacing w:after="0" w:line="113"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marketing authorization of any ecDTx.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such as our ecDTx, if approved. In particular, a product may not be promoted for uses that are not approved by the FDA or such other regulatory agencies as reflected in the product’s approved labeling. If we receive regulatory approval for an ecDTx,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ecDTx, if approved, we could become subject to significant liability, which would materially adversely affect our business and financial condition.</w:t>
      </w:r>
    </w:p>
    <w:p>
      <w:pPr>
        <w:spacing w:after="0" w:line="29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The commercial success of our ecDTx will depend upon the degree of market acceptance of such ecDTx by physicians, patients, healthcare payors, and others in the medical community.</w:t>
      </w:r>
    </w:p>
    <w:p>
      <w:pPr>
        <w:spacing w:after="0" w:line="31" w:lineRule="exact"/>
        <w:rPr>
          <w:sz w:val="20"/>
          <w:szCs w:val="20"/>
          <w:color w:val="auto"/>
        </w:rPr>
      </w:pPr>
    </w:p>
    <w:p>
      <w:pPr>
        <w:jc w:val="both"/>
        <w:ind w:left="120" w:right="240" w:firstLine="551"/>
        <w:spacing w:after="0" w:line="247" w:lineRule="auto"/>
        <w:rPr>
          <w:sz w:val="20"/>
          <w:szCs w:val="20"/>
          <w:color w:val="auto"/>
        </w:rPr>
      </w:pPr>
      <w:r>
        <w:rPr>
          <w:rFonts w:ascii="Arial" w:cs="Arial" w:eastAsia="Arial" w:hAnsi="Arial"/>
          <w:sz w:val="18"/>
          <w:szCs w:val="18"/>
          <w:color w:val="auto"/>
        </w:rPr>
        <w:t>Our ecDTx may not be commercially successful. Even if any of our ecDTx receive regulatory approval, they may not gain market acceptance among physicians, patients, healthcare payors, or the medical community. The commercial success of any of our current or future ecDTx will depend significantly on the broad adoption and use of the resulting product by these individuals and organizations for approved indications. The degree of market acceptance of our products will depend on a number of factors, including:</w:t>
      </w:r>
    </w:p>
    <w:p>
      <w:pPr>
        <w:spacing w:after="0" w:line="79" w:lineRule="exact"/>
        <w:rPr>
          <w:sz w:val="20"/>
          <w:szCs w:val="20"/>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of clinical efficacy and safety, including as compared to any more-established products;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indications for which our ecDTx are approved;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17" w:lineRule="exact"/>
        <w:rPr>
          <w:rFonts w:ascii="Arial" w:cs="Arial" w:eastAsia="Arial" w:hAnsi="Arial"/>
          <w:sz w:val="18"/>
          <w:szCs w:val="18"/>
          <w:color w:val="auto"/>
        </w:rPr>
      </w:pPr>
    </w:p>
    <w:p>
      <w:pPr>
        <w:ind w:left="1420" w:right="740" w:hanging="427"/>
        <w:spacing w:after="0" w:line="271"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9" w:lineRule="exact"/>
        <w:rPr>
          <w:rFonts w:ascii="Arial" w:cs="Arial" w:eastAsia="Arial" w:hAnsi="Arial"/>
          <w:sz w:val="18"/>
          <w:szCs w:val="18"/>
          <w:color w:val="auto"/>
        </w:rPr>
      </w:pPr>
    </w:p>
    <w:p>
      <w:pPr>
        <w:ind w:left="1420" w:right="300" w:hanging="427"/>
        <w:spacing w:after="0" w:line="271"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availability, safety, and efficacy of competitive drugs;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or any potential future collaborators’ sales and marketing strategies;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If any ecDTx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4"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i w:val="1"/>
          <w:iCs w:val="1"/>
          <w:color w:val="auto"/>
        </w:rPr>
        <w:t>The successful commercialization of our ecDTx, if approved, will depend in part on the extent to which governmental authorities and health insurers establish coverage, adequate reimbursement levels, and favorable pricing policies. Failure to obtain or maintain coverage and adequate reimbursement for our ecDTx could limit our ability to market those products and decrease our ability to generate revenue.</w:t>
      </w:r>
    </w:p>
    <w:p>
      <w:pPr>
        <w:spacing w:after="0" w:line="57"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ecDTx, if approved. Our ability to achieve coverage and acceptable levels of reimbursement for our ecDTx by third-party payors will have an effect on our ability to successfully commercialize those ecDTx. Accordingly, we will need to successfully implement a coverage and reimbursement strategy for any approved ecDTx. Even if we obtain coverage for a given ecDTx by a third-party payor, the resulting reimbursement payment rates may not be adequate or may require co-payments that patients find unacceptably high.</w:t>
      </w:r>
    </w:p>
    <w:p>
      <w:pPr>
        <w:spacing w:after="0" w:line="152"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If we participate in the Medicaid Drug Rebate Program or other governmental pricing programs, in certain circumstances, our ecDTx would be subject to ceiling prices set by such programs, which could reduce the revenue we may generate from any such ecDTx. Participation in such programs would also expose us to the risk of significant civil monetary penalties, sanctions, and fines should we be found to be in violation of any applicable obligations thereunder.</w:t>
      </w:r>
    </w:p>
    <w:p>
      <w:pPr>
        <w:spacing w:after="0" w:line="13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ecDTx as substitutable and offer to reimburse patients only for the less expensive product. Even if we are successful in demonstrating improved efficacy or improved convenience of administration with our ecDTx, pricing of existing drugs may limit the amount we will be able to charge for our ecDTx. These payors may deny or revoke the reimbursement status of a given product or establish prices for new or existing marketed products at levels that are too low to enable us to realize an appropriate return on our investment in ecDTx development. If reimbursement is not available or is available only at limited levels, we may not be able to successfully commercialize our ecDTx and may not be able to obtain a satisfactory financial return on ecDTx that we may develop. In addition, in the event that we develop companion diagnostic tests for use with our ecDTx, once approved, such companion diagnostic tests will require coverage and reimbursement separate and apart from the coverage and reimbursement for their companion pharmaceutical product. Similar challenges to obtaining coverage and reimbursement applicable to pharmaceutical products will apply to companion diagnostics tests.</w:t>
      </w:r>
    </w:p>
    <w:p>
      <w:pPr>
        <w:spacing w:after="0" w:line="14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ecDTx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p>
    <w:p>
      <w:pPr>
        <w:spacing w:after="0" w:line="15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ecDTx. Accordingly, in markets outside the United States, the reimbursement for our products may be reduced compared with the United States and may be insufficient to generate commercially reasonable revenue and profits.</w:t>
      </w:r>
    </w:p>
    <w:p>
      <w:pPr>
        <w:spacing w:after="0" w:line="140"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ecDTx. We expect to experience pricing pressures in connection with the sale of any of our ecDTx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our ecDTx and may adversely affect the prices we may set” for additional related information.</w:t>
      </w:r>
    </w:p>
    <w:p>
      <w:pPr>
        <w:spacing w:after="0" w:line="293"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spacing w:after="0" w:line="6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our ecDTx. Any ecDTx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ecDTx. In particular, there is intense competition in the oncology field. Our competitors include larger and better-funded pharmaceutical, biopharmaceutical, biotechnological, and therapeutics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5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any of our ecDTx are approved, they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ecDTx. There are numerous companies developing precision oncology medicines with which we may compete. In addition to competing with other therapies targeting similar indications, there are numerous other companies and academic institutions focused on similar targets as our ecDTx and/or different scientific approaches to treating the same indications. We face competition from such companies in seeking any future potential collaborations to partner our ecDTx, as well as potentially competing commercially for any approved products.</w:t>
      </w:r>
    </w:p>
    <w:p>
      <w:pPr>
        <w:spacing w:after="0" w:line="1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Specifically, for BBI-355, Acrivon Therapeutics, Esperas Pharma, and PharmaEngine have CHK1 inhibitors in clinical development. BenevolentAI, Fosun Pharma, and Impact Therapeutics have publicly disclosed preclinical stage CHK1 inhibitors. For BBI-825, there are several generic approved agents that inhibit RNR as part of their broader mechanism of action, including gemcitabine and hydroxyurea. For our pipeline of ecDTx programs, potential competition includes established companies as well as emerging biotechnology companies that may launch programs against similar targets; however, we are not aware of any companies with ecDNA-directed therapeutic programs in clinical development or a patient selection strategy for ecDNA-enabled oncogene amplification. We are aware of one early-stage private company that is focused on research in ecDNA, Econic Biosciences.</w:t>
      </w:r>
    </w:p>
    <w:p>
      <w:pPr>
        <w:spacing w:after="0" w:line="14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ecDTx,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ecDTx we develop obsolete or noncompetitive before we recover the expense of developing and commercializing it. If we are unable to compete effectively, our opportunity to generate revenue from the sale of any ecDTx we may develop, if approved, could be adversely affected.</w:t>
      </w:r>
    </w:p>
    <w:p>
      <w:pPr>
        <w:spacing w:after="0" w:line="293"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The market opportunities for our ecDTx may be limited to patients who are ineligible for or have failed prior treatments and may be small or different from our estimates.</w:t>
      </w:r>
    </w:p>
    <w:p>
      <w:pPr>
        <w:spacing w:after="0" w:line="31"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Cancer therapies are defined by lines of therapy as well as by treatment-naïve or previously-treated status. Often the initial approval for a new therapy is in later lines and subsequent approval in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our ecDTx,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5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later stage therapy and who have the potential to benefit from treatment with our ecDTx,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Further, specific to our biomarker-driven strategy, data analytics and information from databases that we rely on for identifying or validating some of our biomarker-target relationships may not accurately reflect potential patient populations or may be based on incorrect methodology. As ecDNA in oncogene amplified cancers is a new and novel approach, this heightens the risk that our estimates of the eligible patient population may not be accurate.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ecDTx, because some of our potential target populations are very small, we may never achieve profitability despite obtaining such significant market share.</w:t>
      </w:r>
    </w:p>
    <w:p>
      <w:pPr>
        <w:spacing w:after="0" w:line="283"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no internal sales, marketing, or distribution capabilities, nor have we ever commercialized a product. If any of our ecDTx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ecDTx revenue and our profitability, if any, may be lower if we rely on third parties for these functions than if we were to market, sell, and distribute any</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ecDTx that we develop ourselves. We likely will have little control over such third parties, and any of them may fail to devote the necessary resources and attention to sell and market our ecDTx effectively. If we are not successful in commercializing our ecDTx, either on our own or through arrangements with one or more third parties, we may not be able to generate any future ecDTx revenue and we would incur significant additional losses.</w:t>
      </w:r>
    </w:p>
    <w:p>
      <w:pPr>
        <w:spacing w:after="0" w:line="284" w:lineRule="exact"/>
        <w:rPr>
          <w:sz w:val="20"/>
          <w:szCs w:val="20"/>
          <w:color w:val="auto"/>
        </w:rPr>
      </w:pPr>
    </w:p>
    <w:p>
      <w:pPr>
        <w:ind w:left="120" w:right="42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future growth may depend, in part, on our ability to develop and commercialize our ecDTx in foreign markets. We are not permitted to market or promote any of our ecDTx before we receive regulatory approval from applicable regulatory authorities in foreign markets, and we may never receive such regulatory approvals for any of our ecDTx. To obtain separate regulatory approval in many other countries we must comply with numerous and varying regulatory requirements regarding safety and efficacy and governing, among other things, clinical trials, commercial sales, pricing, and distribution of our ecDTx. Approval procedures may be more onerous than those in the United States and may require that we conduct additional preclinical studies or clinical trials. If we obtain regulatory approval of our ecDTx and ultimately commercialize our ecDTx in foreign markets, we would be subject to additional risks and uncertainties, including:</w:t>
      </w:r>
    </w:p>
    <w:p>
      <w:pPr>
        <w:spacing w:after="0" w:line="90" w:lineRule="exact"/>
        <w:rPr>
          <w:sz w:val="20"/>
          <w:szCs w:val="20"/>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17" w:lineRule="exact"/>
        <w:rPr>
          <w:rFonts w:ascii="Arial" w:cs="Arial" w:eastAsia="Arial" w:hAnsi="Arial"/>
          <w:sz w:val="18"/>
          <w:szCs w:val="18"/>
          <w:color w:val="auto"/>
        </w:rPr>
      </w:pPr>
    </w:p>
    <w:p>
      <w:pPr>
        <w:ind w:left="1420" w:right="380" w:hanging="427"/>
        <w:spacing w:after="0" w:line="271"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export control and import laws and regulations and unexpected changes in tariffs, trade barriers, and regulatory requirements;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420" w:right="660" w:hanging="427"/>
        <w:spacing w:after="0" w:line="271"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420" w:right="740" w:hanging="427"/>
        <w:spacing w:after="0" w:line="271"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public health pandemics or epidemics, or natural disasters including earthquakes, typhoons, floods, and fires.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06"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31" w:lineRule="exact"/>
        <w:rPr>
          <w:sz w:val="20"/>
          <w:szCs w:val="20"/>
          <w:color w:val="auto"/>
        </w:rPr>
      </w:pPr>
    </w:p>
    <w:p>
      <w:pPr>
        <w:ind w:left="120" w:right="200" w:firstLine="551"/>
        <w:spacing w:after="0" w:line="301"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36" w:lineRule="exact"/>
        <w:rPr>
          <w:sz w:val="20"/>
          <w:szCs w:val="20"/>
          <w:color w:val="auto"/>
        </w:rPr>
      </w:pPr>
    </w:p>
    <w:p>
      <w:pPr>
        <w:ind w:left="1420" w:right="400" w:hanging="427"/>
        <w:spacing w:after="0" w:line="271"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ecDTx, which may change from</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560"/>
        <w:spacing w:after="0" w:line="271" w:lineRule="auto"/>
        <w:rPr>
          <w:sz w:val="20"/>
          <w:szCs w:val="20"/>
          <w:color w:val="auto"/>
        </w:rPr>
      </w:pPr>
      <w:r>
        <w:rPr>
          <w:rFonts w:ascii="Arial" w:cs="Arial" w:eastAsia="Arial" w:hAnsi="Arial"/>
          <w:sz w:val="18"/>
          <w:szCs w:val="18"/>
          <w:color w:val="auto"/>
        </w:rPr>
        <w:t>time to time, including the need to conduct unanticipated clinical trials or trials that are larger or more complex than anticipated;</w:t>
      </w:r>
    </w:p>
    <w:p>
      <w:pPr>
        <w:spacing w:after="0" w:line="59" w:lineRule="exact"/>
        <w:rPr>
          <w:sz w:val="20"/>
          <w:szCs w:val="20"/>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420" w:right="160" w:hanging="427"/>
        <w:spacing w:after="0" w:line="27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or clinical trials for our ecDTx or competing products, or any other change in the competitive landscape of our industry, including consolidation among our competitors or partners;</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ecDTx, if approved, and potential future drugs that compete with our ecDTx ;</w:t>
      </w:r>
    </w:p>
    <w:p>
      <w:pPr>
        <w:spacing w:after="0" w:line="59" w:lineRule="exact"/>
        <w:rPr>
          <w:rFonts w:ascii="Arial" w:cs="Arial" w:eastAsia="Arial" w:hAnsi="Arial"/>
          <w:sz w:val="18"/>
          <w:szCs w:val="18"/>
          <w:color w:val="auto"/>
        </w:rPr>
      </w:pPr>
    </w:p>
    <w:p>
      <w:pPr>
        <w:ind w:left="1420" w:right="560" w:hanging="427"/>
        <w:spacing w:after="0" w:line="27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manufacturing our ecDTx, which may vary depending on the quantity of production and the terms of our agreements with third-party manufacturers;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ecDTx and technologies;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any approved ecDTx, which may vary significantly and be difficult to predict;</w:t>
      </w:r>
    </w:p>
    <w:p>
      <w:pPr>
        <w:spacing w:after="0" w:line="13"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99"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420" w:right="240" w:hanging="427"/>
        <w:spacing w:after="0" w:line="27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payable by us or due to us under any collaboration, licensing, or other similar agreement.</w:t>
      </w:r>
    </w:p>
    <w:p>
      <w:pPr>
        <w:spacing w:after="0" w:line="127"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8"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6" w:lineRule="exact"/>
        <w:rPr>
          <w:sz w:val="20"/>
          <w:szCs w:val="20"/>
          <w:color w:val="auto"/>
        </w:rPr>
      </w:pPr>
    </w:p>
    <w:p>
      <w:pPr>
        <w:ind w:left="120" w:right="580"/>
        <w:spacing w:after="0" w:line="278" w:lineRule="auto"/>
        <w:rPr>
          <w:sz w:val="20"/>
          <w:szCs w:val="20"/>
          <w:color w:val="auto"/>
        </w:rPr>
      </w:pPr>
      <w:r>
        <w:rPr>
          <w:rFonts w:ascii="Arial" w:cs="Arial" w:eastAsia="Arial" w:hAnsi="Arial"/>
          <w:sz w:val="18"/>
          <w:szCs w:val="18"/>
          <w:b w:val="1"/>
          <w:bCs w:val="1"/>
          <w:i w:val="1"/>
          <w:iCs w:val="1"/>
          <w:color w:val="auto"/>
        </w:rPr>
        <w:t>Our success is dependent on our ability to attract and retain highly qualified management and other clinical and scientific personnel.</w:t>
      </w:r>
    </w:p>
    <w:p>
      <w:pPr>
        <w:spacing w:after="0" w:line="31"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our ecDTx.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5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02"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7"/>
          <w:szCs w:val="17"/>
          <w:color w:val="auto"/>
        </w:rPr>
        <w:t>As of December 31, 2023, we had 71 full-time employees. As we continue development and pursue the potential commercialization of our ecDTx,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our ecDTx and to compete effectively will depend, in part, on our ability to manage any future growth effectively.</w:t>
      </w:r>
    </w:p>
    <w:p>
      <w:pPr>
        <w:spacing w:after="0" w:line="275"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51"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82" w:lineRule="exact"/>
        <w:rPr>
          <w:sz w:val="20"/>
          <w:szCs w:val="20"/>
          <w:color w:val="auto"/>
        </w:rPr>
      </w:pPr>
    </w:p>
    <w:p>
      <w:pPr>
        <w:ind w:left="1420" w:hanging="427"/>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90"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and civil monetary penalties laws, which prohibit, among other things, individuals or entities from knowingly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40"/>
        <w:spacing w:after="0" w:line="242" w:lineRule="auto"/>
        <w:rPr>
          <w:sz w:val="20"/>
          <w:szCs w:val="20"/>
          <w:color w:val="auto"/>
        </w:rPr>
      </w:pPr>
      <w:r>
        <w:rPr>
          <w:rFonts w:ascii="Arial" w:cs="Arial" w:eastAsia="Arial" w:hAnsi="Arial"/>
          <w:sz w:val="18"/>
          <w:szCs w:val="18"/>
          <w:color w:val="auto"/>
        </w:rPr>
        <w:t>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84" w:lineRule="exact"/>
        <w:rPr>
          <w:sz w:val="20"/>
          <w:szCs w:val="20"/>
          <w:color w:val="auto"/>
        </w:rPr>
      </w:pPr>
    </w:p>
    <w:p>
      <w:pPr>
        <w:ind w:left="1420" w:right="160" w:hanging="427"/>
        <w:spacing w:after="0" w:line="242"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4" w:lineRule="exact"/>
        <w:rPr>
          <w:rFonts w:ascii="Arial" w:cs="Arial" w:eastAsia="Arial" w:hAnsi="Arial"/>
          <w:sz w:val="18"/>
          <w:szCs w:val="18"/>
          <w:color w:val="auto"/>
        </w:rPr>
      </w:pPr>
    </w:p>
    <w:p>
      <w:pPr>
        <w:ind w:left="1420" w:right="2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w:t>
      </w:r>
    </w:p>
    <w:p>
      <w:pPr>
        <w:spacing w:after="0" w:line="85" w:lineRule="exact"/>
        <w:rPr>
          <w:rFonts w:ascii="Arial" w:cs="Arial" w:eastAsia="Arial" w:hAnsi="Arial"/>
          <w:sz w:val="18"/>
          <w:szCs w:val="18"/>
          <w:color w:val="auto"/>
        </w:rPr>
      </w:pPr>
    </w:p>
    <w:p>
      <w:pPr>
        <w:ind w:left="1420" w:right="60" w:hanging="427"/>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5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289"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Current and future healthcare reform legislation or regulation may increase the difficulty and cost for us to obtain coverage for and commercialize our ecDTx and may adversely affect the prices we may set.</w:t>
      </w:r>
    </w:p>
    <w:p>
      <w:pPr>
        <w:spacing w:after="0" w:line="31"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ecDTx for which we obtain regulatory approval. In particular, there have been and continue to be a number of initiatives at the U.S. federal and state levels that seek to reduce healthcare costs and improve the quality of healthcare.</w:t>
      </w:r>
    </w:p>
    <w:p>
      <w:pPr>
        <w:spacing w:after="0" w:line="14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example, the Affordable Care Act (ACA) was enacted in the United States in 2010.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40"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2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w:t>
      </w:r>
    </w:p>
    <w:p>
      <w:pPr>
        <w:spacing w:after="0" w:line="15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ecDTx, if approved, or put pressure on our product pricing, which could negatively affect our business, results of operations, financial condition, and prospects.</w:t>
      </w:r>
    </w:p>
    <w:p>
      <w:pPr>
        <w:spacing w:after="0" w:line="14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ecDTx, if approved.</w:t>
      </w:r>
    </w:p>
    <w:p>
      <w:pPr>
        <w:spacing w:after="0" w:line="289" w:lineRule="exact"/>
        <w:rPr>
          <w:sz w:val="20"/>
          <w:szCs w:val="20"/>
          <w:color w:val="auto"/>
        </w:rPr>
      </w:pPr>
    </w:p>
    <w:p>
      <w:pPr>
        <w:ind w:left="120" w:right="42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delay, or cease commercialization of our ecDTx.</w:t>
      </w:r>
    </w:p>
    <w:p>
      <w:pPr>
        <w:spacing w:after="0" w:line="31"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face an inherent risk of product liability as a result of the clinical trials of our ecDTx and will face an even greater risk if we commercialize our ecDTx, if approved. For example, we may be sued if our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38"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1420" w:hanging="427"/>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ecDTx;</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product recipients;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ecDTx;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8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hold approximately $5.0 million in product liability insurance coverage in the aggregate. We may need to increase our insurance coverage as we expand our clinical trials or if we commence commercialization of our ecDTx. Insurance coverage is increasingly expensive. Our inability to obtain and retain sufficient product liability insurance at an acceptable cost to protect against potential product liability claims could prevent or inhibit the commercialization of our ecDTx.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93"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Our insurance policies are expensive and protect us from only some business risks, which will leave us exposed to significant uninsured liabilities.</w:t>
      </w:r>
    </w:p>
    <w:p>
      <w:pPr>
        <w:spacing w:after="0" w:line="31"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289" w:lineRule="exact"/>
        <w:rPr>
          <w:sz w:val="20"/>
          <w:szCs w:val="20"/>
          <w:color w:val="auto"/>
        </w:rPr>
      </w:pPr>
    </w:p>
    <w:p>
      <w:pPr>
        <w:ind w:left="120" w:right="160"/>
        <w:spacing w:after="0" w:line="249" w:lineRule="auto"/>
        <w:rPr>
          <w:sz w:val="20"/>
          <w:szCs w:val="20"/>
          <w:color w:val="auto"/>
        </w:rPr>
      </w:pPr>
      <w:r>
        <w:rPr>
          <w:rFonts w:ascii="Arial" w:cs="Arial" w:eastAsia="Arial" w:hAnsi="Arial"/>
          <w:sz w:val="18"/>
          <w:szCs w:val="18"/>
          <w:b w:val="1"/>
          <w:bCs w:val="1"/>
          <w:i w:val="1"/>
          <w:iCs w:val="1"/>
          <w:color w:val="auto"/>
        </w:rPr>
        <w:t>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w:t>
      </w:r>
    </w:p>
    <w:p>
      <w:pPr>
        <w:spacing w:after="0" w:line="57"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We and our service providers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5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9"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7"/>
          <w:szCs w:val="17"/>
          <w:color w:val="auto"/>
        </w:rPr>
        <w:t>There are also privacy laws in other countries that may impact our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w:t>
      </w:r>
    </w:p>
    <w:p>
      <w:pPr>
        <w:spacing w:after="0" w:line="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 xml:space="preserve">Companies that must comply with the GDPR face increased compliance obligations and risk, including more robust regulatory enforcement of data protection requirements and potential fines for noncompliance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cease or change our data processing activities, enforcement notices, assessment notices (for a compulsory audit), and/ or civil claims (including class actions).</w:t>
      </w:r>
    </w:p>
    <w:p>
      <w:pPr>
        <w:spacing w:after="0" w:line="127"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 xml:space="preserve">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million/£17 million or 4% of global turnover. As we expand into other foreign countries and jurisdictions, we may be subject to additional laws and regulations that may affect how we conduct business.</w:t>
      </w:r>
    </w:p>
    <w:p>
      <w:pPr>
        <w:spacing w:after="0" w:line="13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w:t>
      </w:r>
    </w:p>
    <w:p>
      <w:pPr>
        <w:spacing w:after="0" w:line="290" w:lineRule="exact"/>
        <w:rPr>
          <w:sz w:val="20"/>
          <w:szCs w:val="20"/>
          <w:color w:val="auto"/>
        </w:rPr>
      </w:pPr>
    </w:p>
    <w:p>
      <w:pPr>
        <w:ind w:left="120" w:right="100"/>
        <w:spacing w:after="0" w:line="249" w:lineRule="auto"/>
        <w:rPr>
          <w:sz w:val="20"/>
          <w:szCs w:val="20"/>
          <w:color w:val="auto"/>
        </w:rPr>
      </w:pPr>
      <w:r>
        <w:rPr>
          <w:rFonts w:ascii="Arial" w:cs="Arial" w:eastAsia="Arial" w:hAnsi="Arial"/>
          <w:sz w:val="18"/>
          <w:szCs w:val="18"/>
          <w:b w:val="1"/>
          <w:bCs w:val="1"/>
          <w:i w:val="1"/>
          <w:iCs w:val="1"/>
          <w:color w:val="auto"/>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5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49"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If any such event, whether actual or perceived, were to occur, it could impact our reputation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our ecDTx,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we could incur liability, the further development and commercialization of our ecDTx could be delayed, and we could be subject to significant fines, penalties or liabilities for any noncompliance to certain privacy and security laws.</w:t>
      </w:r>
    </w:p>
    <w:p>
      <w:pPr>
        <w:spacing w:after="0" w:line="15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risks arising from pandemics and epidemic diseases.</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our ecDTx for use in our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102"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58"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spacing w:after="0" w:line="289"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31" w:lineRule="exact"/>
        <w:rPr>
          <w:sz w:val="20"/>
          <w:szCs w:val="20"/>
          <w:color w:val="auto"/>
        </w:rPr>
      </w:pPr>
    </w:p>
    <w:p>
      <w:pPr>
        <w:ind w:left="120" w:right="120" w:firstLine="551"/>
        <w:spacing w:after="0" w:line="254"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w:t>
      </w:r>
    </w:p>
    <w:p>
      <w:pPr>
        <w:ind w:left="120" w:hanging="4"/>
        <w:spacing w:after="0" w:line="236"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800"/>
        <w:spacing w:after="0" w:line="278"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 -term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99"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this offering or other ownership changes.</w:t>
      </w:r>
    </w:p>
    <w:p>
      <w:pPr>
        <w:spacing w:after="0" w:line="3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As of December 31, 2022, we had net operating loss (NOL) carryforwards of approximately $51.0 million for federal income tax purposes and $81.5 million for state income tax purposes, which may be available to offset our future taxable income, if any. Our federal NOL carryforwards will not expire but may generally be used to offset only 80% of taxable income, which may require us to pay federal income taxes in future years despite having additional federal NOL carryforwards to utilize. Our state NOL carryforwards begin to expire in various amounts in 2040. Our NOL carryforwards and other tax attributes are subject to review and possible adjustment by the Internal Revenue Service (IRS) and state tax authorities.</w:t>
      </w:r>
    </w:p>
    <w:p>
      <w:pPr>
        <w:spacing w:after="0" w:line="15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i w:val="1"/>
          <w:iCs w:val="1"/>
          <w:color w:val="auto"/>
        </w:rPr>
        <w:t>If we are unable to obtain, maintain, defend, and enforce patent or other intellectual property protection for our ecDTx, ecDNA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138"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rely upon a combination of patent, trade secret, and trademark protection for our ecDTx, our ecDNA diagnostic,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of our intellectual property protection in the United States and other countries with respect to our ecDTx, our ecDNA diagnostic, and other proprietary technologies we may develop. We generally seek to protect our proprietary position, in part, by filing patent applications in the United States and abroad relating to our ecDTx and diagnostics, manufacturing processes, and methods of use. We may also seek to protect our proprietary position by acquiring or in-licensing relevant issued patents or pending patent applications from third parties. If we are unable to obtain, maintain, expand, enforce, and defend the scope of our intellectual property protection, our business, financial condition, results of operations, and prospects could be materially harmed.</w:t>
      </w:r>
    </w:p>
    <w:p>
      <w:pPr>
        <w:spacing w:after="0" w:line="139"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w:t>
      </w:r>
    </w:p>
    <w:p>
      <w:pPr>
        <w:spacing w:after="0" w:line="13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our ecDTx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w:t>
      </w:r>
    </w:p>
    <w:p>
      <w:pPr>
        <w:spacing w:after="0" w:line="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18 months after filing, or in some cases not at all. Therefore, we cannot be certain that we were the first to invent the inventions claimed in any of our owned patents or pending patent applications, or that we or any future licensors were the first to file for patent protection of such inventions. If a third party can establish that we were not the first to make or the first to file for patent protection of such inventions, our patents and patent applications may not issue as patents and even if issued, may be challenged and invalidated or rendered unenforceable.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14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Any issued patents may not afford sufficient protection of our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our ecDTx could be narrowed or found invalid or unenforceable if challenged in court or before administrative bodies in the United States or other countries, including the U.S. Patent and Trademark Office (USPTO). Also, patent terms, including any extensions or adjustments that may or may not be available to us, may be inadequate to protect our competitive position on our ecDTx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ecDTx. Further, if we encounter delays in our development and testing of our ecDTx, clinical trials, or regulatory review and approval of our ecDTx, the period of time during which we could market our ecDTx under patent protection may be reduced (i.e., patents protecting the ecDTx might expire before or shortly after such ecDTx are commercialized). Thus, our patents may not provide us with sufficient rights to exclude others from commercializing products similar or identical to ours or afford us any meaningful competitive advantage.</w:t>
      </w:r>
    </w:p>
    <w:p>
      <w:pPr>
        <w:spacing w:after="0" w:line="143"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our ecDTx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(Hatch-Waxman Amendments) to conduct research and clinical trials.</w:t>
      </w:r>
    </w:p>
    <w:p>
      <w:pPr>
        <w:spacing w:after="0" w:line="13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proceedings, inter partes review, interference proceedings, or other similar proceedings in the United States and/or foreign jurisdictions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challenging our patent rights. An adverse determination in any such submission, proceeding, or litigation could reduce the scope of, or invalidate or render unenforceable, our patent rights, and may allow third parties, including generic drug companies, to commercialize our ecDTx and other proprietary technologies we may develop and compete directly with us.</w:t>
      </w:r>
    </w:p>
    <w:p>
      <w:pPr>
        <w:spacing w:after="0" w:line="14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Filing, prosecuting, maintaining, enforcing, and defending patents on our ecDTx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5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commercially meaningful. Accordingly, our efforts to enforce our intellectual property and proprietary rights around the world may be inadequate to obtain a significant commercial advantage from the intellectual property that we develop.</w:t>
      </w:r>
    </w:p>
    <w:p>
      <w:pPr>
        <w:spacing w:after="0" w:line="12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290" w:lineRule="exact"/>
        <w:rPr>
          <w:sz w:val="20"/>
          <w:szCs w:val="20"/>
          <w:color w:val="auto"/>
        </w:rPr>
      </w:pPr>
    </w:p>
    <w:p>
      <w:pPr>
        <w:ind w:left="120" w:right="30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4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ecDTx.</w:t>
      </w:r>
    </w:p>
    <w:p>
      <w:pPr>
        <w:spacing w:after="0" w:line="284"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Changes in patent laws or their interpretations could diminish the value of patents in general, thereby impairing our ability to protect our products.</w:t>
      </w:r>
    </w:p>
    <w:p>
      <w:pPr>
        <w:spacing w:after="0" w:line="31"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ecDTx and other proprietary technologies we may develop or (ii) invent any of the inventions claimed in our patents or patent applications.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America Invents Act also included a number of significant changes that affect the way patent applications are prosecuted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also affect patent litigation. These include allowing third party protests and submission of prior art to the USPTO during patent prosecution</w:t>
      </w:r>
    </w:p>
    <w:p>
      <w:pPr>
        <w:ind w:left="120"/>
        <w:spacing w:after="0" w:line="234" w:lineRule="auto"/>
        <w:rPr>
          <w:sz w:val="20"/>
          <w:szCs w:val="20"/>
          <w:color w:val="auto"/>
        </w:rPr>
      </w:pPr>
      <w:r>
        <w:rPr>
          <w:rFonts w:ascii="Arial" w:cs="Arial" w:eastAsia="Arial" w:hAnsi="Arial"/>
          <w:sz w:val="18"/>
          <w:szCs w:val="18"/>
          <w:color w:val="auto"/>
        </w:rPr>
        <w:t>and additional procedures to attack the validity of a patent by USPTO-administered post-grant proceedings, including post-grant</w:t>
      </w:r>
    </w:p>
    <w:p>
      <w:pPr>
        <w:ind w:left="120"/>
        <w:spacing w:after="0" w:line="235" w:lineRule="auto"/>
        <w:rPr>
          <w:sz w:val="20"/>
          <w:szCs w:val="20"/>
          <w:color w:val="auto"/>
        </w:rPr>
      </w:pPr>
      <w:r>
        <w:rPr>
          <w:rFonts w:ascii="Arial" w:cs="Arial" w:eastAsia="Arial" w:hAnsi="Arial"/>
          <w:sz w:val="18"/>
          <w:szCs w:val="18"/>
          <w:color w:val="auto"/>
        </w:rPr>
        <w:t>review, inter partes review, and derivation proceedings. Because of a lower evidentiary standard in USPTO proceedings compared to the</w:t>
      </w:r>
    </w:p>
    <w:p>
      <w:pPr>
        <w:ind w:left="120"/>
        <w:spacing w:after="0" w:line="235" w:lineRule="auto"/>
        <w:rPr>
          <w:sz w:val="20"/>
          <w:szCs w:val="20"/>
          <w:color w:val="auto"/>
        </w:rPr>
      </w:pPr>
      <w:r>
        <w:rPr>
          <w:rFonts w:ascii="Arial" w:cs="Arial" w:eastAsia="Arial" w:hAnsi="Arial"/>
          <w:sz w:val="18"/>
          <w:szCs w:val="18"/>
          <w:color w:val="auto"/>
        </w:rPr>
        <w:t>evidentiary standard in United States federal courts necessary to invalidate a patent claim, a third party could potentially provide evidence</w:t>
      </w:r>
    </w:p>
    <w:p>
      <w:pPr>
        <w:ind w:left="120"/>
        <w:spacing w:after="0" w:line="235" w:lineRule="auto"/>
        <w:rPr>
          <w:sz w:val="20"/>
          <w:szCs w:val="20"/>
          <w:color w:val="auto"/>
        </w:rPr>
      </w:pPr>
      <w:r>
        <w:rPr>
          <w:rFonts w:ascii="Arial" w:cs="Arial" w:eastAsia="Arial" w:hAnsi="Arial"/>
          <w:sz w:val="18"/>
          <w:szCs w:val="18"/>
          <w:color w:val="auto"/>
        </w:rPr>
        <w:t>in a USPTO proceeding sufficient for the USPTO to hold a claim invalid even though the same evidence would be insufficient to invalidate</w:t>
      </w:r>
    </w:p>
    <w:p>
      <w:pPr>
        <w:ind w:left="120"/>
        <w:spacing w:after="0" w:line="235" w:lineRule="auto"/>
        <w:rPr>
          <w:sz w:val="20"/>
          <w:szCs w:val="20"/>
          <w:color w:val="auto"/>
        </w:rPr>
      </w:pPr>
      <w:r>
        <w:rPr>
          <w:rFonts w:ascii="Arial" w:cs="Arial" w:eastAsia="Arial" w:hAnsi="Arial"/>
          <w:sz w:val="18"/>
          <w:szCs w:val="18"/>
          <w:color w:val="auto"/>
        </w:rPr>
        <w:t>the claim if first presented in a district court action. Accordingly, a third party may attempt to use the USPTO procedures to invalidate our</w:t>
      </w:r>
    </w:p>
    <w:p>
      <w:pPr>
        <w:ind w:left="120"/>
        <w:spacing w:after="0"/>
        <w:rPr>
          <w:sz w:val="20"/>
          <w:szCs w:val="20"/>
          <w:color w:val="auto"/>
        </w:rPr>
      </w:pPr>
      <w:r>
        <w:rPr>
          <w:rFonts w:ascii="Arial" w:cs="Arial" w:eastAsia="Arial" w:hAnsi="Arial"/>
          <w:sz w:val="17"/>
          <w:szCs w:val="17"/>
          <w:color w:val="auto"/>
        </w:rPr>
        <w:t>patent claims or any patent claims we may license in the future that would not have been invalidated if first challenged by the third party as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defendant in a district court action.</w:t>
      </w:r>
    </w:p>
    <w:p>
      <w:pPr>
        <w:spacing w:after="0" w:line="15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Arial" w:cs="Arial" w:eastAsia="Arial" w:hAnsi="Arial"/>
          <w:sz w:val="18"/>
          <w:szCs w:val="18"/>
          <w:i w:val="1"/>
          <w:iCs w:val="1"/>
          <w:color w:val="auto"/>
        </w:rPr>
        <w:t>Amgen v. Sanofi (2023)</w:t>
      </w:r>
      <w:r>
        <w:rPr>
          <w:rFonts w:ascii="Arial" w:cs="Arial" w:eastAsia="Arial" w:hAnsi="Arial"/>
          <w:sz w:val="18"/>
          <w:szCs w:val="18"/>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4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 and allow for the possibility of a competitor to obtain pan-European injunction. Such a loss of patent protection could have a material adverse impact on our business and our ability to commercialize our technology and ecDTx dues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299" w:lineRule="exact"/>
        <w:rPr>
          <w:sz w:val="20"/>
          <w:szCs w:val="20"/>
          <w:color w:val="auto"/>
        </w:rPr>
      </w:pPr>
    </w:p>
    <w:p>
      <w:pPr>
        <w:ind w:left="120" w:right="580"/>
        <w:spacing w:after="0" w:line="278" w:lineRule="auto"/>
        <w:rPr>
          <w:sz w:val="20"/>
          <w:szCs w:val="20"/>
          <w:color w:val="auto"/>
        </w:rPr>
      </w:pPr>
      <w:r>
        <w:rPr>
          <w:rFonts w:ascii="Arial" w:cs="Arial" w:eastAsia="Arial" w:hAnsi="Arial"/>
          <w:sz w:val="18"/>
          <w:szCs w:val="18"/>
          <w:b w:val="1"/>
          <w:bCs w:val="1"/>
          <w:i w:val="1"/>
          <w:iCs w:val="1"/>
          <w:color w:val="auto"/>
        </w:rPr>
        <w:t>Issued patents covering our ecDTx could be found invalid or unenforceable if challenged in court or before administrative bodies in the United States or abroad.</w:t>
      </w:r>
    </w:p>
    <w:p>
      <w:pPr>
        <w:spacing w:after="0" w:line="3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13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If we initiate legal proceedings against a third party to enforce a patent covering our ecDTx,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or any patent rights we may obtain or license in the future in such a way that they no longer cover our ecDTx or prevent third parties from competing with our ecDTx. The outcome following legal assertions of invalidity and unenforceability is unpredictable. With respect to</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our ecDTx. Such a loss of patent protection would have a material adverse impact on our business, financial condition, results of operations, and prospects.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the competitive position of our ecDTx for an adequate amount of time.</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ecDTx are obtained, once the patent has expired, we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90"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and equivalent extensions outside of the United States for our ecDTx, our business may be materially harmed.</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specifics of any FDA regulatory approval of any of our ecDTx,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2"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We may be subject to claims that former employees, consultants, collaborators, or other third parties have an interest in our patent rights, trade secrets, or other intellectual property as an inventor, co-inventor, or owner of trade secrets. For example, we may have inventorship disputes arise from conflicting obligations of consultants or others who are involved in developing our ecDTx and other proprietary technologies we may develop. Litigation may be necessary to defend against these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other claims challenging inventorship or our patent rights, trade secrets, or other intellectual property. If we fail in defending any such claims, in addition to paying monetary damages, we may lose valuable intellectual property rights, such as exclusive ownership of, or the right to use intellectual property that is important to our ecDTx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seeking patent protection for our ecDTx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5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ecDTx.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ecDTx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5"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220"/>
        <w:spacing w:after="0" w:line="309"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8"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5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5"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 and ecDTx.</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our current and future ecDTx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ecDTx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ecDTx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ecDTx.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ecDTx that are held to be infringing. We might, if possible, also be forced to redesign ecDTx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0" w:lineRule="exact"/>
        <w:rPr>
          <w:sz w:val="20"/>
          <w:szCs w:val="20"/>
          <w:color w:val="auto"/>
        </w:rPr>
      </w:pPr>
    </w:p>
    <w:p>
      <w:pPr>
        <w:ind w:left="120" w:right="380"/>
        <w:spacing w:after="0" w:line="309" w:lineRule="auto"/>
        <w:rPr>
          <w:sz w:val="20"/>
          <w:szCs w:val="20"/>
          <w:color w:val="auto"/>
        </w:rPr>
      </w:pPr>
      <w:r>
        <w:rPr>
          <w:rFonts w:ascii="Arial" w:cs="Arial" w:eastAsia="Arial" w:hAnsi="Arial"/>
          <w:sz w:val="17"/>
          <w:szCs w:val="17"/>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ecDTx.</w:t>
      </w:r>
    </w:p>
    <w:p>
      <w:pPr>
        <w:spacing w:after="0" w:line="8"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14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Numerous U.S. and foreign-issued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increases that our ecDTx and diagnostic programs and commercializing activities may give rise to claims of infringement of the patent rights of others. We cannot assure that our ecDTx and diagnostic programs and other proprietary technologies we develop will not infringe existing or future patents owned by third parties. We may not be aware of patents that have already been issued for which a third party, such as a competitor in the fields in which we are developing our ecDTx and diagnostic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ecDTx. As such, we monitor third-party patents in the relevant pharmaceutical markets.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ecDTx or the use of our ecDTx. We are aware of certain patent applications in the United States and elsewhere that contain claims that, if issued in their present form, may cover one of our ecDTx. While we believe we would have valid defenses to claims of patent infringement, we cannot be certain that we would prevail in any dispute, and we cannot be certain how an adverse determination would affect our business.</w:t>
      </w:r>
    </w:p>
    <w:p>
      <w:pPr>
        <w:spacing w:after="0" w:line="141" w:lineRule="exact"/>
        <w:rPr>
          <w:sz w:val="20"/>
          <w:szCs w:val="20"/>
          <w:color w:val="auto"/>
        </w:rPr>
      </w:pPr>
    </w:p>
    <w:p>
      <w:pPr>
        <w:ind w:left="120" w:right="20" w:firstLine="551"/>
        <w:spacing w:after="0" w:line="275"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56"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39"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ecDTx.</w:t>
      </w:r>
    </w:p>
    <w:p>
      <w:pPr>
        <w:spacing w:after="0" w:line="282" w:lineRule="exact"/>
        <w:rPr>
          <w:sz w:val="20"/>
          <w:szCs w:val="20"/>
          <w:color w:val="auto"/>
        </w:rPr>
      </w:pPr>
    </w:p>
    <w:p>
      <w:pPr>
        <w:ind w:left="120" w:right="42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31"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44" w:lineRule="auto"/>
        <w:rPr>
          <w:sz w:val="20"/>
          <w:szCs w:val="20"/>
          <w:color w:val="auto"/>
        </w:rPr>
      </w:pPr>
      <w:r>
        <w:rPr>
          <w:rFonts w:ascii="Arial" w:cs="Arial" w:eastAsia="Arial" w:hAnsi="Arial"/>
          <w:sz w:val="18"/>
          <w:szCs w:val="18"/>
          <w:color w:val="auto"/>
        </w:rPr>
        <w:t>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4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93" w:lineRule="exact"/>
        <w:rPr>
          <w:sz w:val="20"/>
          <w:szCs w:val="20"/>
          <w:color w:val="auto"/>
        </w:rPr>
      </w:pPr>
    </w:p>
    <w:p>
      <w:pPr>
        <w:ind w:left="120" w:right="56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ecDTx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43"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2"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9" w:lineRule="exact"/>
        <w:rPr>
          <w:sz w:val="20"/>
          <w:szCs w:val="20"/>
          <w:color w:val="auto"/>
        </w:rPr>
      </w:pPr>
    </w:p>
    <w:p>
      <w:pPr>
        <w:ind w:left="1420" w:hanging="427"/>
        <w:spacing w:after="0" w:line="271"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ecDTx or utilize similar technology but that are not covered by the claims of the patents that we own or may license in the future;</w:t>
      </w:r>
    </w:p>
    <w:p>
      <w:pPr>
        <w:spacing w:after="0" w:line="59" w:lineRule="exact"/>
        <w:rPr>
          <w:rFonts w:ascii="Arial" w:cs="Arial" w:eastAsia="Arial" w:hAnsi="Arial"/>
          <w:sz w:val="18"/>
          <w:szCs w:val="18"/>
          <w:color w:val="auto"/>
        </w:rPr>
      </w:pPr>
    </w:p>
    <w:p>
      <w:pPr>
        <w:ind w:left="1420" w:right="140" w:hanging="427"/>
        <w:spacing w:after="0" w:line="271"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our current or future patent applications;</w:t>
      </w:r>
    </w:p>
    <w:p>
      <w:pPr>
        <w:spacing w:after="0" w:line="59" w:lineRule="exact"/>
        <w:rPr>
          <w:rFonts w:ascii="Arial" w:cs="Arial" w:eastAsia="Arial" w:hAnsi="Arial"/>
          <w:sz w:val="18"/>
          <w:szCs w:val="18"/>
          <w:color w:val="auto"/>
        </w:rPr>
      </w:pPr>
    </w:p>
    <w:p>
      <w:pPr>
        <w:ind w:left="1420" w:right="880" w:hanging="427"/>
        <w:spacing w:after="0" w:line="271"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our or their inventions;</w:t>
      </w:r>
    </w:p>
    <w:p>
      <w:pPr>
        <w:spacing w:after="0" w:line="59" w:lineRule="exact"/>
        <w:rPr>
          <w:rFonts w:ascii="Arial" w:cs="Arial" w:eastAsia="Arial" w:hAnsi="Arial"/>
          <w:sz w:val="18"/>
          <w:szCs w:val="18"/>
          <w:color w:val="auto"/>
        </w:rPr>
      </w:pPr>
    </w:p>
    <w:p>
      <w:pPr>
        <w:ind w:left="1420" w:right="700" w:hanging="427"/>
        <w:spacing w:after="0" w:line="271"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and future patent applications that we own or may license will not lead to issued patents;</w:t>
      </w:r>
    </w:p>
    <w:p>
      <w:pPr>
        <w:spacing w:after="0" w:line="117" w:lineRule="exact"/>
        <w:rPr>
          <w:rFonts w:ascii="Arial" w:cs="Arial" w:eastAsia="Arial" w:hAnsi="Arial"/>
          <w:sz w:val="18"/>
          <w:szCs w:val="18"/>
          <w:color w:val="auto"/>
        </w:rPr>
      </w:pPr>
    </w:p>
    <w:p>
      <w:pPr>
        <w:ind w:left="1420" w:right="120" w:hanging="427"/>
        <w:spacing w:after="0" w:line="271"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issued patent that we own or license in the future may be held invalid or unenforceable, including as a result of legal challenges by our competitors or other third parties;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 in the future on a non-exclusive basis;</w:t>
      </w:r>
    </w:p>
    <w:p>
      <w:pPr>
        <w:spacing w:after="0" w:line="117" w:lineRule="exact"/>
        <w:rPr>
          <w:rFonts w:ascii="Arial" w:cs="Arial" w:eastAsia="Arial" w:hAnsi="Arial"/>
          <w:sz w:val="18"/>
          <w:szCs w:val="18"/>
          <w:color w:val="auto"/>
        </w:rPr>
      </w:pPr>
    </w:p>
    <w:p>
      <w:pPr>
        <w:ind w:left="1420" w:right="380" w:hanging="427"/>
        <w:spacing w:after="0" w:line="25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74" w:lineRule="exact"/>
        <w:rPr>
          <w:rFonts w:ascii="Arial" w:cs="Arial" w:eastAsia="Arial" w:hAnsi="Arial"/>
          <w:sz w:val="18"/>
          <w:szCs w:val="18"/>
          <w:color w:val="auto"/>
        </w:rPr>
      </w:pPr>
    </w:p>
    <w:p>
      <w:pPr>
        <w:ind w:left="1420" w:hanging="427"/>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fail to identify potential patentable subject matter and/or may fail to file on it;</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harm our business; and</w:t>
      </w:r>
    </w:p>
    <w:p>
      <w:pPr>
        <w:spacing w:after="0" w:line="117" w:lineRule="exact"/>
        <w:rPr>
          <w:rFonts w:ascii="Arial" w:cs="Arial" w:eastAsia="Arial" w:hAnsi="Arial"/>
          <w:sz w:val="18"/>
          <w:szCs w:val="18"/>
          <w:color w:val="auto"/>
        </w:rPr>
      </w:pPr>
    </w:p>
    <w:p>
      <w:pPr>
        <w:ind w:left="1420" w:right="80" w:hanging="427"/>
        <w:spacing w:after="0" w:line="25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w:t>
      </w:r>
    </w:p>
    <w:p>
      <w:pPr>
        <w:spacing w:after="0" w:line="142" w:lineRule="exact"/>
        <w:rPr>
          <w:sz w:val="20"/>
          <w:szCs w:val="20"/>
          <w:color w:val="auto"/>
        </w:rPr>
      </w:pPr>
    </w:p>
    <w:p>
      <w:pPr>
        <w:jc w:val="center"/>
        <w:ind w:left="800" w:right="180"/>
        <w:spacing w:after="0" w:line="443" w:lineRule="auto"/>
        <w:rPr>
          <w:sz w:val="20"/>
          <w:szCs w:val="20"/>
          <w:color w:val="auto"/>
        </w:rPr>
      </w:pPr>
      <w:r>
        <w:rPr>
          <w:rFonts w:ascii="Arial" w:cs="Arial" w:eastAsia="Arial" w:hAnsi="Arial"/>
          <w:sz w:val="18"/>
          <w:szCs w:val="18"/>
          <w:color w:val="auto"/>
        </w:rPr>
        <w:t>Should any of the foregoing occur, it could adversely affect our business, financial condition, results of operations, and prospects. 64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88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3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intellectual property and proprietary rights. For example, our ecDTx may require specific formulations to work effectively and efficiently, we may develop ecDTx containing our compounds and pre-existing pharmaceutical compounds, or we may be required by the FDA or comparable foreign regulatory authorities to provide a companion diagnostic test or tests with our ecDTx,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6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138"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ecDTx.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ecDTx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06"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w:t>
      </w:r>
    </w:p>
    <w:p>
      <w:pPr>
        <w:spacing w:after="0" w:line="51"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Prior to this offering, there has been no public market for our common stock. Although we have applied to list our common stock on the Nasdaq Global Market (Nasdaq), an active trading market for</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5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5"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31"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9" w:lineRule="exact"/>
        <w:rPr>
          <w:sz w:val="20"/>
          <w:szCs w:val="20"/>
          <w:color w:val="auto"/>
        </w:rPr>
      </w:pPr>
    </w:p>
    <w:p>
      <w:pPr>
        <w:ind w:left="1420" w:right="100" w:hanging="427"/>
        <w:spacing w:after="0" w:line="271"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and the results of trials of our competitors or those of other companies in our market sector;</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enroll patients in our future clinical trials;</w:t>
      </w:r>
    </w:p>
    <w:p>
      <w:pPr>
        <w:spacing w:after="0" w:line="117" w:lineRule="exact"/>
        <w:rPr>
          <w:rFonts w:ascii="Arial" w:cs="Arial" w:eastAsia="Arial" w:hAnsi="Arial"/>
          <w:sz w:val="18"/>
          <w:szCs w:val="18"/>
          <w:color w:val="auto"/>
        </w:rPr>
      </w:pPr>
    </w:p>
    <w:p>
      <w:pPr>
        <w:ind w:left="1420" w:right="540" w:hanging="427"/>
        <w:spacing w:after="0" w:line="271"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ecDTx or additional indications thereof, or limitations to specific label indications or patient populations for its use, or changes or delays in the regulatory review process;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foreign countries;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ecDTx;</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117" w:lineRule="exact"/>
        <w:rPr>
          <w:rFonts w:ascii="Arial" w:cs="Arial" w:eastAsia="Arial" w:hAnsi="Arial"/>
          <w:sz w:val="18"/>
          <w:szCs w:val="18"/>
          <w:color w:val="auto"/>
        </w:rPr>
      </w:pPr>
    </w:p>
    <w:p>
      <w:pPr>
        <w:ind w:left="1420" w:right="540" w:hanging="427"/>
        <w:spacing w:after="0" w:line="271"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260" w:hanging="427"/>
        <w:spacing w:after="0" w:line="271"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1420" w:right="200" w:hanging="427"/>
        <w:spacing w:after="0" w:line="271"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stock by us, our insiders, or our stockholders, as well as the anticipation of lock-up releases or expiration of market stand-off or lock-up agreements;</w:t>
      </w:r>
    </w:p>
    <w:p>
      <w:pPr>
        <w:spacing w:after="0" w:line="59" w:lineRule="exact"/>
        <w:rPr>
          <w:rFonts w:ascii="Arial" w:cs="Arial" w:eastAsia="Arial" w:hAnsi="Arial"/>
          <w:sz w:val="18"/>
          <w:szCs w:val="18"/>
          <w:color w:val="auto"/>
        </w:rPr>
      </w:pPr>
    </w:p>
    <w:p>
      <w:pPr>
        <w:ind w:left="1420" w:right="420" w:hanging="427"/>
        <w:spacing w:after="0" w:line="271"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senior management, directors, or key personnel;</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 or our inability to enforce our intellectual property;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85"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and results of operations and prospects.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02"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78"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the common stock you purchase in this offering.</w:t>
      </w:r>
    </w:p>
    <w:p>
      <w:pPr>
        <w:spacing w:after="0" w:line="3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7"/>
          <w:szCs w:val="17"/>
          <w:color w:val="auto"/>
        </w:rPr>
        <w:t>The initial public offering price of our common stock is substantially higher than the pro forma as adjusted net tangible book value per share of our outstanding common stock immediately after the closing of this offering. Purchasers of common stock in this offering will</w:t>
      </w:r>
    </w:p>
    <w:p>
      <w:pPr>
        <w:spacing w:after="0" w:line="1"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experience immediate dilution of approximately $ per share, assuming an initial public offering price of $ per share, which is the midpoint of the price range set forth on the cover page of this prospectus. In the past, we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w:t>
      </w:r>
    </w:p>
    <w:p>
      <w:pPr>
        <w:spacing w:after="0" w:line="279"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significantly influence all matters submitted to stockholders for approval.</w:t>
      </w:r>
    </w:p>
    <w:p>
      <w:pPr>
        <w:spacing w:after="0" w:line="31"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9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so any returns on your investment will be limited to the value of our common stock.</w:t>
      </w:r>
    </w:p>
    <w:p>
      <w:pPr>
        <w:spacing w:after="0" w:line="31"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6"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31"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42" w:lineRule="exact"/>
        <w:rPr>
          <w:sz w:val="20"/>
          <w:szCs w:val="20"/>
          <w:color w:val="auto"/>
        </w:rPr>
      </w:pPr>
    </w:p>
    <w:p>
      <w:pPr>
        <w:jc w:val="right"/>
        <w:ind w:left="660" w:right="240"/>
        <w:spacing w:after="0" w:line="245" w:lineRule="auto"/>
        <w:rPr>
          <w:sz w:val="20"/>
          <w:szCs w:val="20"/>
          <w:color w:val="auto"/>
        </w:rPr>
      </w:pPr>
      <w:r>
        <w:rPr>
          <w:rFonts w:ascii="Arial" w:cs="Arial" w:eastAsia="Arial" w:hAnsi="Arial"/>
          <w:sz w:val="18"/>
          <w:szCs w:val="18"/>
          <w:color w:val="auto"/>
        </w:rPr>
        <w:t>Based on shares of common stock outstanding as of December 31, 2023, upon the closing of this offering, we will have a total of shares of common stock outstanding, assuming no exercise of the underwriters’ option to purchase additional shares and no</w:t>
      </w:r>
    </w:p>
    <w:p>
      <w:pPr>
        <w:ind w:left="120" w:right="40"/>
        <w:spacing w:after="0" w:line="242" w:lineRule="auto"/>
        <w:rPr>
          <w:sz w:val="20"/>
          <w:szCs w:val="20"/>
          <w:color w:val="auto"/>
        </w:rPr>
      </w:pPr>
      <w:r>
        <w:rPr>
          <w:rFonts w:ascii="Arial" w:cs="Arial" w:eastAsia="Arial" w:hAnsi="Arial"/>
          <w:sz w:val="18"/>
          <w:szCs w:val="18"/>
          <w:color w:val="auto"/>
        </w:rPr>
        <w:t>exercise of outstanding options. Of these shares, only the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39"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Our directors and executive officers and substantially all of our securityholders have entered into lock-up agreements with the representatives pursuant to which they may not, with limited exceptions and among other things, for a period of 180 days from the date of this prospectus, offer, sell or otherwise transfer or dispose of any of our securities, without the prior written consent of Goldman Sachs &amp; Co. LLC, Leerink Partners LLC, Piper Sandler &amp; Co., and Guggenheim Securities, LLC.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may permit our officers, directors, and other securityholders who are subject to the lock-up agreements to sell shares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expiration of the lock-up agreements at any time in their sole discretion. See the section titled “Underwriting.” Sales of these</w:t>
      </w:r>
    </w:p>
    <w:p>
      <w:pPr>
        <w:ind w:left="120"/>
        <w:spacing w:after="0" w:line="234" w:lineRule="auto"/>
        <w:rPr>
          <w:sz w:val="20"/>
          <w:szCs w:val="20"/>
          <w:color w:val="auto"/>
        </w:rPr>
      </w:pPr>
      <w:r>
        <w:rPr>
          <w:rFonts w:ascii="Arial" w:cs="Arial" w:eastAsia="Arial" w:hAnsi="Arial"/>
          <w:sz w:val="18"/>
          <w:szCs w:val="18"/>
          <w:color w:val="auto"/>
        </w:rPr>
        <w:t>shares, or perceptions that they will be sold, could cause the trading price of our common stock to decline. After the lock-up agreements</w:t>
      </w:r>
    </w:p>
    <w:p>
      <w:pPr>
        <w:spacing w:after="0" w:line="1"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expire, up to an additional shares of common stock will be eligible for sale in the public market, of which shares will be held by directors, executive officers and other affiliates and will be subject to volume limitations under Rule 144 under the Securities Act, in each without giving effect to any potential purchases by such persons in this offering.</w:t>
      </w:r>
    </w:p>
    <w:p>
      <w:pPr>
        <w:spacing w:after="0" w:line="152"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In addition, as of December 31, 2023, 54,873,734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3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this offering, the holders of 287,446,844 shares of our outstanding common stock, or approximately % of our total outstanding common stock based on shares outstanding as of December 31,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95"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0" w:lineRule="exact"/>
        <w:rPr>
          <w:sz w:val="20"/>
          <w:szCs w:val="20"/>
          <w:color w:val="auto"/>
        </w:rPr>
      </w:pPr>
    </w:p>
    <w:p>
      <w:pPr>
        <w:ind w:left="1420" w:right="300" w:hanging="427"/>
        <w:spacing w:after="0" w:line="253"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Arial" w:cs="Arial" w:eastAsia="Arial" w:hAnsi="Arial"/>
          <w:sz w:val="18"/>
          <w:szCs w:val="18"/>
          <w:color w:val="auto"/>
        </w:rPr>
      </w:pPr>
    </w:p>
    <w:p>
      <w:pPr>
        <w:ind w:left="1420" w:right="500" w:hanging="427"/>
        <w:spacing w:after="0" w:line="271"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59" w:lineRule="exact"/>
        <w:rPr>
          <w:rFonts w:ascii="Arial" w:cs="Arial" w:eastAsia="Arial" w:hAnsi="Arial"/>
          <w:sz w:val="18"/>
          <w:szCs w:val="18"/>
          <w:color w:val="auto"/>
        </w:rPr>
      </w:pPr>
    </w:p>
    <w:p>
      <w:pPr>
        <w:ind w:left="1420" w:hanging="427"/>
        <w:spacing w:after="0" w:line="24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w:t>
      </w:r>
    </w:p>
    <w:p>
      <w:pPr>
        <w:spacing w:after="0" w:line="79" w:lineRule="exact"/>
        <w:rPr>
          <w:rFonts w:ascii="Arial" w:cs="Arial" w:eastAsia="Arial" w:hAnsi="Arial"/>
          <w:sz w:val="18"/>
          <w:szCs w:val="18"/>
          <w:color w:val="auto"/>
        </w:rPr>
      </w:pPr>
    </w:p>
    <w:p>
      <w:pPr>
        <w:ind w:left="1420" w:hanging="427"/>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360" w:hanging="427"/>
        <w:spacing w:after="0" w:line="271"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2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45" w:lineRule="exact"/>
        <w:rPr>
          <w:sz w:val="20"/>
          <w:szCs w:val="20"/>
          <w:color w:val="auto"/>
        </w:rPr>
      </w:pPr>
    </w:p>
    <w:p>
      <w:pPr>
        <w:ind w:left="120" w:right="260" w:firstLine="551"/>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9"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31"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79" w:lineRule="exact"/>
        <w:rPr>
          <w:sz w:val="20"/>
          <w:szCs w:val="20"/>
          <w:color w:val="auto"/>
        </w:rPr>
      </w:pPr>
    </w:p>
    <w:p>
      <w:pPr>
        <w:ind w:left="1420" w:right="120" w:hanging="427"/>
        <w:spacing w:after="0" w:line="271"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59" w:lineRule="exact"/>
        <w:rPr>
          <w:rFonts w:ascii="Arial" w:cs="Arial" w:eastAsia="Arial" w:hAnsi="Arial"/>
          <w:sz w:val="18"/>
          <w:szCs w:val="18"/>
          <w:color w:val="auto"/>
        </w:rPr>
      </w:pPr>
    </w:p>
    <w:p>
      <w:pPr>
        <w:ind w:left="1420" w:right="900" w:hanging="427"/>
        <w:spacing w:after="0" w:line="271"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59" w:lineRule="exact"/>
        <w:rPr>
          <w:rFonts w:ascii="Arial" w:cs="Arial" w:eastAsia="Arial" w:hAnsi="Arial"/>
          <w:sz w:val="18"/>
          <w:szCs w:val="18"/>
          <w:color w:val="auto"/>
        </w:rPr>
      </w:pPr>
    </w:p>
    <w:p>
      <w:pPr>
        <w:ind w:left="1420" w:right="160" w:hanging="427"/>
        <w:spacing w:after="0" w:line="25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4" w:lineRule="exact"/>
        <w:rPr>
          <w:rFonts w:ascii="Arial" w:cs="Arial" w:eastAsia="Arial" w:hAnsi="Arial"/>
          <w:sz w:val="18"/>
          <w:szCs w:val="18"/>
          <w:color w:val="auto"/>
        </w:rPr>
      </w:pPr>
    </w:p>
    <w:p>
      <w:pPr>
        <w:ind w:left="1420" w:right="120" w:hanging="427"/>
        <w:spacing w:after="0" w:line="271"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59" w:lineRule="exact"/>
        <w:rPr>
          <w:rFonts w:ascii="Arial" w:cs="Arial" w:eastAsia="Arial" w:hAnsi="Arial"/>
          <w:sz w:val="18"/>
          <w:szCs w:val="18"/>
          <w:color w:val="auto"/>
        </w:rPr>
      </w:pPr>
    </w:p>
    <w:p>
      <w:pPr>
        <w:ind w:left="1420" w:right="20" w:hanging="427"/>
        <w:spacing w:after="0" w:line="253"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420" w:right="280" w:hanging="427"/>
        <w:spacing w:after="0" w:line="253"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74"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59" w:lineRule="exact"/>
        <w:rPr>
          <w:rFonts w:ascii="Arial" w:cs="Arial" w:eastAsia="Arial" w:hAnsi="Arial"/>
          <w:sz w:val="18"/>
          <w:szCs w:val="18"/>
          <w:color w:val="auto"/>
        </w:rPr>
      </w:pPr>
    </w:p>
    <w:p>
      <w:pPr>
        <w:ind w:left="1420" w:right="100" w:hanging="427"/>
        <w:spacing w:after="0" w:line="271"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59" w:lineRule="exact"/>
        <w:rPr>
          <w:rFonts w:ascii="Arial" w:cs="Arial" w:eastAsia="Arial" w:hAnsi="Arial"/>
          <w:sz w:val="18"/>
          <w:szCs w:val="18"/>
          <w:color w:val="auto"/>
        </w:rPr>
      </w:pPr>
    </w:p>
    <w:p>
      <w:pPr>
        <w:ind w:left="1420" w:right="120" w:hanging="427"/>
        <w:spacing w:after="0" w:line="301"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36" w:lineRule="exact"/>
        <w:rPr>
          <w:rFonts w:ascii="Arial" w:cs="Arial" w:eastAsia="Arial" w:hAnsi="Arial"/>
          <w:sz w:val="17"/>
          <w:szCs w:val="17"/>
          <w:color w:val="auto"/>
        </w:rPr>
      </w:pPr>
    </w:p>
    <w:p>
      <w:pPr>
        <w:ind w:left="1420" w:right="160" w:hanging="427"/>
        <w:spacing w:after="0" w:line="24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7" w:lineRule="exact"/>
        <w:rPr>
          <w:sz w:val="20"/>
          <w:szCs w:val="20"/>
          <w:color w:val="auto"/>
        </w:rPr>
      </w:pPr>
    </w:p>
    <w:p>
      <w:pPr>
        <w:jc w:val="both"/>
        <w:ind w:left="120" w:right="460" w:firstLine="551"/>
        <w:spacing w:after="0" w:line="275"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62"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b w:val="1"/>
          <w:bCs w:val="1"/>
          <w:i w:val="1"/>
          <w:iCs w:val="1"/>
          <w:color w:val="auto"/>
        </w:rPr>
        <w:t>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6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current amended and restated certificate of incorporation provides, and our amended and restated certificate of incorporation that will be in effect immediately prior to the consummation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5" w:lineRule="auto"/>
        <w:rPr>
          <w:sz w:val="20"/>
          <w:szCs w:val="20"/>
          <w:color w:val="auto"/>
        </w:rPr>
      </w:pPr>
      <w:r>
        <w:rPr>
          <w:rFonts w:ascii="Arial" w:cs="Arial" w:eastAsia="Arial" w:hAnsi="Arial"/>
          <w:sz w:val="17"/>
          <w:szCs w:val="17"/>
          <w:color w:val="auto"/>
        </w:rPr>
        <w:t>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62" w:lineRule="exact"/>
        <w:rPr>
          <w:sz w:val="20"/>
          <w:szCs w:val="20"/>
          <w:color w:val="auto"/>
        </w:rPr>
      </w:pPr>
    </w:p>
    <w:p>
      <w:pPr>
        <w:ind w:left="120" w:right="620"/>
        <w:spacing w:after="0" w:line="278"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31"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3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3"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and results of operations.</w:t>
      </w:r>
    </w:p>
    <w:p>
      <w:pPr>
        <w:spacing w:after="0" w:line="293" w:lineRule="exact"/>
        <w:rPr>
          <w:sz w:val="20"/>
          <w:szCs w:val="20"/>
          <w:color w:val="auto"/>
        </w:rPr>
      </w:pPr>
    </w:p>
    <w:p>
      <w:pPr>
        <w:ind w:left="120" w:right="280"/>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1"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56"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8"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286"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and any of our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or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551"/>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our ecDTx and its components and on CROs and clinical sites to conduct our clinical trials, and do not have a redundant source of supply for all components of our ecDTx. Our ability to obtain clinical or, if approved, commercial, supplies of our ecDTx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293" w:lineRule="exact"/>
        <w:rPr>
          <w:sz w:val="20"/>
          <w:szCs w:val="20"/>
          <w:color w:val="auto"/>
        </w:rPr>
      </w:pPr>
    </w:p>
    <w:p>
      <w:pPr>
        <w:ind w:left="120" w:right="560"/>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 between Russia and Ukraine and Israel and Hamas,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84"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31" w:lineRule="exact"/>
        <w:rPr>
          <w:sz w:val="20"/>
          <w:szCs w:val="20"/>
          <w:color w:val="auto"/>
        </w:rPr>
      </w:pPr>
    </w:p>
    <w:p>
      <w:pPr>
        <w:ind w:left="120" w:right="200" w:firstLine="551"/>
        <w:spacing w:after="0" w:line="30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or interpreted, changed, modified, or applied adversely to us, any of which could adversely affect our business operations and financial performance.</w:t>
      </w:r>
    </w:p>
    <w:p>
      <w:pPr>
        <w:spacing w:after="0" w:line="241"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3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295" w:lineRule="exact"/>
        <w:rPr>
          <w:sz w:val="20"/>
          <w:szCs w:val="20"/>
          <w:color w:val="auto"/>
        </w:rPr>
      </w:pPr>
    </w:p>
    <w:p>
      <w:pPr>
        <w:jc w:val="both"/>
        <w:ind w:left="120" w:right="340"/>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second annual report following our IPO.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our ecDTx, ecDNA diagnostic candidate, and other development programs, the timing and likelihood of regulatory filings and approvals for our ecDTx, our ability to commercialize our ecDTx, if approved, the pricing and reimbursement of our ecDTx, if approved, the potential to develop future ecDTx, the potential benefits of strategic collaborations and our intent to enter into any strategic arrangements, the timing and likelihood of success, plans, and objectives of management for future operations, and future results of anticipated ecDTx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9"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in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w:t>
      </w:r>
    </w:p>
    <w:p>
      <w:pPr>
        <w:spacing w:after="0" w:line="145"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3"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320" w:top="455" w:right="5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660"/>
        <w:spacing w:after="0"/>
        <w:tabs>
          <w:tab w:leader="none" w:pos="7980" w:val="left"/>
        </w:tabs>
        <w:rPr>
          <w:sz w:val="20"/>
          <w:szCs w:val="20"/>
          <w:color w:val="auto"/>
        </w:rPr>
      </w:pPr>
      <w:r>
        <w:rPr>
          <w:rFonts w:ascii="Arial" w:cs="Arial" w:eastAsia="Arial" w:hAnsi="Arial"/>
          <w:sz w:val="18"/>
          <w:szCs w:val="18"/>
          <w:color w:val="auto"/>
        </w:rPr>
        <w:t>We estimate that the net proceeds to us from this offering will be approximately $</w:t>
      </w:r>
      <w:r>
        <w:rPr>
          <w:sz w:val="20"/>
          <w:szCs w:val="20"/>
          <w:color w:val="auto"/>
        </w:rPr>
        <w:tab/>
      </w:r>
      <w:r>
        <w:rPr>
          <w:rFonts w:ascii="Arial" w:cs="Arial" w:eastAsia="Arial" w:hAnsi="Arial"/>
          <w:sz w:val="17"/>
          <w:szCs w:val="17"/>
          <w:color w:val="auto"/>
        </w:rPr>
        <w:t>million (or approximately</w:t>
      </w:r>
    </w:p>
    <w:p>
      <w:pPr>
        <w:spacing w:after="0" w:line="2" w:lineRule="exact"/>
        <w:rPr>
          <w:sz w:val="20"/>
          <w:szCs w:val="20"/>
          <w:color w:val="auto"/>
        </w:rPr>
      </w:pPr>
    </w:p>
    <w:p>
      <w:pPr>
        <w:ind w:left="820" w:hanging="704"/>
        <w:spacing w:after="0"/>
        <w:tabs>
          <w:tab w:leader="none" w:pos="820" w:val="left"/>
        </w:tabs>
        <w:numPr>
          <w:ilvl w:val="0"/>
          <w:numId w:val="43"/>
        </w:numPr>
        <w:rPr>
          <w:rFonts w:ascii="Arial" w:cs="Arial" w:eastAsia="Arial" w:hAnsi="Arial"/>
          <w:sz w:val="1"/>
          <w:szCs w:val="1"/>
          <w:color w:val="auto"/>
        </w:rPr>
      </w:pPr>
      <w:r>
        <w:rPr>
          <w:rFonts w:ascii="Arial" w:cs="Arial" w:eastAsia="Arial" w:hAnsi="Arial"/>
          <w:sz w:val="1"/>
          <w:szCs w:val="1"/>
          <w:color w:val="auto"/>
        </w:rPr>
        <w:t>million if the underwriters exercise their option to purchase additional shares in full), based on the assumed initial public offering</w:t>
      </w:r>
    </w:p>
    <w:p>
      <w:pPr>
        <w:spacing w:after="0" w:line="18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and after deducting the estimated underwriting discounts and commissions and estimated offering expenses payable by us.</w:t>
      </w:r>
    </w:p>
    <w:p>
      <w:pPr>
        <w:spacing w:after="0" w:line="127" w:lineRule="exact"/>
        <w:rPr>
          <w:sz w:val="20"/>
          <w:szCs w:val="20"/>
          <w:color w:val="auto"/>
        </w:rPr>
      </w:pPr>
    </w:p>
    <w:p>
      <w:pPr>
        <w:ind w:left="660"/>
        <w:spacing w:after="0"/>
        <w:tabs>
          <w:tab w:leader="none" w:pos="788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7"/>
          <w:szCs w:val="17"/>
          <w:color w:val="auto"/>
        </w:rPr>
        <w:t>per share, which is the midpoint of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price range set forth on the cover page of this prospectus, would increase or decrease, as applicable, the net proceeds to us</w:t>
      </w:r>
    </w:p>
    <w:p>
      <w:pPr>
        <w:ind w:left="120" w:right="220"/>
        <w:spacing w:after="0" w:line="248" w:lineRule="auto"/>
        <w:rPr>
          <w:sz w:val="20"/>
          <w:szCs w:val="20"/>
          <w:color w:val="auto"/>
        </w:rPr>
      </w:pPr>
      <w:r>
        <w:rPr>
          <w:rFonts w:ascii="Arial" w:cs="Arial" w:eastAsia="Arial" w:hAnsi="Arial"/>
          <w:sz w:val="17"/>
          <w:szCs w:val="17"/>
          <w:color w:val="auto"/>
        </w:rPr>
        <w:t>from this offering by approximately $ million, assuming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 common stock offered by us would increase or decrease, as applicable, the net proceeds to us from this offering, after deducting the estimated underwriting discounts and</w:t>
      </w:r>
    </w:p>
    <w:p>
      <w:pPr>
        <w:spacing w:after="0" w:line="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commissions and estimated offering expenses payable by us, by approximately $ million, assuming the assumed initial public offering price stays the same. The information discussed above is illustrative only and will adjust based on the actual initial public offering price and other terms of this offering determined at pricing.</w:t>
      </w:r>
    </w:p>
    <w:p>
      <w:pPr>
        <w:spacing w:after="0" w:line="13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short-term investments, as follows:</w:t>
      </w:r>
    </w:p>
    <w:p>
      <w:pPr>
        <w:sectPr>
          <w:pgSz w:w="11900" w:h="16838" w:orient="portrait"/>
          <w:cols w:equalWidth="0" w:num="1">
            <w:col w:w="11120"/>
          </w:cols>
          <w:pgMar w:left="320" w:top="455" w:right="459" w:bottom="1440" w:gutter="0" w:footer="0" w:header="0"/>
        </w:sectPr>
      </w:pP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million to fund the development of BBI-355, including through</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57" w:lineRule="exact"/>
        <w:rPr>
          <w:sz w:val="20"/>
          <w:szCs w:val="20"/>
          <w:color w:val="auto"/>
        </w:rPr>
      </w:pPr>
    </w:p>
    <w:p>
      <w:pPr>
        <w:sectPr>
          <w:pgSz w:w="11900" w:h="16838" w:orient="portrait"/>
          <w:cols w:equalWidth="0" w:num="4">
            <w:col w:w="1060" w:space="360"/>
            <w:col w:w="1280" w:space="640"/>
            <w:col w:w="5000" w:space="720"/>
            <w:col w:w="2060"/>
          </w:cols>
          <w:pgMar w:left="320" w:top="455" w:right="459" w:bottom="1440" w:gutter="0" w:footer="0" w:header="0"/>
          <w:type w:val="continuous"/>
        </w:sectPr>
      </w:pPr>
    </w:p>
    <w:p>
      <w:pPr>
        <w:spacing w:after="0" w:line="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to fund the development of BBI-825, including through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57" w:lineRule="exact"/>
        <w:rPr>
          <w:sz w:val="20"/>
          <w:szCs w:val="20"/>
          <w:color w:val="auto"/>
        </w:rPr>
      </w:pPr>
    </w:p>
    <w:p>
      <w:pPr>
        <w:sectPr>
          <w:pgSz w:w="11900" w:h="16838" w:orient="portrait"/>
          <w:cols w:equalWidth="0" w:num="4">
            <w:col w:w="1060" w:space="360"/>
            <w:col w:w="1280" w:space="640"/>
            <w:col w:w="5000" w:space="720"/>
            <w:col w:w="2060"/>
          </w:cols>
          <w:pgMar w:left="320" w:top="455" w:right="459" w:bottom="1440" w:gutter="0" w:footer="0" w:header="0"/>
          <w:type w:val="continuous"/>
        </w:sectPr>
      </w:pPr>
    </w:p>
    <w:p>
      <w:pPr>
        <w:spacing w:after="0" w:line="12" w:lineRule="exact"/>
        <w:rPr>
          <w:sz w:val="20"/>
          <w:szCs w:val="20"/>
          <w:color w:val="auto"/>
        </w:rPr>
      </w:pPr>
    </w:p>
    <w:p>
      <w:pPr>
        <w:ind w:left="1420" w:right="40" w:hanging="427"/>
        <w:spacing w:after="0" w:line="271"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of our other development programs, ecDNA diagnostic, and Spylass platform; and</w:t>
      </w:r>
    </w:p>
    <w:p>
      <w:pPr>
        <w:spacing w:after="0" w:line="153" w:lineRule="exact"/>
        <w:rPr>
          <w:rFonts w:ascii="Arial" w:cs="Arial" w:eastAsia="Arial" w:hAnsi="Arial"/>
          <w:sz w:val="18"/>
          <w:szCs w:val="18"/>
          <w:color w:val="auto"/>
        </w:rPr>
      </w:pPr>
    </w:p>
    <w:p>
      <w:pPr>
        <w:ind w:left="1420" w:hanging="427"/>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remainder, if any, for working capital and other general corporate purposes.</w:t>
      </w:r>
    </w:p>
    <w:p>
      <w:pPr>
        <w:spacing w:after="0" w:line="171"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We may also use a portion of the remaining net proceeds and our existing cash, cash equivalents, and short-term investments to in-license, acquire, or invest in complementary businesses, technologies, products, or assets. However, we have no current commitments or obligations to do so.</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our current operating plans, we believe that the estimated net proceeds from this offering, together with our existing cash,</w:t>
      </w:r>
    </w:p>
    <w:p>
      <w:pPr>
        <w:spacing w:after="0" w:line="14"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cash equivalents, and short-term investments, will be sufficient to fund our operations through at least . We have based these estimates on assumptions that may prove to be wrong, and we could use our capital resources sooner than we currently expect. Additionally, our expected use of existing cash, cash equivalents, and short-term investments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and preclinical studies, as well as any collaborations that we may enter into with third parties for our ecDTx, and the amount of cash used in our operations and any unforeseen cash needs as well as other factors described in the sections titled “Risk Factors,” “Management’s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Discussion and Analysis of Financial Condition and Results of Operations” and “Special Note Regarding Forward-Looking Statements.” The net proceeds from this offering, together with our existing cash, cash equivalents, and short-term investments, will not be sufficient to complete development of our ecDTx or ecDNA diagnostic test, and after this offering, we will require substantial capital in order to advance our current and any future ecDTx and ecDNA diagnostic tests through clinical trials, regulatory approval, and commercialization. Until such time, if ever, as we can generate substantial ecDTx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w:t>
      </w:r>
    </w:p>
    <w:p>
      <w:pPr>
        <w:spacing w:after="0" w:line="158"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w:t>
      </w:r>
    </w:p>
    <w:p>
      <w:pPr>
        <w:spacing w:after="0" w:line="128"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Pending the uses described above, we plan to invest the net proceeds in a variety of capital preservation instruments, including short-term, interest-bearing obligations, investment-grade instruments, certificates of deposit, and direct or guaranteed obligations of the United States.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320" w:top="455" w:right="5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September 30, 2023:</w:t>
      </w:r>
    </w:p>
    <w:p>
      <w:pPr>
        <w:spacing w:after="0" w:line="212" w:lineRule="exact"/>
        <w:rPr>
          <w:sz w:val="20"/>
          <w:szCs w:val="20"/>
          <w:color w:val="auto"/>
        </w:rPr>
      </w:pPr>
    </w:p>
    <w:p>
      <w:pPr>
        <w:ind w:left="1420" w:hanging="427"/>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11" w:lineRule="exact"/>
        <w:rPr>
          <w:rFonts w:ascii="Arial" w:cs="Arial" w:eastAsia="Arial" w:hAnsi="Arial"/>
          <w:sz w:val="18"/>
          <w:szCs w:val="18"/>
          <w:color w:val="auto"/>
        </w:rPr>
      </w:pPr>
    </w:p>
    <w:p>
      <w:pPr>
        <w:ind w:left="1420" w:right="60" w:hanging="427"/>
        <w:spacing w:after="0" w:line="24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reflect (i) the automatic conversion of all outstanding shares of our convertible preferred stock into 287,446,844 shares of our common stock and the related reclassification of the carrying value of the convertible preferred stock to permanent equity immediately prior to the closing of this offering, and (ii) the filing and effectiveness of our amended and restated certificate of incorporation immediately prior to the closing of this offering; and</w:t>
      </w:r>
    </w:p>
    <w:p>
      <w:pPr>
        <w:sectPr>
          <w:pgSz w:w="11900" w:h="16838" w:orient="portrait"/>
          <w:cols w:equalWidth="0" w:num="1">
            <w:col w:w="11140"/>
          </w:cols>
          <w:pgMar w:left="320" w:top="455" w:right="439" w:bottom="1440" w:gutter="0" w:footer="0" w:header="0"/>
        </w:sectPr>
      </w:pP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 pro forma as adjusted basis to give further effect to our issuance and sale of shares of our common stock in this offering at an assumed initial public offering price of $ per share, which is the midpoint of the price range</w:t>
      </w:r>
    </w:p>
    <w:p>
      <w:pPr>
        <w:spacing w:after="0" w:line="2" w:lineRule="exact"/>
        <w:rPr>
          <w:sz w:val="20"/>
          <w:szCs w:val="20"/>
          <w:color w:val="auto"/>
        </w:rPr>
      </w:pPr>
    </w:p>
    <w:p>
      <w:pPr>
        <w:sectPr>
          <w:pgSz w:w="11900" w:h="16838" w:orient="portrait"/>
          <w:cols w:equalWidth="0" w:num="2">
            <w:col w:w="1060" w:space="360"/>
            <w:col w:w="9720"/>
          </w:cols>
          <w:pgMar w:left="320" w:top="455" w:right="439" w:bottom="1440" w:gutter="0" w:footer="0" w:header="0"/>
          <w:type w:val="continuous"/>
        </w:sectPr>
      </w:pPr>
    </w:p>
    <w:p>
      <w:pPr>
        <w:ind w:left="1420" w:right="60"/>
        <w:spacing w:after="0" w:line="234" w:lineRule="auto"/>
        <w:rPr>
          <w:sz w:val="20"/>
          <w:szCs w:val="20"/>
          <w:color w:val="auto"/>
        </w:rPr>
      </w:pPr>
      <w:r>
        <w:rPr>
          <w:rFonts w:ascii="Arial" w:cs="Arial" w:eastAsia="Arial" w:hAnsi="Arial"/>
          <w:sz w:val="18"/>
          <w:szCs w:val="18"/>
          <w:color w:val="auto"/>
        </w:rPr>
        <w:t>set forth on the cover page of this prospectus, after deducting the estimated underwriting discounts and commissions and estimated offering expenses payable by us.</w:t>
      </w:r>
    </w:p>
    <w:p>
      <w:pPr>
        <w:spacing w:after="0" w:line="181"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pro forma and pro forma as adjusted information below is illustrative only, and our cash, cash equivalents, and short-term investments and capitalization following the closing of this offering will be adjusted based on the actual initial public offering price and other terms of this offering determined at pricing. 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 2023</w:t>
            </w: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right"/>
              <w:ind w:right="19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 and share data)</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5"/>
                <w:szCs w:val="15"/>
                <w:color w:val="auto"/>
              </w:rPr>
            </w:pPr>
          </w:p>
        </w:tc>
        <w:tc>
          <w:tcPr>
            <w:tcW w:w="1300" w:type="dxa"/>
            <w:vAlign w:val="bottom"/>
            <w:gridSpan w:val="2"/>
          </w:tcPr>
          <w:p>
            <w:pPr>
              <w:ind w:left="140"/>
              <w:spacing w:after="0" w:line="175"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5"/>
        </w:trPr>
        <w:tc>
          <w:tcPr>
            <w:tcW w:w="3900" w:type="dxa"/>
            <w:vAlign w:val="bottom"/>
            <w:gridSpan w:val="3"/>
            <w:vMerge w:val="continue"/>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(unaudited)</w:t>
            </w:r>
          </w:p>
        </w:tc>
        <w:tc>
          <w:tcPr>
            <w:tcW w:w="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 cash equivalents, and short-term investments</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132,727</w:t>
            </w: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132,727</w:t>
            </w:r>
          </w:p>
        </w:tc>
        <w:tc>
          <w:tcPr>
            <w:tcW w:w="1280" w:type="dxa"/>
            <w:vAlign w:val="bottom"/>
            <w:gridSpan w:val="2"/>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40" w:type="dxa"/>
            <w:vAlign w:val="bottom"/>
            <w:gridSpan w:val="8"/>
          </w:tcPr>
          <w:p>
            <w:pPr>
              <w:spacing w:after="0" w:line="147" w:lineRule="exact"/>
              <w:rPr>
                <w:sz w:val="20"/>
                <w:szCs w:val="20"/>
                <w:color w:val="auto"/>
              </w:rPr>
            </w:pPr>
            <w:r>
              <w:rPr>
                <w:rFonts w:ascii="Arial" w:cs="Arial" w:eastAsia="Arial" w:hAnsi="Arial"/>
                <w:sz w:val="14"/>
                <w:szCs w:val="14"/>
                <w:color w:val="auto"/>
              </w:rPr>
              <w:t>Convertible preferred stock, $0.0001 par value; 287,446,844 shares authorized, issued, and outstanding,</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gridSpan w:val="5"/>
          </w:tcPr>
          <w:p>
            <w:pPr>
              <w:ind w:left="140"/>
              <w:spacing w:after="0"/>
              <w:rPr>
                <w:sz w:val="20"/>
                <w:szCs w:val="20"/>
                <w:color w:val="auto"/>
              </w:rPr>
            </w:pPr>
            <w:r>
              <w:rPr>
                <w:rFonts w:ascii="Arial" w:cs="Arial" w:eastAsia="Arial" w:hAnsi="Arial"/>
                <w:sz w:val="14"/>
                <w:szCs w:val="14"/>
                <w:color w:val="auto"/>
              </w:rPr>
              <w:t>actual; no shares authorized, 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247,617</w:t>
            </w:r>
          </w:p>
        </w:tc>
        <w:tc>
          <w:tcPr>
            <w:tcW w:w="12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9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Stockholders’ (deficit) equity:</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5880" w:type="dxa"/>
            <w:vAlign w:val="bottom"/>
            <w:gridSpan w:val="4"/>
          </w:tcPr>
          <w:p>
            <w:pPr>
              <w:ind w:left="60"/>
              <w:spacing w:after="0" w:line="153" w:lineRule="exact"/>
              <w:rPr>
                <w:sz w:val="20"/>
                <w:szCs w:val="20"/>
                <w:color w:val="auto"/>
              </w:rPr>
            </w:pPr>
            <w:r>
              <w:rPr>
                <w:rFonts w:ascii="Arial" w:cs="Arial" w:eastAsia="Arial" w:hAnsi="Arial"/>
                <w:sz w:val="14"/>
                <w:szCs w:val="14"/>
                <w:color w:val="auto"/>
              </w:rPr>
              <w:t>Preferred stock, $0.0001 par value; no shares authorized, issued, and outstanding, actual;</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6920" w:type="dxa"/>
            <w:vAlign w:val="bottom"/>
            <w:gridSpan w:val="7"/>
          </w:tcPr>
          <w:p>
            <w:pPr>
              <w:jc w:val="right"/>
              <w:ind w:right="800"/>
              <w:spacing w:after="0"/>
              <w:rPr>
                <w:sz w:val="20"/>
                <w:szCs w:val="20"/>
                <w:color w:val="auto"/>
              </w:rPr>
            </w:pPr>
            <w:r>
              <w:rPr>
                <w:rFonts w:ascii="Arial" w:cs="Arial" w:eastAsia="Arial" w:hAnsi="Arial"/>
                <w:sz w:val="14"/>
                <w:szCs w:val="14"/>
                <w:color w:val="auto"/>
              </w:rPr>
              <w:t>shares authorized and no shares issued and outstanding, pro forma and pro forma as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3680" w:type="dxa"/>
            <w:vAlign w:val="bottom"/>
            <w:gridSpan w:val="2"/>
          </w:tcPr>
          <w:p>
            <w:pPr>
              <w:ind w:left="200"/>
              <w:spacing w:after="0"/>
              <w:rPr>
                <w:sz w:val="20"/>
                <w:szCs w:val="20"/>
                <w:color w:val="auto"/>
              </w:rPr>
            </w:pPr>
            <w:r>
              <w:rPr>
                <w:rFonts w:ascii="Arial" w:cs="Arial" w:eastAsia="Arial" w:hAnsi="Arial"/>
                <w:sz w:val="14"/>
                <w:szCs w:val="14"/>
                <w:color w:val="auto"/>
              </w:rPr>
              <w:t>adjusted</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shd w:val="clear" w:color="auto" w:fill="CCEEFF"/>
          </w:tcPr>
          <w:p>
            <w:pPr>
              <w:spacing w:after="0"/>
              <w:rPr>
                <w:sz w:val="13"/>
                <w:szCs w:val="13"/>
                <w:color w:val="auto"/>
              </w:rPr>
            </w:pPr>
          </w:p>
        </w:tc>
        <w:tc>
          <w:tcPr>
            <w:tcW w:w="6920" w:type="dxa"/>
            <w:vAlign w:val="bottom"/>
            <w:gridSpan w:val="7"/>
            <w:shd w:val="clear" w:color="auto" w:fill="CCEEFF"/>
          </w:tcPr>
          <w:p>
            <w:pPr>
              <w:ind w:left="60"/>
              <w:spacing w:after="0" w:line="153" w:lineRule="exact"/>
              <w:rPr>
                <w:sz w:val="20"/>
                <w:szCs w:val="20"/>
                <w:color w:val="auto"/>
              </w:rPr>
            </w:pPr>
            <w:r>
              <w:rPr>
                <w:rFonts w:ascii="Arial" w:cs="Arial" w:eastAsia="Arial" w:hAnsi="Arial"/>
                <w:sz w:val="14"/>
                <w:szCs w:val="14"/>
                <w:color w:val="auto"/>
              </w:rPr>
              <w:t>Common stock, $0.0001 par value; 402,600,000 shares authorized, 24,118,722 shares issued and</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58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24,079,624 outstanding, excluding 39,098 shares subject to a right of repurchase, actual;</w:t>
            </w: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6920" w:type="dxa"/>
            <w:vAlign w:val="bottom"/>
            <w:gridSpan w:val="7"/>
            <w:shd w:val="clear" w:color="auto" w:fill="CCEEFF"/>
          </w:tcPr>
          <w:p>
            <w:pPr>
              <w:ind w:left="720"/>
              <w:spacing w:after="0"/>
              <w:rPr>
                <w:sz w:val="20"/>
                <w:szCs w:val="20"/>
                <w:color w:val="auto"/>
              </w:rPr>
            </w:pPr>
            <w:r>
              <w:rPr>
                <w:rFonts w:ascii="Arial" w:cs="Arial" w:eastAsia="Arial" w:hAnsi="Arial"/>
                <w:sz w:val="14"/>
                <w:szCs w:val="14"/>
                <w:color w:val="auto"/>
              </w:rPr>
              <w:t>shares authorized, 311,565,566 shares issued, and 39,098 outstanding, excluding</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 subject to a right of repurchase, pro forma;</w:t>
            </w:r>
          </w:p>
        </w:tc>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authorized,</w:t>
            </w:r>
          </w:p>
        </w:tc>
        <w:tc>
          <w:tcPr>
            <w:tcW w:w="1280" w:type="dxa"/>
            <w:vAlign w:val="bottom"/>
            <w:gridSpan w:val="4"/>
            <w:shd w:val="clear" w:color="auto" w:fill="CCEEFF"/>
          </w:tcPr>
          <w:p>
            <w:pPr>
              <w:jc w:val="right"/>
              <w:ind w:right="80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6920" w:type="dxa"/>
            <w:vAlign w:val="bottom"/>
            <w:gridSpan w:val="7"/>
            <w:shd w:val="clear" w:color="auto" w:fill="CCEEFF"/>
          </w:tcPr>
          <w:p>
            <w:pPr>
              <w:ind w:left="200"/>
              <w:spacing w:after="0"/>
              <w:rPr>
                <w:sz w:val="20"/>
                <w:szCs w:val="20"/>
                <w:color w:val="auto"/>
              </w:rPr>
            </w:pPr>
            <w:r>
              <w:rPr>
                <w:rFonts w:ascii="Arial" w:cs="Arial" w:eastAsia="Arial" w:hAnsi="Arial"/>
                <w:sz w:val="14"/>
                <w:szCs w:val="14"/>
                <w:color w:val="auto"/>
              </w:rPr>
              <w:t>issued, and shares outstanding, excluding 39,098 shares subject to a right of repurchase, pro</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forma as adjusted</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Additional paid-in capital</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8,034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255,622</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Accumulated other comprehensive loss</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w:t>
            </w: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Accumulated deficit</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(123,965)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(123,965)</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stockholders’ (deficit) equity</w:t>
            </w:r>
          </w:p>
        </w:tc>
        <w:tc>
          <w:tcPr>
            <w:tcW w:w="1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(116,043)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131,574</w:t>
            </w: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Total capitalization</w:t>
            </w: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3"/>
            <w:vMerge w:val="continue"/>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131,574</w:t>
            </w:r>
          </w:p>
        </w:tc>
        <w:tc>
          <w:tcPr>
            <w:tcW w:w="12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131,574</w:t>
            </w:r>
          </w:p>
        </w:tc>
        <w:tc>
          <w:tcPr>
            <w:tcW w:w="1280" w:type="dxa"/>
            <w:vAlign w:val="bottom"/>
            <w:gridSpan w:val="2"/>
          </w:tcPr>
          <w:p>
            <w:pPr>
              <w:jc w:val="right"/>
              <w:ind w:right="109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6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92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5640" w:type="dxa"/>
            <w:vAlign w:val="bottom"/>
            <w:gridSpan w:val="3"/>
          </w:tcPr>
          <w:p>
            <w:pPr>
              <w:ind w:left="20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240" w:type="dxa"/>
            <w:vAlign w:val="bottom"/>
          </w:tcPr>
          <w:p>
            <w:pPr>
              <w:spacing w:after="0"/>
              <w:rPr>
                <w:sz w:val="16"/>
                <w:szCs w:val="16"/>
                <w:color w:val="auto"/>
              </w:rPr>
            </w:pPr>
          </w:p>
        </w:tc>
        <w:tc>
          <w:tcPr>
            <w:tcW w:w="4920" w:type="dxa"/>
            <w:vAlign w:val="bottom"/>
            <w:gridSpan w:val="13"/>
          </w:tcPr>
          <w:p>
            <w:pPr>
              <w:jc w:val="right"/>
              <w:ind w:right="320"/>
              <w:spacing w:after="0"/>
              <w:rPr>
                <w:sz w:val="20"/>
                <w:szCs w:val="20"/>
                <w:color w:val="auto"/>
              </w:rPr>
            </w:pPr>
            <w:r>
              <w:rPr>
                <w:rFonts w:ascii="Arial" w:cs="Arial" w:eastAsia="Arial" w:hAnsi="Arial"/>
                <w:sz w:val="14"/>
                <w:szCs w:val="14"/>
                <w:color w:val="auto"/>
              </w:rPr>
              <w:t>per share, which is the midpoint of the price range set forth on the cover</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5640" w:type="dxa"/>
            <w:vAlign w:val="bottom"/>
            <w:gridSpan w:val="3"/>
          </w:tcPr>
          <w:p>
            <w:pPr>
              <w:ind w:left="200"/>
              <w:spacing w:after="0"/>
              <w:rPr>
                <w:sz w:val="20"/>
                <w:szCs w:val="20"/>
                <w:color w:val="auto"/>
              </w:rPr>
            </w:pPr>
            <w:r>
              <w:rPr>
                <w:rFonts w:ascii="Arial" w:cs="Arial" w:eastAsia="Arial" w:hAnsi="Arial"/>
                <w:sz w:val="14"/>
                <w:szCs w:val="14"/>
                <w:color w:val="auto"/>
              </w:rPr>
              <w:t>page of this prospectus, would increase or decrease, as applicable, the pro forma as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adjusted amount of each of our cash, cash equivalents, and short-term investments, additional paid-in capital, total stockholders’ (deficit) equity, and total</w:t>
      </w:r>
    </w:p>
    <w:p>
      <w:pPr>
        <w:spacing w:after="0" w:line="15" w:lineRule="exact"/>
        <w:rPr>
          <w:sz w:val="20"/>
          <w:szCs w:val="20"/>
          <w:color w:val="auto"/>
        </w:rPr>
      </w:pPr>
    </w:p>
    <w:p>
      <w:pPr>
        <w:ind w:left="540" w:right="140"/>
        <w:spacing w:after="0" w:line="241" w:lineRule="auto"/>
        <w:rPr>
          <w:sz w:val="20"/>
          <w:szCs w:val="20"/>
          <w:color w:val="auto"/>
        </w:rPr>
      </w:pPr>
      <w:r>
        <w:rPr>
          <w:rFonts w:ascii="Arial" w:cs="Arial" w:eastAsia="Arial" w:hAnsi="Arial"/>
          <w:sz w:val="14"/>
          <w:szCs w:val="14"/>
          <w:color w:val="auto"/>
        </w:rPr>
        <w:t>capitalization by approximately $ , assuming that the number of shares offered by us, as set forth on the cover page of this prospectus, remains the same and after deducting the estimated underwriting discounts and commissions and estimated offering expenses payable by us. Each increase or decrease of 1.0 million</w:t>
      </w:r>
    </w:p>
    <w:p>
      <w:pPr>
        <w:spacing w:after="0" w:line="1" w:lineRule="exact"/>
        <w:rPr>
          <w:sz w:val="20"/>
          <w:szCs w:val="20"/>
          <w:color w:val="auto"/>
        </w:rPr>
      </w:pPr>
    </w:p>
    <w:p>
      <w:pPr>
        <w:ind w:left="540" w:right="260"/>
        <w:spacing w:after="0" w:line="241" w:lineRule="auto"/>
        <w:rPr>
          <w:sz w:val="20"/>
          <w:szCs w:val="20"/>
          <w:color w:val="auto"/>
        </w:rPr>
      </w:pPr>
      <w:r>
        <w:rPr>
          <w:rFonts w:ascii="Arial" w:cs="Arial" w:eastAsia="Arial" w:hAnsi="Arial"/>
          <w:sz w:val="14"/>
          <w:szCs w:val="14"/>
          <w:color w:val="auto"/>
        </w:rPr>
        <w:t>shares in the number of shares offered by us at the assumed initial public offering price of $ per share would increase or decrease, as applicable, the pro forma as adjusted amount of each of our cash, cash equivalents, and short-term investments, additional paid-in capital, total stockholders’ (deficit) equity, and total</w:t>
      </w:r>
    </w:p>
    <w:p>
      <w:pPr>
        <w:spacing w:after="0" w:line="1"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4"/>
          <w:szCs w:val="14"/>
          <w:color w:val="auto"/>
        </w:rPr>
        <w:t>capitalization by approximately $</w:t>
      </w:r>
      <w:r>
        <w:rPr>
          <w:sz w:val="20"/>
          <w:szCs w:val="20"/>
          <w:color w:val="auto"/>
        </w:rPr>
        <w:tab/>
      </w:r>
      <w:r>
        <w:rPr>
          <w:rFonts w:ascii="Arial" w:cs="Arial" w:eastAsia="Arial" w:hAnsi="Arial"/>
          <w:sz w:val="14"/>
          <w:szCs w:val="14"/>
          <w:color w:val="auto"/>
        </w:rPr>
        <w:t>, after deducting the estimated underwriting discounts and commissions and estimated offering expenses payable by us.</w:t>
      </w:r>
    </w:p>
    <w:p>
      <w:pPr>
        <w:spacing w:after="0" w:line="166"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7"/>
          <w:szCs w:val="17"/>
          <w:color w:val="auto"/>
        </w:rPr>
        <w:t>If the underwriters’ option to purchase additional shares is exercised in full, our pro forma as adjusted cash, cash equivalents, and short-term investments, additional paid-in capital, total stockholders’ (deficit) equity, and total capitalization as of September 30, 2023,</w:t>
      </w:r>
    </w:p>
    <w:p>
      <w:pPr>
        <w:spacing w:after="0" w:line="1" w:lineRule="exact"/>
        <w:rPr>
          <w:sz w:val="20"/>
          <w:szCs w:val="20"/>
          <w:color w:val="auto"/>
        </w:rPr>
      </w:pPr>
    </w:p>
    <w:p>
      <w:pPr>
        <w:ind w:left="120"/>
        <w:spacing w:after="0"/>
        <w:tabs>
          <w:tab w:leader="none" w:pos="1760" w:val="left"/>
          <w:tab w:leader="none" w:pos="3280" w:val="left"/>
          <w:tab w:leader="none" w:pos="4780" w:val="left"/>
          <w:tab w:leader="none" w:pos="664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7"/>
          <w:szCs w:val="17"/>
          <w:color w:val="auto"/>
        </w:rPr>
        <w:t>million, respectively.</w:t>
      </w:r>
    </w:p>
    <w:p>
      <w:pPr>
        <w:spacing w:after="0" w:line="153"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above is based on 311,565,566 shares of our common stock outstanding as of September 30, 2023, including 39,098 shares subject to our right of repurchase, after giving effect to the automatic conversion of all outstanding shares of our convertible preferred stock into 287,446,844 shares of our common stock immediately prior to the closing of this offering, and excludes:</w:t>
      </w:r>
    </w:p>
    <w:p>
      <w:pPr>
        <w:spacing w:after="0" w:line="174" w:lineRule="exact"/>
        <w:rPr>
          <w:sz w:val="20"/>
          <w:szCs w:val="20"/>
          <w:color w:val="auto"/>
        </w:rPr>
      </w:pPr>
    </w:p>
    <w:p>
      <w:pPr>
        <w:ind w:left="1420" w:right="160" w:hanging="427"/>
        <w:spacing w:after="0" w:line="271"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52,416,096 shares of common stock issuable upon the exercise of stock options outstanding as of September 30, 2023, with a weighted-average exercise price of $0.21 per share;</w:t>
      </w:r>
    </w:p>
    <w:p>
      <w:pPr>
        <w:spacing w:after="0" w:line="153" w:lineRule="exact"/>
        <w:rPr>
          <w:rFonts w:ascii="Arial" w:cs="Arial" w:eastAsia="Arial" w:hAnsi="Arial"/>
          <w:sz w:val="18"/>
          <w:szCs w:val="18"/>
          <w:color w:val="auto"/>
        </w:rPr>
      </w:pPr>
    </w:p>
    <w:p>
      <w:pPr>
        <w:ind w:left="1420" w:right="140" w:hanging="427"/>
        <w:spacing w:after="0" w:line="271"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2,835,000 shares of common stock issuable upon exercise of stock options granted subsequent to September 30, 2023, with a weighted-average exercise price of $0.23 per share;</w:t>
      </w:r>
    </w:p>
    <w:p>
      <w:pPr>
        <w:spacing w:after="0" w:line="153" w:lineRule="exact"/>
        <w:rPr>
          <w:rFonts w:ascii="Arial" w:cs="Arial" w:eastAsia="Arial" w:hAnsi="Arial"/>
          <w:sz w:val="18"/>
          <w:szCs w:val="18"/>
          <w:color w:val="auto"/>
        </w:rPr>
      </w:pPr>
    </w:p>
    <w:p>
      <w:pPr>
        <w:ind w:left="1420" w:hanging="427"/>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2024 Plan, which will become effective in</w:t>
      </w:r>
    </w:p>
    <w:p>
      <w:pPr>
        <w:spacing w:after="0" w:line="14" w:lineRule="exact"/>
        <w:rPr>
          <w:sz w:val="20"/>
          <w:szCs w:val="20"/>
          <w:color w:val="auto"/>
        </w:rPr>
      </w:pPr>
    </w:p>
    <w:p>
      <w:pPr>
        <w:ind w:left="1420" w:right="40"/>
        <w:spacing w:after="0"/>
        <w:rPr>
          <w:sz w:val="20"/>
          <w:szCs w:val="20"/>
          <w:color w:val="auto"/>
        </w:rPr>
      </w:pPr>
      <w:r>
        <w:rPr>
          <w:rFonts w:ascii="Arial" w:cs="Arial" w:eastAsia="Arial" w:hAnsi="Arial"/>
          <w:sz w:val="18"/>
          <w:szCs w:val="18"/>
          <w:color w:val="auto"/>
        </w:rPr>
        <w:t>connection with this offering, which will equal the sum of (1) shares, plus (2) shares of common stock remaining available for issuance under our 2018 Equity Incentive Plan (the 2018 Plan) as of the effective date of the 2024 Plan, which shares will be added to the 2024 Plan upon its effectiveness, plus (3) any potential evergreen increases pursuant to the terms of the 2024 Plan; and</w:t>
      </w:r>
    </w:p>
    <w:p>
      <w:pPr>
        <w:spacing w:after="0" w:line="180" w:lineRule="exact"/>
        <w:rPr>
          <w:sz w:val="20"/>
          <w:szCs w:val="20"/>
          <w:color w:val="auto"/>
        </w:rPr>
      </w:pPr>
    </w:p>
    <w:p>
      <w:pPr>
        <w:ind w:left="1420" w:hanging="427"/>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ESPP, which will become effective in</w:t>
      </w:r>
    </w:p>
    <w:p>
      <w:pPr>
        <w:sectPr>
          <w:pgSz w:w="11900" w:h="16838" w:orient="portrait"/>
          <w:cols w:equalWidth="0" w:num="1">
            <w:col w:w="11120"/>
          </w:cols>
          <w:pgMar w:left="320" w:top="455" w:right="459" w:bottom="1440" w:gutter="0" w:footer="0" w:header="0"/>
        </w:sectPr>
      </w:pPr>
    </w:p>
    <w:p>
      <w:pPr>
        <w:spacing w:after="0" w:line="32" w:lineRule="exact"/>
        <w:rPr>
          <w:sz w:val="20"/>
          <w:szCs w:val="20"/>
          <w:color w:val="auto"/>
        </w:rPr>
      </w:pPr>
    </w:p>
    <w:p>
      <w:pPr>
        <w:ind w:left="1420" w:right="280"/>
        <w:spacing w:after="0" w:line="234" w:lineRule="auto"/>
        <w:rPr>
          <w:sz w:val="20"/>
          <w:szCs w:val="20"/>
          <w:color w:val="auto"/>
        </w:rPr>
      </w:pPr>
      <w:r>
        <w:rPr>
          <w:rFonts w:ascii="Arial" w:cs="Arial" w:eastAsia="Arial" w:hAnsi="Arial"/>
          <w:sz w:val="18"/>
          <w:szCs w:val="18"/>
          <w:color w:val="auto"/>
        </w:rPr>
        <w:t>connection with this offering, which will equal the sum of (1) shares, plus (2) any potential evergreen increases pursuant to the terms of the ESPP.</w:t>
      </w:r>
    </w:p>
    <w:p>
      <w:pPr>
        <w:sectPr>
          <w:pgSz w:w="11900" w:h="16838" w:orient="portrait"/>
          <w:cols w:equalWidth="0" w:num="1">
            <w:col w:w="11120"/>
          </w:cols>
          <w:pgMar w:left="320" w:top="455" w:right="459" w:bottom="1440" w:gutter="0" w:footer="0" w:header="0"/>
          <w:type w:val="continuous"/>
        </w:sectPr>
      </w:pP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120"/>
          </w:cols>
          <w:pgMar w:left="320" w:top="455" w:right="4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185"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w:t>
      </w:r>
    </w:p>
    <w:p>
      <w:pPr>
        <w:spacing w:after="0" w:line="128"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As of September 30, 2023, our historical net tangible book value (deficit) was $(116.0) million, or $(4.81) per share of our common stock, based on 24,118,722 shares of common stock issued and outstanding as of such date, including 39,098 shares subject to our right of repurchase as of such date. Our historical net tangible book value (deficit) per share represents total tangible assets less total liabilities and convertible preferred stock, which is not included within permanent equity, divided by the number of shares of common stock outstanding at September 30, 2023.</w:t>
      </w:r>
    </w:p>
    <w:p>
      <w:pPr>
        <w:spacing w:after="0" w:line="136"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On a pro forma basis, after giving effect to the automatic conversion of all outstanding shares of our convertible preferred stock into 287,446,844 shares of our common stock and the related reclassification of the carrying value of the convertible preferred stock to permanent equity immediately prior to the closing of this offering, our pro forma net tangible book value (deficit) as of September 30, 2023 would have been approximately $131.6 million, or approximately $0.42 per share of our common stock.</w:t>
      </w:r>
    </w:p>
    <w:p>
      <w:pPr>
        <w:spacing w:after="0" w:line="147"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After giving further effect to the sale and issuance of shares of our common stock in this offering at an assumed initial public offering price of $ per share, which is the midpoint of the price range set forth on the cover page of this prospectus, and</w:t>
      </w:r>
    </w:p>
    <w:p>
      <w:pPr>
        <w:ind w:left="120"/>
        <w:spacing w:after="0" w:line="235" w:lineRule="auto"/>
        <w:rPr>
          <w:sz w:val="20"/>
          <w:szCs w:val="20"/>
          <w:color w:val="auto"/>
        </w:rPr>
      </w:pPr>
      <w:r>
        <w:rPr>
          <w:rFonts w:ascii="Arial" w:cs="Arial" w:eastAsia="Arial" w:hAnsi="Arial"/>
          <w:sz w:val="18"/>
          <w:szCs w:val="18"/>
          <w:color w:val="auto"/>
        </w:rPr>
        <w:t>after deducting the estimated underwriting discounts and commissions and estimated offering expenses payable by us, our pro forma as</w:t>
      </w:r>
    </w:p>
    <w:p>
      <w:pPr>
        <w:ind w:left="120"/>
        <w:spacing w:after="0"/>
        <w:tabs>
          <w:tab w:leader="none" w:pos="8380" w:val="left"/>
        </w:tabs>
        <w:rPr>
          <w:sz w:val="20"/>
          <w:szCs w:val="20"/>
          <w:color w:val="auto"/>
        </w:rPr>
      </w:pPr>
      <w:r>
        <w:rPr>
          <w:rFonts w:ascii="Arial" w:cs="Arial" w:eastAsia="Arial" w:hAnsi="Arial"/>
          <w:sz w:val="18"/>
          <w:szCs w:val="18"/>
          <w:color w:val="auto"/>
        </w:rPr>
        <w:t>adjusted net tangible book value as of September 30, 2023 would have been approximately $</w:t>
      </w:r>
      <w:r>
        <w:rPr>
          <w:sz w:val="20"/>
          <w:szCs w:val="20"/>
          <w:color w:val="auto"/>
        </w:rPr>
        <w:tab/>
      </w:r>
      <w:r>
        <w:rPr>
          <w:rFonts w:ascii="Arial" w:cs="Arial" w:eastAsia="Arial" w:hAnsi="Arial"/>
          <w:sz w:val="17"/>
          <w:szCs w:val="17"/>
          <w:color w:val="auto"/>
        </w:rPr>
        <w:t>million, or approximately</w:t>
      </w:r>
    </w:p>
    <w:p>
      <w:pPr>
        <w:ind w:left="120"/>
        <w:spacing w:after="0" w:line="234" w:lineRule="auto"/>
        <w:tabs>
          <w:tab w:leader="none" w:pos="1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This amount represents an immediate increase in pro forma net tangible book value of approximately $</w:t>
      </w:r>
    </w:p>
    <w:p>
      <w:pPr>
        <w:ind w:left="120"/>
        <w:spacing w:after="0"/>
        <w:tabs>
          <w:tab w:leader="none" w:pos="10460" w:val="left"/>
        </w:tabs>
        <w:rPr>
          <w:sz w:val="20"/>
          <w:szCs w:val="20"/>
          <w:color w:val="auto"/>
        </w:rPr>
      </w:pPr>
      <w:r>
        <w:rPr>
          <w:rFonts w:ascii="Arial" w:cs="Arial" w:eastAsia="Arial" w:hAnsi="Arial"/>
          <w:sz w:val="18"/>
          <w:szCs w:val="18"/>
          <w:color w:val="auto"/>
        </w:rPr>
        <w:t>per share to our existing stockholders and an immediate dilution in pro forma net tangible book value of approximately $</w:t>
      </w:r>
      <w:r>
        <w:rPr>
          <w:sz w:val="20"/>
          <w:szCs w:val="20"/>
          <w:color w:val="auto"/>
        </w:rPr>
        <w:tab/>
      </w:r>
      <w:r>
        <w:rPr>
          <w:rFonts w:ascii="Arial" w:cs="Arial" w:eastAsia="Arial" w:hAnsi="Arial"/>
          <w:sz w:val="17"/>
          <w:szCs w:val="17"/>
          <w:color w:val="auto"/>
        </w:rPr>
        <w:t>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to new investors purchasing shares of common stock in this offering.</w:t>
      </w:r>
    </w:p>
    <w:p>
      <w:pPr>
        <w:spacing w:after="0" w:line="15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3"/>
        </w:trPr>
        <w:tc>
          <w:tcPr>
            <w:tcW w:w="738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(deficit) per share as of September 30, 2023</w:t>
            </w:r>
          </w:p>
        </w:tc>
        <w:tc>
          <w:tcPr>
            <w:tcW w:w="9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(4.81)</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7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Pro forma increase in historical net tangible book value per share as of September 30,</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 attributable to the pro forma adjustments described above</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5.23</w:t>
            </w: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9"/>
        </w:trPr>
        <w:tc>
          <w:tcPr>
            <w:tcW w:w="738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September 30, 2023</w:t>
            </w:r>
          </w:p>
        </w:tc>
        <w:tc>
          <w:tcPr>
            <w:tcW w:w="48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7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participating in this offering</w:t>
            </w: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738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9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7380" w:type="dxa"/>
            <w:vAlign w:val="bottom"/>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640" w:type="dxa"/>
            <w:vAlign w:val="bottom"/>
            <w:gridSpan w:val="6"/>
          </w:tcPr>
          <w:p>
            <w:pPr>
              <w:ind w:left="340"/>
              <w:spacing w:after="0"/>
              <w:rPr>
                <w:sz w:val="20"/>
                <w:szCs w:val="20"/>
                <w:color w:val="auto"/>
              </w:rPr>
            </w:pPr>
            <w:r>
              <w:rPr>
                <w:rFonts w:ascii="Arial" w:cs="Arial" w:eastAsia="Arial" w:hAnsi="Arial"/>
                <w:sz w:val="18"/>
                <w:szCs w:val="18"/>
                <w:color w:val="auto"/>
              </w:rPr>
              <w:t>per share, which is the midpoint of the</w:t>
            </w:r>
          </w:p>
        </w:tc>
      </w:tr>
      <w:tr>
        <w:trPr>
          <w:trHeight w:val="239"/>
        </w:trPr>
        <w:tc>
          <w:tcPr>
            <w:tcW w:w="7380" w:type="dxa"/>
            <w:vAlign w:val="bottom"/>
          </w:tcPr>
          <w:p>
            <w:pPr>
              <w:spacing w:after="0"/>
              <w:rPr>
                <w:sz w:val="20"/>
                <w:szCs w:val="20"/>
                <w:color w:val="auto"/>
              </w:rPr>
            </w:pPr>
            <w:r>
              <w:rPr>
                <w:rFonts w:ascii="Arial" w:cs="Arial" w:eastAsia="Arial" w:hAnsi="Arial"/>
                <w:sz w:val="18"/>
                <w:szCs w:val="18"/>
                <w:color w:val="auto"/>
              </w:rPr>
              <w:t>price range set forth on the cover page of this prospectus, would</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7380" w:type="dxa"/>
            <w:vAlign w:val="bottom"/>
          </w:tcPr>
          <w:p>
            <w:pPr>
              <w:ind w:left="5400"/>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 or decrease, as applicable, the pro forma as adjusted net tangible book value per share after this offering by approximately</w:t>
      </w:r>
    </w:p>
    <w:p>
      <w:pPr>
        <w:spacing w:after="0" w:line="9" w:lineRule="exact"/>
        <w:rPr>
          <w:sz w:val="20"/>
          <w:szCs w:val="20"/>
          <w:color w:val="auto"/>
        </w:rPr>
      </w:pPr>
    </w:p>
    <w:p>
      <w:pPr>
        <w:ind w:left="1060" w:hanging="94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share, and dilution in pro forma as adjusted net tangible book value per share to new investors by approximately</w:t>
      </w:r>
    </w:p>
    <w:p>
      <w:pPr>
        <w:ind w:left="120" w:right="320" w:hanging="4"/>
        <w:spacing w:after="0" w:line="248"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 share, assuming that the number of shares offered by us, as set forth on the cover page of this prospectus, remains the same and after deducting the estimated underwriting discounts and commissions and the estimated offering expenses payable by us.</w:t>
      </w:r>
    </w:p>
    <w:p>
      <w:pPr>
        <w:spacing w:after="0" w:line="1"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Each increase or decrease of 1.0 million shares in the number of shares of common stock offered by us would increase or decrease, as</w:t>
      </w:r>
    </w:p>
    <w:p>
      <w:pPr>
        <w:spacing w:after="0" w:line="186"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applicable, our pro forma as adjusted net tangible book value per share after this offering by approximately $ per share and decrease or increase, as applicable, the dilution to investors participating in this offering by approximately $ per share, assuming that the assumed initial public offering price of $ per share remains the same, and after deducting the estimated underwriting discounts and commissions and the estimated offering expenses payable by us.</w:t>
      </w:r>
    </w:p>
    <w:p>
      <w:pPr>
        <w:spacing w:after="0" w:line="14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 in this offering, the pro forma as adjusted net tangible book value after the offering would be approximately $ per share, the increase in pro forma as adjusted net tangible book value per share to existing stockholders would be approximately $ per share, and the dilution per share to investors in this offering would be $ per share, in each case assuming an initial public offering price of $ per share,</w:t>
      </w:r>
    </w:p>
    <w:p>
      <w:pPr>
        <w:ind w:left="120"/>
        <w:spacing w:after="0"/>
        <w:rPr>
          <w:sz w:val="20"/>
          <w:szCs w:val="20"/>
          <w:color w:val="auto"/>
        </w:rPr>
      </w:pPr>
      <w:r>
        <w:rPr>
          <w:rFonts w:ascii="Arial" w:cs="Arial" w:eastAsia="Arial" w:hAnsi="Arial"/>
          <w:sz w:val="18"/>
          <w:szCs w:val="18"/>
          <w:color w:val="auto"/>
        </w:rPr>
        <w:t>which is the midpoint of the price range set forth on the cover page of this prospectus.</w:t>
      </w:r>
    </w:p>
    <w:p>
      <w:pPr>
        <w:spacing w:after="0" w:line="153"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The dilution information above is for illustration purposes only. Our pro forma as adjusted net tangible book value following the closing of this offering will depend on the actual initial public offering price and other terms of this offering determined at pricing.</w:t>
      </w:r>
    </w:p>
    <w:p>
      <w:pPr>
        <w:spacing w:after="0" w:line="113" w:lineRule="exact"/>
        <w:rPr>
          <w:sz w:val="20"/>
          <w:szCs w:val="20"/>
          <w:color w:val="auto"/>
        </w:rPr>
      </w:pPr>
    </w:p>
    <w:p>
      <w:pPr>
        <w:jc w:val="both"/>
        <w:ind w:left="120" w:right="320" w:firstLine="551"/>
        <w:spacing w:after="0" w:line="255" w:lineRule="auto"/>
        <w:rPr>
          <w:sz w:val="20"/>
          <w:szCs w:val="20"/>
          <w:color w:val="auto"/>
        </w:rPr>
      </w:pPr>
      <w:r>
        <w:rPr>
          <w:rFonts w:ascii="Arial" w:cs="Arial" w:eastAsia="Arial" w:hAnsi="Arial"/>
          <w:sz w:val="17"/>
          <w:szCs w:val="17"/>
          <w:color w:val="auto"/>
        </w:rPr>
        <w:t>The following table summarizes on the pro forma as adjusted basis described above, as of September 30,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w:t>
      </w:r>
    </w:p>
    <w:p>
      <w:pPr>
        <w:spacing w:after="0" w:line="2"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calculations below are based on an assumed initial public offering price of $ per share, the midpoint of the price range set forth on the cover page of this prospectus, before deducting the estimated underwriting discounts and commissions and estimated offering expenses payable by 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10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vMerge w:val="restart"/>
          </w:tcPr>
          <w:p>
            <w:pPr>
              <w:jc w:val="right"/>
              <w:ind w:right="650"/>
              <w:spacing w:after="0"/>
              <w:rPr>
                <w:sz w:val="20"/>
                <w:szCs w:val="20"/>
                <w:color w:val="auto"/>
              </w:rPr>
            </w:pPr>
            <w:r>
              <w:rPr>
                <w:rFonts w:ascii="Arial" w:cs="Arial" w:eastAsia="Arial" w:hAnsi="Arial"/>
                <w:sz w:val="14"/>
                <w:szCs w:val="14"/>
                <w:b w:val="1"/>
                <w:bCs w:val="1"/>
                <w:color w:val="auto"/>
              </w:rPr>
              <w:t>Total Consideration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21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0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ind w:right="682"/>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682"/>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ectPr>
          <w:pgSz w:w="11900" w:h="16838" w:orient="portrait"/>
          <w:cols w:equalWidth="0" w:num="1">
            <w:col w:w="11140"/>
          </w:cols>
          <w:pgMar w:left="320" w:top="455" w:right="439" w:bottom="1440" w:gutter="0" w:footer="0" w:header="0"/>
        </w:sectPr>
      </w:pP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the total number of shares of our common stock outstanding after this offering; and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of</w:t>
      </w:r>
    </w:p>
    <w:p>
      <w:pPr>
        <w:spacing w:after="0" w:line="425" w:lineRule="exact"/>
        <w:rPr>
          <w:sz w:val="20"/>
          <w:szCs w:val="20"/>
          <w:color w:val="auto"/>
        </w:rPr>
      </w:pPr>
    </w:p>
    <w:p>
      <w:pPr>
        <w:sectPr>
          <w:pgSz w:w="11900" w:h="16838" w:orient="portrait"/>
          <w:cols w:equalWidth="0" w:num="3">
            <w:col w:w="1060" w:space="360"/>
            <w:col w:w="8400" w:space="720"/>
            <w:col w:w="60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shares held by new investors participating in this offering will increase to</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of the total number of shares of our 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or approximately</w:t>
      </w:r>
    </w:p>
    <w:p>
      <w:pPr>
        <w:spacing w:after="0" w:line="373" w:lineRule="exact"/>
        <w:rPr>
          <w:sz w:val="20"/>
          <w:szCs w:val="20"/>
          <w:color w:val="auto"/>
        </w:rPr>
      </w:pPr>
    </w:p>
    <w:p>
      <w:pPr>
        <w:sectPr>
          <w:pgSz w:w="11900" w:h="16838" w:orient="portrait"/>
          <w:cols w:equalWidth="0" w:num="3">
            <w:col w:w="1060" w:space="360"/>
            <w:col w:w="7500" w:space="200"/>
            <w:col w:w="2020"/>
          </w:cols>
          <w:pgMar w:left="320" w:top="455" w:right="439" w:bottom="1440" w:gutter="0" w:footer="0" w:header="0"/>
          <w:type w:val="continuous"/>
        </w:sectPr>
      </w:pPr>
    </w:p>
    <w:p>
      <w:pPr>
        <w:jc w:val="both"/>
        <w:ind w:left="120" w:right="900" w:firstLine="551"/>
        <w:spacing w:after="0" w:line="253" w:lineRule="auto"/>
        <w:rPr>
          <w:sz w:val="20"/>
          <w:szCs w:val="20"/>
          <w:color w:val="auto"/>
        </w:rPr>
      </w:pPr>
      <w:r>
        <w:rPr>
          <w:rFonts w:ascii="Arial" w:cs="Arial" w:eastAsia="Arial" w:hAnsi="Arial"/>
          <w:sz w:val="18"/>
          <w:szCs w:val="18"/>
          <w:color w:val="auto"/>
        </w:rPr>
        <w:t>The foregoing tables and calculations above (other than the historical net tangible book value calculations) are based on 311,565,566 shares of our common stock outstanding as of September 30, 2023, including 39,098 shares subject to our right of repurchase, after giving effect to the automatic</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5" w:right="4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conversion of all outstanding shares of our convertible preferred stock into 287,446,844 shares of our common stock immediately prior to the closing of this offering, and exclude:</w:t>
      </w:r>
    </w:p>
    <w:p>
      <w:pPr>
        <w:spacing w:after="0" w:line="154" w:lineRule="exact"/>
        <w:rPr>
          <w:sz w:val="20"/>
          <w:szCs w:val="20"/>
          <w:color w:val="auto"/>
        </w:rPr>
      </w:pPr>
    </w:p>
    <w:p>
      <w:pPr>
        <w:ind w:left="1420" w:right="160" w:hanging="427"/>
        <w:spacing w:after="0" w:line="271"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52,416,096 shares of common stock issuable upon the exercise of outstanding stock options as of September 30, 2023, with a weighted-average exercise price of $0.21 per share;</w:t>
      </w:r>
    </w:p>
    <w:p>
      <w:pPr>
        <w:spacing w:after="0" w:line="153" w:lineRule="exact"/>
        <w:rPr>
          <w:rFonts w:ascii="Arial" w:cs="Arial" w:eastAsia="Arial" w:hAnsi="Arial"/>
          <w:sz w:val="18"/>
          <w:szCs w:val="18"/>
          <w:color w:val="auto"/>
        </w:rPr>
      </w:pPr>
    </w:p>
    <w:p>
      <w:pPr>
        <w:ind w:left="1420" w:right="140" w:hanging="427"/>
        <w:spacing w:after="0" w:line="271"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2,835,000 shares of common stock issuable upon exercise of stock options granted subsequent to September 30, 2023, with a weighted-average exercise price of $0.23 per share;</w:t>
      </w:r>
    </w:p>
    <w:p>
      <w:pPr>
        <w:spacing w:after="0" w:line="180" w:lineRule="exact"/>
        <w:rPr>
          <w:rFonts w:ascii="Arial" w:cs="Arial" w:eastAsia="Arial" w:hAnsi="Arial"/>
          <w:sz w:val="18"/>
          <w:szCs w:val="18"/>
          <w:color w:val="auto"/>
        </w:rPr>
      </w:pPr>
    </w:p>
    <w:p>
      <w:pPr>
        <w:ind w:left="1420" w:hanging="427"/>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2024 Plan, which will become effective in</w:t>
      </w:r>
    </w:p>
    <w:p>
      <w:pPr>
        <w:spacing w:after="0" w:line="14" w:lineRule="exact"/>
        <w:rPr>
          <w:sz w:val="20"/>
          <w:szCs w:val="20"/>
          <w:color w:val="auto"/>
        </w:rPr>
      </w:pPr>
    </w:p>
    <w:p>
      <w:pPr>
        <w:ind w:left="1420" w:right="40"/>
        <w:spacing w:after="0"/>
        <w:rPr>
          <w:sz w:val="20"/>
          <w:szCs w:val="20"/>
          <w:color w:val="auto"/>
        </w:rPr>
      </w:pPr>
      <w:r>
        <w:rPr>
          <w:rFonts w:ascii="Arial" w:cs="Arial" w:eastAsia="Arial" w:hAnsi="Arial"/>
          <w:sz w:val="18"/>
          <w:szCs w:val="18"/>
          <w:color w:val="auto"/>
        </w:rPr>
        <w:t>connection with this offering, which will equal the sum of (1) shares, plus (2) shares of common stock remaining available for issuance under our 2018 Equity Incentive Plan (the 2018 Plan) as of the effective date of the 2024 Plan, which shares will be added to the 2024 Plan upon its effectiveness, plus (3) any potential evergreen increases pursuant to the terms of the 2024 Plan; and</w:t>
      </w:r>
    </w:p>
    <w:p>
      <w:pPr>
        <w:spacing w:after="0" w:line="180" w:lineRule="exact"/>
        <w:rPr>
          <w:sz w:val="20"/>
          <w:szCs w:val="20"/>
          <w:color w:val="auto"/>
        </w:rPr>
      </w:pPr>
    </w:p>
    <w:p>
      <w:pPr>
        <w:ind w:left="1420" w:hanging="427"/>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number of shares of our common stock reserved for future issuance under our ESPP, which will become effective in</w:t>
      </w:r>
    </w:p>
    <w:p>
      <w:pPr>
        <w:sectPr>
          <w:pgSz w:w="11900" w:h="16838" w:orient="portrait"/>
          <w:cols w:equalWidth="0" w:num="1">
            <w:col w:w="11120"/>
          </w:cols>
          <w:pgMar w:left="320" w:top="455" w:right="459" w:bottom="1440" w:gutter="0" w:footer="0" w:header="0"/>
        </w:sectPr>
      </w:pPr>
    </w:p>
    <w:p>
      <w:pPr>
        <w:spacing w:after="0" w:line="32" w:lineRule="exact"/>
        <w:rPr>
          <w:sz w:val="20"/>
          <w:szCs w:val="20"/>
          <w:color w:val="auto"/>
        </w:rPr>
      </w:pPr>
    </w:p>
    <w:p>
      <w:pPr>
        <w:ind w:left="1420" w:right="280"/>
        <w:spacing w:after="0" w:line="234" w:lineRule="auto"/>
        <w:rPr>
          <w:sz w:val="20"/>
          <w:szCs w:val="20"/>
          <w:color w:val="auto"/>
        </w:rPr>
      </w:pPr>
      <w:r>
        <w:rPr>
          <w:rFonts w:ascii="Arial" w:cs="Arial" w:eastAsia="Arial" w:hAnsi="Arial"/>
          <w:sz w:val="18"/>
          <w:szCs w:val="18"/>
          <w:color w:val="auto"/>
        </w:rPr>
        <w:t>connection with this offering, which will equal the sum of (1) shares, plus (2) any potential evergreen increases pursuant to the terms of the ESPP.</w:t>
      </w:r>
    </w:p>
    <w:p>
      <w:pPr>
        <w:sectPr>
          <w:pgSz w:w="11900" w:h="16838" w:orient="portrait"/>
          <w:cols w:equalWidth="0" w:num="1">
            <w:col w:w="11120"/>
          </w:cols>
          <w:pgMar w:left="320" w:top="455" w:right="459" w:bottom="1440" w:gutter="0" w:footer="0" w:header="0"/>
          <w:type w:val="continuous"/>
        </w:sectPr>
      </w:pPr>
    </w:p>
    <w:p>
      <w:pPr>
        <w:spacing w:after="0" w:line="15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To the extent any outstanding options are exercised, new options or other equity awards are issued under our equity incentive plans, or we issue additional equity or convertible securities in the future, there will be further dilution to new investors participating in this offering.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RESULTS OF OPERATIONS</w:t>
      </w:r>
    </w:p>
    <w:p>
      <w:pPr>
        <w:spacing w:after="0" w:line="16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included elsewhere in this prospectus. Some of the information contained in this discussion and analysis are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clinical-stage oncology company dedicated to unlocking a new paradigm in cancer therapeutics that addresses the significant unmet need in patients with oncogene amplified tumors by targeting ecDNA, a root cause of oncogene amplification observed in more than 14% of cancer patients. Using our proprietary Spyglass platform, we identify targets essential for ecDNA functionality in cancer cells, then design and develop ecDTx to inhibit those targets with the aim to prevent cancer cells from using ecDNA to grow, adapt, and become resistant to existing therapies. Instead of directly targeting the proteins produced by amplified oncogenes, like the approach of traditional targeted therapies, our ecDTx are intended to be synthetic lethal in tumor cells reliant on ecDNA. They are designed to disrupt the underlying cellular machinery that enables ecDNA to function properly, such as proteins essential for ecDNA replication, transcription, assembly, repair, and segregation.</w:t>
      </w:r>
    </w:p>
    <w:p>
      <w:pPr>
        <w:spacing w:after="0" w:line="153" w:lineRule="exact"/>
        <w:rPr>
          <w:sz w:val="20"/>
          <w:szCs w:val="20"/>
          <w:color w:val="auto"/>
        </w:rPr>
      </w:pPr>
    </w:p>
    <w:p>
      <w:pPr>
        <w:ind w:left="120" w:right="120" w:firstLine="551"/>
        <w:spacing w:after="0" w:line="259" w:lineRule="auto"/>
        <w:rPr>
          <w:sz w:val="20"/>
          <w:szCs w:val="20"/>
          <w:color w:val="auto"/>
        </w:rPr>
      </w:pPr>
      <w:r>
        <w:rPr>
          <w:rFonts w:ascii="Arial" w:cs="Arial" w:eastAsia="Arial" w:hAnsi="Arial"/>
          <w:sz w:val="17"/>
          <w:szCs w:val="17"/>
          <w:color w:val="auto"/>
        </w:rPr>
        <w:t>Our lead ecDTx, BBI-355, is a novel, oral, selective small molecule CHK1 inhibitor being studied in the ongoing first-in-human, Phase 1/2 POTENTIATE clinical trial in patients with oncogene amplified cancers. We expect to have preliminary clinical proof of concept</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safety and anti-tumor activity data of BBI-355 as a single agent and in combination with targeted therapies in the , including approximately total enrolled patients (single agent cohorts N=~ , combination cohorts N=~ ). Our second ecDTx,</w:t>
      </w:r>
    </w:p>
    <w:p>
      <w:pPr>
        <w:spacing w:after="0" w:line="1"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BBI-825, is a novel, oral, selective small molecule RNR inhibitor. In January 2024, we received allowance from the FDA to initiate the first-in-human, Phase 1/2 STARMAP clinical trial in patients with resistance gene amplifications. We expect to initiate the STARMAP trial in</w:t>
      </w:r>
    </w:p>
    <w:p>
      <w:pPr>
        <w:spacing w:after="0" w:line="1" w:lineRule="exact"/>
        <w:rPr>
          <w:sz w:val="20"/>
          <w:szCs w:val="20"/>
          <w:color w:val="auto"/>
        </w:rPr>
      </w:pPr>
    </w:p>
    <w:p>
      <w:pPr>
        <w:ind w:left="120" w:firstLine="796"/>
        <w:spacing w:after="0" w:line="23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third ecDTx program, in the drug discovery stage, is directed at a previously undrugged kinesin target essential for ecDNA segregation and inheritance during cell division, and we are advancing this program through drug discovery to candidate identification and into clinical development. We continue to leverage Spyglass to identify and preclinically validate additional ecDNA-essential targets.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To date, all of our ecDTx have been discovered internally, and we retain global rights for all of our programs. To assist in identifying patients that may benefit from our ecDTx, we have developed an ecDNA diagnostic test, internally called ECHO, to detect ecDNA in patient tumor samples via routine NGS assays. We are working with an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diagnostic company to develop the ecDNA diagnostic into a clinical trial assay, which we intend to use in our ongoing Phase 1/2</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POTENTIATE clinical trial.</w:t>
      </w:r>
    </w:p>
    <w:p>
      <w:pPr>
        <w:spacing w:after="0" w:line="147" w:lineRule="exact"/>
        <w:rPr>
          <w:sz w:val="20"/>
          <w:szCs w:val="20"/>
          <w:color w:val="auto"/>
        </w:rPr>
      </w:pPr>
    </w:p>
    <w:p>
      <w:pPr>
        <w:ind w:left="120" w:right="340" w:firstLine="551"/>
        <w:spacing w:after="0" w:line="244" w:lineRule="auto"/>
        <w:rPr>
          <w:sz w:val="20"/>
          <w:szCs w:val="20"/>
          <w:color w:val="auto"/>
        </w:rPr>
      </w:pPr>
      <w:r>
        <w:rPr>
          <w:rFonts w:ascii="Arial" w:cs="Arial" w:eastAsia="Arial" w:hAnsi="Arial"/>
          <w:sz w:val="18"/>
          <w:szCs w:val="18"/>
          <w:color w:val="auto"/>
        </w:rPr>
        <w:t>Since we commenced operations in 2018, we have devoted substantially all of our resources to organizing and staffing our company, business planning, raising capital, building our proprietary Spyglass platform, discovering our ecDTx, developing our ecDNA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color w:val="auto"/>
        </w:rPr>
        <w:t>We have incurred significant operating losses since our inception and, as of September 30, 2023, we had an accumulated deficit of $124.0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develop our ecDNA diagnostic,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w:t>
      </w:r>
    </w:p>
    <w:p>
      <w:pPr>
        <w:spacing w:after="0" w:line="142" w:lineRule="exact"/>
        <w:rPr>
          <w:sz w:val="20"/>
          <w:szCs w:val="20"/>
          <w:color w:val="auto"/>
        </w:rPr>
      </w:pPr>
    </w:p>
    <w:p>
      <w:pPr>
        <w:ind w:left="120" w:right="140" w:firstLine="551"/>
        <w:spacing w:after="0" w:line="254" w:lineRule="auto"/>
        <w:rPr>
          <w:sz w:val="20"/>
          <w:szCs w:val="20"/>
          <w:color w:val="auto"/>
        </w:rPr>
      </w:pPr>
      <w:r>
        <w:rPr>
          <w:rFonts w:ascii="Arial" w:cs="Arial" w:eastAsia="Arial" w:hAnsi="Arial"/>
          <w:sz w:val="17"/>
          <w:szCs w:val="17"/>
          <w:color w:val="auto"/>
        </w:rPr>
        <w:t>Through September 30, 2023, we have raised a total of $253.5 million to fund our operations primarily from the gross proceeds from the sale and issuance of our convertible preferred stock. As of September 30, 2023, we had cash, cash equivalents, and short-term investments of $132.7 million. Based upon our current operating plans, we believe that the estimated net proceeds from this offering, together with our existing cash, cash equivalents, and short-term investments, will be sufficient to fund our operations through at least</w:t>
      </w:r>
    </w:p>
    <w:p>
      <w:pPr>
        <w:ind w:left="920"/>
        <w:spacing w:after="0"/>
        <w:rPr>
          <w:sz w:val="20"/>
          <w:szCs w:val="20"/>
          <w:color w:val="auto"/>
        </w:rPr>
      </w:pPr>
      <w:r>
        <w:rPr>
          <w:rFonts w:ascii="Arial" w:cs="Arial" w:eastAsia="Arial" w:hAnsi="Arial"/>
          <w:sz w:val="18"/>
          <w:szCs w:val="18"/>
          <w:color w:val="auto"/>
        </w:rPr>
        <w:t>.</w:t>
      </w:r>
    </w:p>
    <w:p>
      <w:pPr>
        <w:spacing w:after="0" w:line="15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do not have any products approved for sale and have not generated any revenue to date. We do not expect to generate any revenue from product sales until we successfully complete development and obtain regulatory approval for one or more of our ecDTx, which we expect will take a number of years and may never occur. We will need substantial additional funding in addition to the net proceeds of this offering to support our continuing operations and pursue our long-term business plan, including to complete the development and commercialization of our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w:t>
      </w:r>
    </w:p>
    <w:p>
      <w:pPr>
        <w:spacing w:after="0" w:line="14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are working with our current manufacturers to ensure that we will be able to scale up our manufacturing capabilities to support our clinical plans.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ecDTx.</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of ecDTx or obtain regulatory approval for them, our ability to generate future revenues, and our results of operations and financial position would be adversely affected.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research and development expenses and general and administrative expenses.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Our research and development (R&amp;D) expenses have related primarily to the building of our Spyglass platform, our ecDTx discovery efforts, our preclinical and clinical development activities, and the development of an ecDNA diagnostic test. Our R&amp;D expenses consist of:</w:t>
      </w:r>
    </w:p>
    <w:p>
      <w:pPr>
        <w:spacing w:after="0" w:line="74" w:lineRule="exact"/>
        <w:rPr>
          <w:sz w:val="20"/>
          <w:szCs w:val="20"/>
          <w:color w:val="auto"/>
        </w:rPr>
      </w:pPr>
    </w:p>
    <w:p>
      <w:pPr>
        <w:ind w:left="1420" w:hanging="427"/>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program costs, including:</w:t>
      </w:r>
    </w:p>
    <w:p>
      <w:pPr>
        <w:spacing w:after="0" w:line="117" w:lineRule="exact"/>
        <w:rPr>
          <w:rFonts w:ascii="Arial" w:cs="Arial" w:eastAsia="Arial" w:hAnsi="Arial"/>
          <w:sz w:val="18"/>
          <w:szCs w:val="18"/>
          <w:color w:val="auto"/>
        </w:rPr>
      </w:pPr>
    </w:p>
    <w:p>
      <w:pPr>
        <w:ind w:left="1860" w:right="340" w:hanging="435"/>
        <w:spacing w:after="0" w:line="271"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costs incurred under agreements with our CROs, investigative sites, and consultants to conduct our clinical trials and preclinical studies, as well as third party costs related to the development of an ecDNA diagnostic test,</w:t>
      </w:r>
    </w:p>
    <w:p>
      <w:pPr>
        <w:spacing w:after="0" w:line="59" w:lineRule="exact"/>
        <w:rPr>
          <w:rFonts w:ascii="Arial" w:cs="Arial" w:eastAsia="Arial" w:hAnsi="Arial"/>
          <w:sz w:val="18"/>
          <w:szCs w:val="18"/>
          <w:color w:val="auto"/>
        </w:rPr>
      </w:pPr>
    </w:p>
    <w:p>
      <w:pPr>
        <w:ind w:left="1860" w:right="280" w:hanging="435"/>
        <w:spacing w:after="0" w:line="271"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expenses related to manufacturing our ecDTx for clinical trials and preclinical studies, including fees paid to third-party manufacturers; and</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indirect costs, including:</w:t>
      </w:r>
    </w:p>
    <w:p>
      <w:pPr>
        <w:spacing w:after="0" w:line="117" w:lineRule="exact"/>
        <w:rPr>
          <w:rFonts w:ascii="Arial" w:cs="Arial" w:eastAsia="Arial" w:hAnsi="Arial"/>
          <w:sz w:val="18"/>
          <w:szCs w:val="18"/>
          <w:color w:val="auto"/>
        </w:rPr>
      </w:pPr>
    </w:p>
    <w:p>
      <w:pPr>
        <w:ind w:left="1860" w:right="200" w:hanging="435"/>
        <w:spacing w:after="0" w:line="271"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travel, and stock-based compensation expenses for employees engaged in research and development functions,</w:t>
      </w:r>
    </w:p>
    <w:p>
      <w:pPr>
        <w:spacing w:after="0" w:line="59" w:lineRule="exact"/>
        <w:rPr>
          <w:rFonts w:ascii="Arial" w:cs="Arial" w:eastAsia="Arial" w:hAnsi="Arial"/>
          <w:sz w:val="18"/>
          <w:szCs w:val="18"/>
          <w:color w:val="auto"/>
        </w:rPr>
      </w:pPr>
    </w:p>
    <w:p>
      <w:pPr>
        <w:ind w:left="1860" w:hanging="435"/>
        <w:spacing w:after="0"/>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costs of outside services from third parties, including consultants,</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costs of lab and pharmacology supplies,</w:t>
      </w:r>
    </w:p>
    <w:p>
      <w:pPr>
        <w:spacing w:after="0" w:line="117" w:lineRule="exact"/>
        <w:rPr>
          <w:rFonts w:ascii="Arial" w:cs="Arial" w:eastAsia="Arial" w:hAnsi="Arial"/>
          <w:sz w:val="18"/>
          <w:szCs w:val="18"/>
          <w:color w:val="auto"/>
        </w:rPr>
      </w:pPr>
    </w:p>
    <w:p>
      <w:pPr>
        <w:ind w:left="1860" w:right="420" w:hanging="435"/>
        <w:spacing w:after="0" w:line="271"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facilities-related costs, including rent and maintenance costs, and other costs including insurance, depreciation, supplies, and miscellaneous expenses, and</w:t>
      </w:r>
    </w:p>
    <w:p>
      <w:pPr>
        <w:spacing w:after="0" w:line="59" w:lineRule="exact"/>
        <w:rPr>
          <w:rFonts w:ascii="Arial" w:cs="Arial" w:eastAsia="Arial" w:hAnsi="Arial"/>
          <w:sz w:val="18"/>
          <w:szCs w:val="18"/>
          <w:color w:val="auto"/>
        </w:rPr>
      </w:pPr>
    </w:p>
    <w:p>
      <w:pPr>
        <w:ind w:left="1860" w:right="340" w:hanging="435"/>
        <w:spacing w:after="0" w:line="271"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other costs, including costs related to travel, repairs maintenance, service contract, computer supplies, software, and publications and subscription services.</w:t>
      </w:r>
    </w:p>
    <w:p>
      <w:pPr>
        <w:spacing w:after="0" w:line="113"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Indirect costs are not included in program costs, as these costs are general in nature and benefit all of our development programs and discovery efforts.</w:t>
      </w:r>
    </w:p>
    <w:p>
      <w:pPr>
        <w:spacing w:after="0" w:line="13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Although R&amp;D activities are central to our business model, the successful development of our ecDTx is highly uncertain. There are numerous factors associated with the successful development of any ecDTx,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R&amp;D expenses will increase substantially for the foreseeable future as we continue to conduct our ongoing R&amp;D activities, advance preclinical research programs toward clinical development, conduct clinical trials, hire additional personnel, and maintain, expand, protect, and enforce our intellectual property portfolio.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R&amp;D expenses may vary significantly based on a wide variety of factors such as:</w:t>
      </w:r>
    </w:p>
    <w:p>
      <w:pPr>
        <w:spacing w:after="0" w:line="117" w:lineRule="exact"/>
        <w:rPr>
          <w:sz w:val="20"/>
          <w:szCs w:val="20"/>
          <w:color w:val="auto"/>
        </w:rPr>
      </w:pPr>
    </w:p>
    <w:p>
      <w:pPr>
        <w:ind w:left="5520" w:right="160" w:hanging="4527"/>
        <w:spacing w:after="0" w:line="443" w:lineRule="auto"/>
        <w:tabs>
          <w:tab w:leader="none" w:pos="14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rate of progress, expense and results of our discovery and preclinical activities and clinical trials; 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developing an ecDNA diagnostic test;</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additional safety monitoring requested by regulatory agencies;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manufacturing our ecDTx;</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phase of development of our ecDTx;</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of changes in government regulation and regulatory guidance;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efficacy and safety profile of our ecDTx;</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license, or other arrangements.</w:t>
      </w:r>
    </w:p>
    <w:p>
      <w:pPr>
        <w:spacing w:after="0" w:line="185"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 change in the outcome of any of these variables with respect to development of any of our ecDTx could significantly change the costs and timing associated with the development of that ecDTx.</w:t>
      </w:r>
    </w:p>
    <w:p>
      <w:pPr>
        <w:spacing w:after="0" w:line="11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current ecDTx or any future ecDTx may be affected by a variety of factors. We may never succeed in achieving regulatory approval for any of our ecDTx. Preclinical and clinical development timelines, the probability of success, and total development costs can differ materially from expectations. We anticipate that we will make determinations as to which ecDTx to pursue and how much funding to direct to each ecDTx on an ongoing basis in response to the results of ongoing and future preclinical studies and clinical trials, regulatory developments, and our ongoing assessments as to each ecDTx’s commercial potential. We will need to raise substantial additional capital in the future. In addition, we cannot forecast which ecDTx may be subject to future collaborations, when such arrangements will be secured, if at all, and to what degree such arrangements would affect our development plans and capital requirements.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General and administrative (G&amp;A) expenses consist primarily of personnel-related costs, including salaries, bonuses, benefits, travel, and stock-based compensation expenses for employees in executive accounting and finance, business development, legal, and other administrative functions. Other significant costs include allocated facility-related costs, legal fees relating to intellectual property and corporate matters, professional fees for accounting and consulting services, insurance costs, and business development expenses.</w:t>
      </w:r>
    </w:p>
    <w:p>
      <w:pPr>
        <w:spacing w:after="0" w:line="133"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We expect that our G&amp;A expenses will increase substantially for the foreseeable future as we continue to increase our general and administrative headcount to support our continued R&amp;D activities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and, if any ecDTx receive marketing approval, commercialization activities, as well as to support our operations generally. We also expect to incur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interest income earned on our cash, cash equivalents, and investments.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2023 (Unaudited)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each of the periods indicated: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27,501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32,223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83"/>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8,777</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34,396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41,000</w:t>
            </w: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(34,396)</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(41,000)</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79"/>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3,710</w:t>
            </w:r>
          </w:p>
        </w:tc>
        <w:tc>
          <w:tcPr>
            <w:tcW w:w="1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80" w:type="dxa"/>
            <w:vAlign w:val="bottom"/>
            <w:vMerge w:val="restart"/>
          </w:tcPr>
          <w:p>
            <w:pPr>
              <w:jc w:val="right"/>
              <w:ind w:right="157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R&amp;D expenses for each of the periods indicated: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2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program costs: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200" w:type="dxa"/>
            <w:vAlign w:val="bottom"/>
          </w:tcPr>
          <w:p>
            <w:pPr>
              <w:spacing w:after="0"/>
              <w:rPr>
                <w:sz w:val="20"/>
                <w:szCs w:val="20"/>
                <w:color w:val="auto"/>
              </w:rPr>
            </w:pPr>
            <w:r>
              <w:rPr>
                <w:rFonts w:ascii="Arial" w:cs="Arial" w:eastAsia="Arial" w:hAnsi="Arial"/>
                <w:sz w:val="18"/>
                <w:szCs w:val="18"/>
                <w:color w:val="auto"/>
              </w:rPr>
              <w:t>BBI-355</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5,968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5,698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63"/>
        </w:trPr>
        <w:tc>
          <w:tcPr>
            <w:tcW w:w="62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BBI-825</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9"/>
        </w:trPr>
        <w:tc>
          <w:tcPr>
            <w:tcW w:w="6200" w:type="dxa"/>
            <w:vAlign w:val="bottom"/>
          </w:tcPr>
          <w:p>
            <w:pPr>
              <w:spacing w:after="0"/>
              <w:rPr>
                <w:sz w:val="20"/>
                <w:szCs w:val="20"/>
                <w:color w:val="auto"/>
              </w:rPr>
            </w:pPr>
            <w:r>
              <w:rPr>
                <w:rFonts w:ascii="Arial" w:cs="Arial" w:eastAsia="Arial" w:hAnsi="Arial"/>
                <w:sz w:val="18"/>
                <w:szCs w:val="18"/>
                <w:color w:val="auto"/>
              </w:rPr>
              <w:t>Other development programs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3,555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1,288</w:t>
            </w:r>
          </w:p>
        </w:tc>
        <w:tc>
          <w:tcPr>
            <w:tcW w:w="0" w:type="dxa"/>
            <w:vAlign w:val="bottom"/>
          </w:tcPr>
          <w:p>
            <w:pPr>
              <w:spacing w:after="0"/>
              <w:rPr>
                <w:sz w:val="1"/>
                <w:szCs w:val="1"/>
                <w:color w:val="auto"/>
              </w:rPr>
            </w:pPr>
          </w:p>
        </w:tc>
      </w:tr>
      <w:tr>
        <w:trPr>
          <w:trHeight w:val="66"/>
        </w:trPr>
        <w:tc>
          <w:tcPr>
            <w:tcW w:w="62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direct program costs: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12,879</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13,717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auto"/>
              </w:rPr>
              <w:t>Indirect R&amp;D costs</w:t>
            </w:r>
          </w:p>
        </w:tc>
        <w:tc>
          <w:tcPr>
            <w:tcW w:w="2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(including stock compensation)</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8,594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10,084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1,490</w:t>
            </w:r>
          </w:p>
        </w:tc>
        <w:tc>
          <w:tcPr>
            <w:tcW w:w="0" w:type="dxa"/>
            <w:vAlign w:val="bottom"/>
          </w:tcPr>
          <w:p>
            <w:pPr>
              <w:spacing w:after="0"/>
              <w:rPr>
                <w:sz w:val="1"/>
                <w:szCs w:val="1"/>
                <w:color w:val="auto"/>
              </w:rPr>
            </w:pPr>
          </w:p>
        </w:tc>
      </w:tr>
      <w:tr>
        <w:trPr>
          <w:trHeight w:val="274"/>
        </w:trPr>
        <w:tc>
          <w:tcPr>
            <w:tcW w:w="6200" w:type="dxa"/>
            <w:vAlign w:val="bottom"/>
          </w:tcPr>
          <w:p>
            <w:pPr>
              <w:spacing w:after="0"/>
              <w:rPr>
                <w:sz w:val="20"/>
                <w:szCs w:val="20"/>
                <w:color w:val="auto"/>
              </w:rPr>
            </w:pPr>
            <w:r>
              <w:rPr>
                <w:rFonts w:ascii="Arial" w:cs="Arial" w:eastAsia="Arial" w:hAnsi="Arial"/>
                <w:sz w:val="18"/>
                <w:szCs w:val="18"/>
                <w:color w:val="auto"/>
              </w:rPr>
              <w:t>Outside services and consulting</w:t>
            </w: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1,570</w:t>
            </w: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 and pharmacology supplies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1,288</w:t>
            </w:r>
          </w:p>
        </w:tc>
        <w:tc>
          <w:tcPr>
            <w:tcW w:w="0" w:type="dxa"/>
            <w:vAlign w:val="bottom"/>
          </w:tcPr>
          <w:p>
            <w:pPr>
              <w:spacing w:after="0"/>
              <w:rPr>
                <w:sz w:val="1"/>
                <w:szCs w:val="1"/>
                <w:color w:val="auto"/>
              </w:rPr>
            </w:pPr>
          </w:p>
        </w:tc>
      </w:tr>
      <w:tr>
        <w:trPr>
          <w:trHeight w:val="274"/>
        </w:trPr>
        <w:tc>
          <w:tcPr>
            <w:tcW w:w="6200" w:type="dxa"/>
            <w:vAlign w:val="bottom"/>
          </w:tcPr>
          <w:p>
            <w:pPr>
              <w:spacing w:after="0"/>
              <w:rPr>
                <w:sz w:val="20"/>
                <w:szCs w:val="20"/>
                <w:color w:val="auto"/>
              </w:rPr>
            </w:pPr>
            <w:r>
              <w:rPr>
                <w:rFonts w:ascii="Arial" w:cs="Arial" w:eastAsia="Arial" w:hAnsi="Arial"/>
                <w:sz w:val="18"/>
                <w:szCs w:val="18"/>
                <w:color w:val="auto"/>
              </w:rPr>
              <w:t>Facilities-related (including depreciation)</w:t>
            </w: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2,133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development programs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200" w:type="dxa"/>
            <w:vAlign w:val="bottom"/>
          </w:tcPr>
          <w:p>
            <w:pPr>
              <w:spacing w:after="0"/>
              <w:rPr>
                <w:sz w:val="20"/>
                <w:szCs w:val="20"/>
                <w:color w:val="auto"/>
              </w:rPr>
            </w:pPr>
            <w:r>
              <w:rPr>
                <w:rFonts w:ascii="Arial" w:cs="Arial" w:eastAsia="Arial" w:hAnsi="Arial"/>
                <w:sz w:val="18"/>
                <w:szCs w:val="18"/>
                <w:color w:val="auto"/>
              </w:rPr>
              <w:t>Total direct program costs: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14,622</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18,506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3,884</w:t>
            </w:r>
          </w:p>
        </w:tc>
        <w:tc>
          <w:tcPr>
            <w:tcW w:w="0" w:type="dxa"/>
            <w:vAlign w:val="bottom"/>
          </w:tcPr>
          <w:p>
            <w:pPr>
              <w:spacing w:after="0"/>
              <w:rPr>
                <w:sz w:val="1"/>
                <w:szCs w:val="1"/>
                <w:color w:val="auto"/>
              </w:rPr>
            </w:pPr>
          </w:p>
        </w:tc>
      </w:tr>
      <w:tr>
        <w:trPr>
          <w:trHeight w:val="66"/>
        </w:trPr>
        <w:tc>
          <w:tcPr>
            <w:tcW w:w="62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27,501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32,223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4,722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R&amp;D expenses were $27.5 million and $32.2 million for the nine months ended September 30, 2022 and 2023, respectively.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$4.7 million increase in R&amp;D expenses primarily resulted from an increase in direct program costs associated with our ecDTx development</w:t>
      </w:r>
    </w:p>
    <w:p>
      <w:pPr>
        <w:ind w:left="120"/>
        <w:spacing w:after="0" w:line="234" w:lineRule="auto"/>
        <w:rPr>
          <w:sz w:val="20"/>
          <w:szCs w:val="20"/>
          <w:color w:val="auto"/>
        </w:rPr>
      </w:pPr>
      <w:r>
        <w:rPr>
          <w:rFonts w:ascii="Arial" w:cs="Arial" w:eastAsia="Arial" w:hAnsi="Arial"/>
          <w:sz w:val="18"/>
          <w:szCs w:val="18"/>
          <w:color w:val="auto"/>
        </w:rPr>
        <w:t>programs, additional costs incurred to support development of our ecDNA diagnostic, ECHO, a $1.3 million increase in lab and</w:t>
      </w:r>
    </w:p>
    <w:p>
      <w:pPr>
        <w:ind w:left="120"/>
        <w:spacing w:after="0" w:line="235" w:lineRule="auto"/>
        <w:rPr>
          <w:sz w:val="20"/>
          <w:szCs w:val="20"/>
          <w:color w:val="auto"/>
        </w:rPr>
      </w:pPr>
      <w:r>
        <w:rPr>
          <w:rFonts w:ascii="Arial" w:cs="Arial" w:eastAsia="Arial" w:hAnsi="Arial"/>
          <w:sz w:val="18"/>
          <w:szCs w:val="18"/>
          <w:color w:val="auto"/>
        </w:rPr>
        <w:t>pharmacology supplies expense, a $1.1 million increase in personnel-related costs due to an increase in our development headcount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salary increases to our existing personnel, and $0.4 million of additional stock-based compensation expense.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G&amp;A expenses were $6.9 million and $8.8 million for the nine months ended September 30, 2022 and 2023, respectively. The $1.9 million increase in G&amp;A expenses resulted from a $0.5 million increase in personnel-related costs, primarily due to an increase in employee headcount and salary increases, a $0.5 million increase in legal and accounting costs, $0.4 million of additional stock-based compensation expense, and a $0.5 million increase in other operating costs and expenses.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Other income (expense), net was $0.3 million and $3.7 million for the nine months ended September 30, 2022 and 2023, respectively. The $3.4 million increase in other income, net resulted from the additional interest income generated by our available-for-sale investment securities portfolio due to the net proceeds of $99.7 million arising from the sale of shares of our Series C convertible preferred stock in April and May 2023, as well as the increase in market yields available for such investment securities in comparison to the prior year period.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2022</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each of the periods indicated: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60" w:type="dxa"/>
            <w:vAlign w:val="bottom"/>
            <w:gridSpan w:val="5"/>
          </w:tcPr>
          <w:p>
            <w:pPr>
              <w:jc w:val="right"/>
              <w:ind w:right="450"/>
              <w:spacing w:after="0"/>
              <w:rPr>
                <w:sz w:val="20"/>
                <w:szCs w:val="20"/>
                <w:color w:val="auto"/>
              </w:rPr>
            </w:pPr>
            <w:r>
              <w:rPr>
                <w:rFonts w:ascii="Arial" w:cs="Arial" w:eastAsia="Arial" w:hAnsi="Arial"/>
                <w:sz w:val="18"/>
                <w:szCs w:val="18"/>
                <w:color w:val="auto"/>
              </w:rPr>
              <w:t>19,278</w:t>
            </w:r>
          </w:p>
        </w:tc>
        <w:tc>
          <w:tcPr>
            <w:tcW w:w="2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37,159</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17,881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w w:val="97"/>
              </w:rPr>
              <w:t>6,023</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9,310</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25,301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46,469</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(25,301)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(46,469)</w:t>
            </w: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91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568</w:t>
            </w:r>
          </w:p>
        </w:tc>
        <w:tc>
          <w:tcPr>
            <w:tcW w:w="1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$(25,210)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(25,210)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(45,901)</w:t>
            </w:r>
          </w:p>
        </w:tc>
        <w:tc>
          <w:tcPr>
            <w:tcW w:w="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538"/>
        </w:trPr>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340" w:type="dxa"/>
            <w:vAlign w:val="bottom"/>
            <w:gridSpan w:val="9"/>
          </w:tcPr>
          <w:p>
            <w:pPr>
              <w:ind w:left="540"/>
              <w:spacing w:after="0"/>
              <w:rPr>
                <w:sz w:val="20"/>
                <w:szCs w:val="20"/>
                <w:color w:val="auto"/>
              </w:rPr>
            </w:pPr>
            <w:r>
              <w:rPr>
                <w:rFonts w:ascii="Arial" w:cs="Arial" w:eastAsia="Arial" w:hAnsi="Arial"/>
                <w:sz w:val="18"/>
                <w:szCs w:val="18"/>
                <w:color w:val="auto"/>
              </w:rPr>
              <w:t>The following table summarizes our R&amp;D expenses for each of the periods indicated: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4"/>
                <w:szCs w:val="24"/>
                <w:color w:val="auto"/>
              </w:rPr>
            </w:pPr>
          </w:p>
        </w:tc>
        <w:tc>
          <w:tcPr>
            <w:tcW w:w="10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Direct program costs</w:t>
            </w:r>
          </w:p>
        </w:tc>
        <w:tc>
          <w:tcPr>
            <w:tcW w:w="2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580" w:type="dxa"/>
            <w:vAlign w:val="bottom"/>
          </w:tcPr>
          <w:p>
            <w:pPr>
              <w:spacing w:after="0"/>
              <w:rPr>
                <w:sz w:val="20"/>
                <w:szCs w:val="20"/>
                <w:color w:val="auto"/>
              </w:rPr>
            </w:pPr>
            <w:r>
              <w:rPr>
                <w:rFonts w:ascii="Arial" w:cs="Arial" w:eastAsia="Arial" w:hAnsi="Arial"/>
                <w:sz w:val="18"/>
                <w:szCs w:val="18"/>
                <w:color w:val="auto"/>
              </w:rPr>
              <w:t>BBI-355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2,430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8,675</w:t>
            </w:r>
          </w:p>
        </w:tc>
        <w:tc>
          <w:tcPr>
            <w:tcW w:w="320" w:type="dxa"/>
            <w:vAlign w:val="bottom"/>
          </w:tcPr>
          <w:p>
            <w:pPr>
              <w:spacing w:after="0"/>
              <w:rPr>
                <w:sz w:val="24"/>
                <w:szCs w:val="24"/>
                <w:color w:val="auto"/>
              </w:rPr>
            </w:pPr>
          </w:p>
        </w:tc>
        <w:tc>
          <w:tcPr>
            <w:tcW w:w="18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8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BBI-825</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320" w:type="dxa"/>
            <w:vAlign w:val="bottom"/>
            <w:tcBorders>
              <w:left w:val="single" w:sz="8" w:color="CCEEFF"/>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9"/>
        </w:trPr>
        <w:tc>
          <w:tcPr>
            <w:tcW w:w="5580" w:type="dxa"/>
            <w:vAlign w:val="bottom"/>
          </w:tcPr>
          <w:p>
            <w:pPr>
              <w:spacing w:after="0"/>
              <w:rPr>
                <w:sz w:val="20"/>
                <w:szCs w:val="20"/>
                <w:color w:val="auto"/>
              </w:rPr>
            </w:pPr>
            <w:r>
              <w:rPr>
                <w:rFonts w:ascii="Arial" w:cs="Arial" w:eastAsia="Arial" w:hAnsi="Arial"/>
                <w:sz w:val="18"/>
                <w:szCs w:val="18"/>
                <w:color w:val="auto"/>
              </w:rPr>
              <w:t>Other development programs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direct program costs</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17,199</w:t>
            </w:r>
          </w:p>
        </w:tc>
        <w:tc>
          <w:tcPr>
            <w:tcW w:w="320" w:type="dxa"/>
            <w:vAlign w:val="bottom"/>
            <w:tcBorders>
              <w:left w:val="single" w:sz="8" w:color="CCEEFF"/>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90"/>
        </w:trPr>
        <w:tc>
          <w:tcPr>
            <w:tcW w:w="5580" w:type="dxa"/>
            <w:vAlign w:val="bottom"/>
          </w:tcPr>
          <w:p>
            <w:pPr>
              <w:spacing w:after="0"/>
              <w:rPr>
                <w:sz w:val="20"/>
                <w:szCs w:val="20"/>
                <w:color w:val="auto"/>
              </w:rPr>
            </w:pPr>
            <w:r>
              <w:rPr>
                <w:rFonts w:ascii="Arial" w:cs="Arial" w:eastAsia="Arial" w:hAnsi="Arial"/>
                <w:sz w:val="18"/>
                <w:szCs w:val="18"/>
                <w:b w:val="1"/>
                <w:bCs w:val="1"/>
                <w:color w:val="auto"/>
              </w:rPr>
              <w:t>Indirect R&amp;D costs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Personnel-related (including stock compensation)</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320" w:type="dxa"/>
            <w:vAlign w:val="bottom"/>
            <w:tcBorders>
              <w:left w:val="single" w:sz="8" w:color="CCEEFF"/>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79"/>
        </w:trPr>
        <w:tc>
          <w:tcPr>
            <w:tcW w:w="5580" w:type="dxa"/>
            <w:vAlign w:val="bottom"/>
          </w:tcPr>
          <w:p>
            <w:pPr>
              <w:spacing w:after="0"/>
              <w:rPr>
                <w:sz w:val="20"/>
                <w:szCs w:val="20"/>
                <w:color w:val="auto"/>
              </w:rPr>
            </w:pPr>
            <w:r>
              <w:rPr>
                <w:rFonts w:ascii="Arial" w:cs="Arial" w:eastAsia="Arial" w:hAnsi="Arial"/>
                <w:sz w:val="18"/>
                <w:szCs w:val="18"/>
                <w:color w:val="auto"/>
              </w:rPr>
              <w:t>Outside services (including consulting)</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8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Lab and pharmacology supplies</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20" w:type="dxa"/>
            <w:vAlign w:val="bottom"/>
            <w:tcBorders>
              <w:left w:val="single" w:sz="8" w:color="CCEEFF"/>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9"/>
        </w:trPr>
        <w:tc>
          <w:tcPr>
            <w:tcW w:w="5580" w:type="dxa"/>
            <w:vAlign w:val="bottom"/>
          </w:tcPr>
          <w:p>
            <w:pPr>
              <w:spacing w:after="0"/>
              <w:rPr>
                <w:sz w:val="20"/>
                <w:szCs w:val="20"/>
                <w:color w:val="auto"/>
              </w:rPr>
            </w:pPr>
            <w:r>
              <w:rPr>
                <w:rFonts w:ascii="Arial" w:cs="Arial" w:eastAsia="Arial" w:hAnsi="Arial"/>
                <w:sz w:val="18"/>
                <w:szCs w:val="18"/>
                <w:color w:val="auto"/>
              </w:rPr>
              <w:t>Facilities-related (including depreciation)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320" w:type="dxa"/>
            <w:vAlign w:val="bottom"/>
            <w:tcBorders>
              <w:left w:val="single" w:sz="8" w:color="CCEEFF"/>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580" w:type="dxa"/>
            <w:vAlign w:val="bottom"/>
          </w:tcPr>
          <w:p>
            <w:pPr>
              <w:spacing w:after="0"/>
              <w:rPr>
                <w:sz w:val="20"/>
                <w:szCs w:val="20"/>
                <w:color w:val="auto"/>
              </w:rPr>
            </w:pPr>
            <w:r>
              <w:rPr>
                <w:rFonts w:ascii="Arial" w:cs="Arial" w:eastAsia="Arial" w:hAnsi="Arial"/>
                <w:sz w:val="18"/>
                <w:szCs w:val="18"/>
                <w:color w:val="auto"/>
              </w:rPr>
              <w:t>Total indirect R&amp;D costs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19,960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expenses</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w:t>
            </w:r>
          </w:p>
        </w:tc>
        <w:tc>
          <w:tcPr>
            <w:tcW w:w="320" w:type="dxa"/>
            <w:vAlign w:val="bottom"/>
            <w:tcBorders>
              <w:left w:val="single" w:sz="8" w:color="CCEEFF"/>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17,881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R&amp;D expenses were $19.3 million and $37.2 million for the years ended December 31, 2021 and 2022, respectively.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$17.9 million increase in R&amp;D expenses resulted from a $9.3 million increase in direct program costs, due in particular to the increase in</w:t>
      </w:r>
    </w:p>
    <w:p>
      <w:pPr>
        <w:ind w:left="120"/>
        <w:spacing w:after="0" w:line="234" w:lineRule="auto"/>
        <w:rPr>
          <w:sz w:val="20"/>
          <w:szCs w:val="20"/>
          <w:color w:val="auto"/>
        </w:rPr>
      </w:pPr>
      <w:r>
        <w:rPr>
          <w:rFonts w:ascii="Arial" w:cs="Arial" w:eastAsia="Arial" w:hAnsi="Arial"/>
          <w:sz w:val="18"/>
          <w:szCs w:val="18"/>
          <w:color w:val="auto"/>
        </w:rPr>
        <w:t>third-party service provider costs associated with our ecDTx development programs, a $4.9 million increase in personnel-related costs due</w:t>
      </w:r>
    </w:p>
    <w:p>
      <w:pPr>
        <w:ind w:left="120"/>
        <w:spacing w:after="0" w:line="235" w:lineRule="auto"/>
        <w:rPr>
          <w:sz w:val="20"/>
          <w:szCs w:val="20"/>
          <w:color w:val="auto"/>
        </w:rPr>
      </w:pPr>
      <w:r>
        <w:rPr>
          <w:rFonts w:ascii="Arial" w:cs="Arial" w:eastAsia="Arial" w:hAnsi="Arial"/>
          <w:sz w:val="18"/>
          <w:szCs w:val="18"/>
          <w:color w:val="auto"/>
        </w:rPr>
        <w:t>to an increase in headcount and additional stock compensation expense, a $1.4 million increase in rent expense due to moving into our</w:t>
      </w:r>
    </w:p>
    <w:p>
      <w:pPr>
        <w:ind w:left="120"/>
        <w:spacing w:after="0" w:line="235" w:lineRule="auto"/>
        <w:rPr>
          <w:sz w:val="20"/>
          <w:szCs w:val="20"/>
          <w:color w:val="auto"/>
        </w:rPr>
      </w:pPr>
      <w:r>
        <w:rPr>
          <w:rFonts w:ascii="Arial" w:cs="Arial" w:eastAsia="Arial" w:hAnsi="Arial"/>
          <w:sz w:val="18"/>
          <w:szCs w:val="18"/>
          <w:color w:val="auto"/>
        </w:rPr>
        <w:t>current facility, a $1.3 million increase in lab and pharmacology supplies, a $0.6 million increase in outside services costs, and a</w:t>
      </w:r>
    </w:p>
    <w:p>
      <w:pPr>
        <w:ind w:left="120"/>
        <w:spacing w:after="0"/>
        <w:rPr>
          <w:sz w:val="20"/>
          <w:szCs w:val="20"/>
          <w:color w:val="auto"/>
        </w:rPr>
      </w:pPr>
      <w:r>
        <w:rPr>
          <w:rFonts w:ascii="Arial" w:cs="Arial" w:eastAsia="Arial" w:hAnsi="Arial"/>
          <w:sz w:val="18"/>
          <w:szCs w:val="18"/>
          <w:color w:val="auto"/>
        </w:rPr>
        <w:t>$0.4 million increase in other costs and expenses.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left="120" w:right="380" w:firstLine="551"/>
        <w:spacing w:after="0" w:line="244" w:lineRule="auto"/>
        <w:rPr>
          <w:sz w:val="20"/>
          <w:szCs w:val="20"/>
          <w:color w:val="auto"/>
        </w:rPr>
      </w:pPr>
      <w:r>
        <w:rPr>
          <w:rFonts w:ascii="Arial" w:cs="Arial" w:eastAsia="Arial" w:hAnsi="Arial"/>
          <w:sz w:val="18"/>
          <w:szCs w:val="18"/>
          <w:color w:val="auto"/>
        </w:rPr>
        <w:t>General and administrative expenses were $6.0 million and $9.3 million for the years ended December 31, 2021 and 2022, respectively. The $3.3 million increase primarily resulted from a $1.5 million increase in personnel-related costs due primarily to an increase in headcount and salary increases. Our results for the year ended December 31, 2022 also reflect a $0.6 million of additional stock-based compensation expense, $0.5 million of additional legal and other professional costs, and $0.7 million increase in other operating costs and expenses.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was $91,000 and $568,000 for the years ended December 31, 2021 and 2022, respectively.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$477,000 increase resulted from additional income of $572,000 generated by our available-for-sale investment securities portfolio due to</w:t>
      </w:r>
    </w:p>
    <w:p>
      <w:pPr>
        <w:ind w:left="120"/>
        <w:spacing w:after="0" w:line="234" w:lineRule="auto"/>
        <w:rPr>
          <w:sz w:val="20"/>
          <w:szCs w:val="20"/>
          <w:color w:val="auto"/>
        </w:rPr>
      </w:pPr>
      <w:r>
        <w:rPr>
          <w:rFonts w:ascii="Arial" w:cs="Arial" w:eastAsia="Arial" w:hAnsi="Arial"/>
          <w:sz w:val="18"/>
          <w:szCs w:val="18"/>
          <w:color w:val="auto"/>
        </w:rPr>
        <w:t>the increase in market yields available for such securities, partially offset by a $51,000 increase in loss on disposal of fixed assets, and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$43,000 net realized loss on an available-for-sale investment.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Through September 30, 2023, we have raised a total of $253.5 million to fund our operations primarily from the gross proceeds from the sale and issuance of our convertible preferred stock.</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of September 30, 2023, we had cash, cash equivalents, and short-term investments of $132.7 million. Based upon our current operating plans, we believe that the estimated net proceeds from this offering, together with our existing cash, cash equivalents, and short-term investments, will be sufficient to fund our operations through at least the second half of 2025.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ecDTx, developing a patient selection diagnostic tool, and testing ecDTx in clinical trials is costly, and the timing of progress and expenses in these studies and trials is uncertain.</w:t>
      </w:r>
    </w:p>
    <w:p>
      <w:pPr>
        <w:spacing w:after="0" w:line="15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incurred significant operating losses since our inception and, as of September 30, 2023, we had an accumulated deficit of $124.0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are difficult to predict and depend on many factors, including but not limited to:</w:t>
      </w:r>
    </w:p>
    <w:p>
      <w:pPr>
        <w:spacing w:after="0" w:line="117" w:lineRule="exact"/>
        <w:rPr>
          <w:sz w:val="20"/>
          <w:szCs w:val="20"/>
          <w:color w:val="auto"/>
        </w:rPr>
      </w:pPr>
    </w:p>
    <w:p>
      <w:pPr>
        <w:ind w:left="1420" w:right="80" w:hanging="427"/>
        <w:spacing w:after="0" w:line="271"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initiation, type, number, scope, progress, expansions, results, costs, and timing of clinical trials and preclinical studies of our ecDTx that we are pursuing or may choose to</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spacing w:after="0" w:line="271" w:lineRule="auto"/>
        <w:rPr>
          <w:sz w:val="20"/>
          <w:szCs w:val="20"/>
          <w:color w:val="auto"/>
        </w:rPr>
      </w:pPr>
      <w:r>
        <w:rPr>
          <w:rFonts w:ascii="Arial" w:cs="Arial" w:eastAsia="Arial" w:hAnsi="Arial"/>
          <w:sz w:val="18"/>
          <w:szCs w:val="18"/>
          <w:color w:val="auto"/>
        </w:rPr>
        <w:t>pursue in the future, including the costs of any third-party products used as combination agents in our combination clinical trials;</w:t>
      </w:r>
    </w:p>
    <w:p>
      <w:pPr>
        <w:spacing w:after="0" w:line="59" w:lineRule="exact"/>
        <w:rPr>
          <w:sz w:val="20"/>
          <w:szCs w:val="20"/>
          <w:color w:val="auto"/>
        </w:rPr>
      </w:pPr>
    </w:p>
    <w:p>
      <w:pPr>
        <w:ind w:left="142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manufacturing for our ecDTx, including commercial manufacture at sufficient scale, if any ecDTx is approved;</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developing diagnostic tests, if required, and the outcome of their regulatory review;</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meetings and reviews of our ecDTx;</w:t>
      </w:r>
    </w:p>
    <w:p>
      <w:pPr>
        <w:spacing w:after="0" w:line="117" w:lineRule="exact"/>
        <w:rPr>
          <w:rFonts w:ascii="Arial" w:cs="Arial" w:eastAsia="Arial" w:hAnsi="Arial"/>
          <w:sz w:val="18"/>
          <w:szCs w:val="18"/>
          <w:color w:val="auto"/>
        </w:rPr>
      </w:pPr>
    </w:p>
    <w:p>
      <w:pPr>
        <w:ind w:left="1420" w:right="24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obtaining, maintaining, enforcing, and protecting our patents and other intellectual property and proprietary rights;</w:t>
      </w:r>
    </w:p>
    <w:p>
      <w:pPr>
        <w:spacing w:after="0" w:line="59" w:lineRule="exact"/>
        <w:rPr>
          <w:rFonts w:ascii="Arial" w:cs="Arial" w:eastAsia="Arial" w:hAnsi="Arial"/>
          <w:sz w:val="18"/>
          <w:szCs w:val="18"/>
          <w:color w:val="auto"/>
        </w:rPr>
      </w:pPr>
    </w:p>
    <w:p>
      <w:pPr>
        <w:ind w:left="1420" w:right="20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 over financial reporting;</w:t>
      </w:r>
    </w:p>
    <w:p>
      <w:pPr>
        <w:spacing w:after="0" w:line="59"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clinical and preclinical activities increase and as we operate as a public company;</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ecDTx is approved;</w:t>
      </w:r>
    </w:p>
    <w:p>
      <w:pPr>
        <w:spacing w:after="0" w:line="117" w:lineRule="exact"/>
        <w:rPr>
          <w:rFonts w:ascii="Arial" w:cs="Arial" w:eastAsia="Arial" w:hAnsi="Arial"/>
          <w:sz w:val="18"/>
          <w:szCs w:val="18"/>
          <w:color w:val="auto"/>
        </w:rPr>
      </w:pPr>
    </w:p>
    <w:p>
      <w:pPr>
        <w:ind w:left="1420" w:right="20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59" w:lineRule="exact"/>
        <w:rPr>
          <w:rFonts w:ascii="Arial" w:cs="Arial" w:eastAsia="Arial" w:hAnsi="Arial"/>
          <w:sz w:val="18"/>
          <w:szCs w:val="18"/>
          <w:color w:val="auto"/>
        </w:rPr>
      </w:pPr>
    </w:p>
    <w:p>
      <w:pPr>
        <w:ind w:left="1420" w:right="74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 and</w:t>
      </w:r>
    </w:p>
    <w:p>
      <w:pPr>
        <w:spacing w:after="0" w:line="117"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effects of competing technological and market developments as well as disruptions to and volatility in the credit and financial markets.</w:t>
      </w:r>
    </w:p>
    <w:p>
      <w:pPr>
        <w:spacing w:after="0" w:line="12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If we are unable to raise additional funds through equity or debt financings or other arrangements when needed, we may be required to delay, limit, reduce, or terminate our R&amp;D programs or other operations, or grant rights to develop and market ecDTx to third parties that we would otherwise prefer to develop and market ourselves, or on less favorable terms than we would otherwise choose.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2023 (Unaudited)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(29,413)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(35,169)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79"/>
        </w:trPr>
        <w:tc>
          <w:tcPr>
            <w:tcW w:w="5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7,768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(54,072)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8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99,281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99,190</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w:t>
            </w:r>
          </w:p>
        </w:tc>
        <w:tc>
          <w:tcPr>
            <w:tcW w:w="6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8"/>
                <w:szCs w:val="18"/>
                <w:color w:val="auto"/>
              </w:rPr>
              <w:t>cash</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(21,554)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10,040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31,594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Net cash used in operating activities was $29.4 million and $35.2 million for the nine months ended September 30, 2022 and 2023, respectively. The net cash used in operating activities during the nine months ended September 30, 2022 was primarily due to our reported net loss of $34.1 million, adjusted for non-cash charges (including stock-based compensation expense, depreciation, and right-of-use amortization) totaling $4.1 million and a $0.6 million decrease in our net operating assets. The net cash used in operating activities during the nine months ended September 30, 2023 was primarily due to our reported net loss of $37.3 million, adjusted for non-cash charges totaling $ 2.7 million, and a $0.6 million increase in our net operating assets. The increase in cash used in operating activities during the nine months ended September 30, 2023 in comparison to the nine months ended September 30, 2022 was primarily attributable to higher personnel-related costs and an increase in third-party spending associated with our discovery, development, and clinical activities.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Investing activities consist primarily of the cash flows from purchases and maturities of our investment securities and the cash outflow associated with purchases of property and equipment. During the nine-months ended September 30, 2022, investing activities consisted of the net inflow of funds of approximately $8.8 million from the liquidation of a portion of our available-for-sale securities portfolio and the outflow of funds from purchases of property and equipment of $1.0 million. During the nine months ended September 30, 2023, investing activities included the net outflow of funds of $53.7 million for purchases of available-for-sale securities and $0.4 million from purchases of property and equipment.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Our financing activities generally consist of the proceeds from the sale of our convertible preferred stock and common stock. Net cash provided by financing activities was $91,000 during the nine months ended September 30, 2022 as a result of the exercise of common stock options by our employees and consultants. Net cash provided by financing activities was $ 99.3 million during the nine months ended September 30, 2023, primarily due to the net proceeds of $99.7 million generated from the sale and issuance of our Series C convertible preferred stock in April and May 2023, net of payments for deferred IPO costs of $0.5 million incurred in the third quarter of 2023.</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2022</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(23,248)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79"/>
        </w:trPr>
        <w:tc>
          <w:tcPr>
            <w:tcW w:w="54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(59,285)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16,132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75,417</w:t>
            </w:r>
          </w:p>
        </w:tc>
        <w:tc>
          <w:tcPr>
            <w:tcW w:w="0" w:type="dxa"/>
            <w:vAlign w:val="bottom"/>
          </w:tcPr>
          <w:p>
            <w:pPr>
              <w:spacing w:after="0"/>
              <w:rPr>
                <w:sz w:val="1"/>
                <w:szCs w:val="1"/>
                <w:color w:val="auto"/>
              </w:rPr>
            </w:pPr>
          </w:p>
        </w:tc>
      </w:tr>
      <w:tr>
        <w:trPr>
          <w:trHeight w:val="288"/>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105,526</w:t>
            </w: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(105,400)</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w:t>
            </w:r>
          </w:p>
        </w:tc>
        <w:tc>
          <w:tcPr>
            <w:tcW w:w="6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80" w:type="dxa"/>
            <w:vAlign w:val="bottom"/>
          </w:tcPr>
          <w:p>
            <w:pPr>
              <w:ind w:left="18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22,993</w:t>
            </w:r>
          </w:p>
        </w:tc>
        <w:tc>
          <w:tcPr>
            <w:tcW w:w="4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(23,338)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(46,331)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Net cash used in operating activities was $23.2 million and $39.6 million for the years ended December 31, 2021 and 2022, respectively. The net cash used in operating activities during the year ended December 31, 2021 was primarily due to our reported net loss of $25.2 million and a $0.8 million increase in our net operating assets, adjusted for noncash charges (including stock-based compensation expense, depreciation, and right-of-use amortization) totaling $2.8 million. The net cash used in operating activities during the year ended December 31, 2022 was primarily due to our reported net loss of $45.9 million, net of noncash charges (including stock-based compensation expense, depreciation, and right-of-use asset amortization) totaling $5.4 million and a $0.9 million decrease of our net operating assets. The increase in cash used in operations during the year ended December 31, 2022 in comparison to the year ended December 31, 2021 was primarily attributable to higher personnel-related costs and an increase in third-party spending associated with our discovery, development, and clinical activities.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Investing activities consist primarily of the cash flows of purchases and maturities of investment securities and, to a lesser extent, the cash outflow associated with purchases of property and equipment. Such activities resulted in a net outflow of funds of approximately $59.3 million during the year ended December 31, 2021, primarily due to purchases of available-for-sale securities, and a net inflow of funds of $16.1 million during the year ended December 31, 2022, primarily from the net maturities of our available-for-sale securities portfolio.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left="120" w:right="120" w:firstLine="551"/>
        <w:spacing w:after="0" w:line="266" w:lineRule="auto"/>
        <w:rPr>
          <w:sz w:val="20"/>
          <w:szCs w:val="20"/>
          <w:color w:val="auto"/>
        </w:rPr>
      </w:pPr>
      <w:r>
        <w:rPr>
          <w:rFonts w:ascii="Arial" w:cs="Arial" w:eastAsia="Arial" w:hAnsi="Arial"/>
          <w:sz w:val="17"/>
          <w:szCs w:val="17"/>
          <w:color w:val="auto"/>
        </w:rPr>
        <w:t>Our financing activities generally consist of the proceeds from the sale of our convertible preferred stock and common stock. Net cash provided by financing activities were $105.5 million during the year ended December 31, 2021 primarily due to the net proceeds generated from the sale of our Series B convertible preferred stock in April 2021. Net cash provided by financing activities were $126,000 during the year ended December 31, 2022 as a result of the exercise of common stock options by our employees and consultants.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lease office and lab space under lease agreements with varying expiration dates through 2035. As of September 30, 2023, total future aggregate operating lease commitments was $76.6 million. During the normal course of our business, we enter into contracts for research and professional services, and for the purchase of lab supplies used in our research activities. These contracts generally provide for termination after a notice period, and, therefore, are cancelable contracts and not separately presented. Our net contractual obligations have not changed significantly subsequent to September 30, 2023.</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Since our inception, we did not have, and we do not currently have, any off-balance sheet arrangements as defined under rules and regulations of the SEC.</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Estimates and Judgments</w:t>
      </w:r>
    </w:p>
    <w:p>
      <w:pPr>
        <w:spacing w:after="0" w:line="10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ind w:left="120" w:right="300" w:firstLine="551"/>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financial statements included elsewhere in this prospectus, we believe the following accounting policies and estimates to be most critical to the preparation of our financial statements.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R&amp;D Expenses</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 part of the process of preparing our financial statements, we are required to estimate our accrued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R&amp;D expenses as of each balance sheet date based on facts and circumstances known to us at that time. The significant estimates in our accrued R&amp;D expenses include the costs incurred for services performed by our vendors in connection with services for which we have not yet been invoiced.</w:t>
      </w:r>
    </w:p>
    <w:p>
      <w:pPr>
        <w:spacing w:after="0" w:line="144"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28"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3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Stock-based compensation expense represents the cost of the estimated grant date fair value of stock option awards amortized over the requisite service period of the awards (usually the vesting period) on a straight-line basis. We estimate the fair value of all stock option grants using the Black-Scholes option pricing model and recognize forfeitures as they occur.</w:t>
      </w:r>
    </w:p>
    <w:p>
      <w:pPr>
        <w:spacing w:after="0" w:line="14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Estimating the fair value of equity awards at the grant date using valuation models, such as the Black-Scholes option pricing model, is affected by assumptions regarding a number of complex variables, including:</w:t>
      </w:r>
    </w:p>
    <w:p>
      <w:pPr>
        <w:spacing w:after="0" w:line="59" w:lineRule="exact"/>
        <w:rPr>
          <w:sz w:val="20"/>
          <w:szCs w:val="20"/>
          <w:color w:val="auto"/>
        </w:rPr>
      </w:pPr>
    </w:p>
    <w:p>
      <w:pPr>
        <w:ind w:left="1420" w:hanging="427"/>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“Determination of Fair Value of Our Common Stock” below.</w:t>
      </w:r>
    </w:p>
    <w:p>
      <w:pPr>
        <w:spacing w:after="0" w:line="117" w:lineRule="exact"/>
        <w:rPr>
          <w:rFonts w:ascii="Arial" w:cs="Arial" w:eastAsia="Arial" w:hAnsi="Arial"/>
          <w:sz w:val="18"/>
          <w:szCs w:val="18"/>
          <w:color w:val="auto"/>
        </w:rPr>
      </w:pPr>
    </w:p>
    <w:p>
      <w:pPr>
        <w:ind w:left="1420" w:right="80" w:hanging="427"/>
        <w:spacing w:after="0" w:line="24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Given that our common stock has been privately held prior to this offering, there has no active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for our common stock. The expected volatility assumption is based on volatilities of a peer group of similar companies whose share prices are publicly available. The peer group was developed based on companies in the biotechnology industry.</w:t>
      </w:r>
    </w:p>
    <w:p>
      <w:pPr>
        <w:spacing w:after="0" w:line="79" w:lineRule="exact"/>
        <w:rPr>
          <w:rFonts w:ascii="Arial" w:cs="Arial" w:eastAsia="Arial" w:hAnsi="Arial"/>
          <w:sz w:val="18"/>
          <w:szCs w:val="18"/>
          <w:color w:val="auto"/>
        </w:rPr>
      </w:pPr>
    </w:p>
    <w:p>
      <w:pPr>
        <w:ind w:left="1420" w:right="360" w:hanging="427"/>
        <w:spacing w:after="0" w:line="271"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We base the risk-free interest rate assumption on the U.S. Treasury’s rates for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bonds with maturities similar to those of the expected term of the award being valued.</w:t>
      </w:r>
    </w:p>
    <w:p>
      <w:pPr>
        <w:spacing w:after="0" w:line="59" w:lineRule="exact"/>
        <w:rPr>
          <w:rFonts w:ascii="Arial" w:cs="Arial" w:eastAsia="Arial" w:hAnsi="Arial"/>
          <w:sz w:val="18"/>
          <w:szCs w:val="18"/>
          <w:color w:val="auto"/>
        </w:rPr>
      </w:pPr>
    </w:p>
    <w:p>
      <w:pPr>
        <w:jc w:val="both"/>
        <w:ind w:left="1420" w:right="200" w:hanging="427"/>
        <w:spacing w:after="0" w:line="25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of time that options are expected to be outstanding.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have significant historical exercise behavior, we determine the expected life assumption using the “simplified” method, which is an average of the contractual term of the option and its vesting period.</w:t>
      </w:r>
    </w:p>
    <w:p>
      <w:pPr>
        <w:spacing w:after="0" w:line="74" w:lineRule="exact"/>
        <w:rPr>
          <w:rFonts w:ascii="Arial" w:cs="Arial" w:eastAsia="Arial" w:hAnsi="Arial"/>
          <w:sz w:val="18"/>
          <w:szCs w:val="18"/>
          <w:color w:val="auto"/>
        </w:rPr>
      </w:pPr>
    </w:p>
    <w:p>
      <w:pPr>
        <w:ind w:left="1420" w:right="260" w:hanging="427"/>
        <w:spacing w:after="0" w:line="271"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use an expected dividend yield of zero, as we have never paid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have no present intention of doing so in the foreseeable future.</w:t>
      </w:r>
    </w:p>
    <w:p>
      <w:pPr>
        <w:spacing w:after="0" w:line="113"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These inputs are subjective and generally require significant analysis and judgment to develop. Changes in these assumptions can materially affect the fair value and ultimately how much stock-based compensation expense is recognized.</w:t>
      </w:r>
    </w:p>
    <w:p>
      <w:pPr>
        <w:spacing w:after="0" w:line="113"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The intrinsic value of all outstanding options as of , 2024 was $ million based on the assumed initial public offering price of $ per share, which is the midpoint of the price range set forth on the cover of this prospectus, of which approximately $ was related to vested options and approximately $ was related to unvested options.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Fair Value of Our Common Stock</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convertible preferred stock to outside investors in arms-length transactions, and the superior rights, preferences,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privileges of the convertible preferred stock relative to the common stock at the time of each grant; the progress of our company’s R&amp;D programs, including their stages of development, and our company’s business strategy; external market and other conditions affecting the biotechnology industry, and trends within the biotechnology industry; our company’s financial position, including cash on hand, and our historical and forecasted performance and operating results; the lack of an active public market for our company’s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peer companies.</w:t>
      </w:r>
    </w:p>
    <w:p>
      <w:pPr>
        <w:spacing w:after="0" w:line="153"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 xml:space="preserve">These independent third-party valuations were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(Practice Aid).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Practice Aid identifies various available methods for allocating enterprise value across classes and series of capital stock to determine the estimated fair value of common stock at each valuation date.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Practice Aid, we considered the following methods:</w:t>
      </w:r>
    </w:p>
    <w:p>
      <w:pPr>
        <w:spacing w:after="0" w:line="117" w:lineRule="exact"/>
        <w:rPr>
          <w:sz w:val="20"/>
          <w:szCs w:val="20"/>
          <w:color w:val="auto"/>
        </w:rPr>
      </w:pPr>
    </w:p>
    <w:p>
      <w:pPr>
        <w:ind w:left="1420" w:right="60" w:hanging="427"/>
        <w:spacing w:after="0" w:line="244"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Option Pricing Method (OPM)</w:t>
      </w:r>
      <w:r>
        <w:rPr>
          <w:rFonts w:ascii="Arial" w:cs="Arial" w:eastAsia="Arial" w:hAnsi="Arial"/>
          <w:sz w:val="18"/>
          <w:szCs w:val="18"/>
          <w:color w:val="auto"/>
        </w:rPr>
        <w:t>. Under the OPM,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81" w:lineRule="exact"/>
        <w:rPr>
          <w:rFonts w:ascii="Arial" w:cs="Arial" w:eastAsia="Arial" w:hAnsi="Arial"/>
          <w:sz w:val="18"/>
          <w:szCs w:val="18"/>
          <w:color w:val="auto"/>
        </w:rPr>
      </w:pPr>
    </w:p>
    <w:p>
      <w:pPr>
        <w:jc w:val="both"/>
        <w:ind w:left="1420" w:hanging="427"/>
        <w:spacing w:after="0" w:line="25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Probability-Weighted Expected Return Method (PWERM)</w:t>
      </w:r>
      <w:r>
        <w:rPr>
          <w:rFonts w:ascii="Arial" w:cs="Arial" w:eastAsia="Arial" w:hAnsi="Arial"/>
          <w:sz w:val="18"/>
          <w:szCs w:val="18"/>
          <w:color w:val="auto"/>
        </w:rPr>
        <w:t>. The PWERM is a scenario-based analysis that estimates value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based on the probability-weighted present value of expected future investment returns, considering each of the possible outcomes available to us, as well as the economic and control rights of each share class.</w:t>
      </w:r>
    </w:p>
    <w:p>
      <w:pPr>
        <w:spacing w:after="0" w:line="74" w:lineRule="exact"/>
        <w:rPr>
          <w:rFonts w:ascii="Arial" w:cs="Arial" w:eastAsia="Arial" w:hAnsi="Arial"/>
          <w:sz w:val="18"/>
          <w:szCs w:val="18"/>
          <w:color w:val="auto"/>
        </w:rPr>
      </w:pPr>
    </w:p>
    <w:p>
      <w:pPr>
        <w:ind w:left="1420" w:right="180" w:hanging="427"/>
        <w:spacing w:after="0" w:line="25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Hybrid Method</w:t>
      </w:r>
      <w:r>
        <w:rPr>
          <w:rFonts w:ascii="Arial" w:cs="Arial" w:eastAsia="Arial" w:hAnsi="Arial"/>
          <w:sz w:val="18"/>
          <w:szCs w:val="18"/>
          <w:color w:val="auto"/>
        </w:rPr>
        <w:t>. The Hybrid Method is a hybrid between PWERM and OPM, where the equity value probability-weighted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value across multiple scenarios but using the OPM to estimate the allocation of value within one or more of those scenarios.</w:t>
      </w:r>
    </w:p>
    <w:p>
      <w:pPr>
        <w:spacing w:after="0" w:line="128"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Based on our early stage of development, the difficulty in predicting the range of specific outcomes (and their likelihood), and other relevant factors, a Hybrid Method computing the probability-weighted value across two scenarios: the Current Value Method (CVM) scenario and the OPM scenario, was considered most appropriate for valuations prior to 2022. For options granted after April 5, 2023, the Hybrid Method was determined to be the most appropriate valuation methodology due to the significant deterioration in the macro-economic environment within the biopharma industry.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58"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other liquidity event, and the determination of the appropriate valuation methods. If we had made different assumptions, our stock-based compensation expense, net loss, and net loss per share of common stock could have been significantly different.</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left="120" w:right="900" w:firstLine="551"/>
        <w:spacing w:after="0" w:line="271" w:lineRule="auto"/>
        <w:rPr>
          <w:sz w:val="20"/>
          <w:szCs w:val="20"/>
          <w:color w:val="auto"/>
        </w:rPr>
      </w:pPr>
      <w:r>
        <w:rPr>
          <w:rFonts w:ascii="Arial" w:cs="Arial" w:eastAsia="Arial" w:hAnsi="Arial"/>
          <w:sz w:val="18"/>
          <w:szCs w:val="18"/>
          <w:color w:val="auto"/>
        </w:rPr>
        <w:t>See Note 2 to our audited financial statements and unaudited condensed financial statements included elsewhere in this prospectus for recently adopted accounting pronouncements.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cash, cash equivalents, and short-term investments consist of cash held in readily available checking and money market accounts, as well as short-term debt securities. We are exposed to market risk related to fluctuations in interest rates and market prices. Our primary exposure to market risk is interest rate sensitivity, which is affected by changes in the general level of United States interest rates. However, because of the short-term nature of the instruments in our portfolio, a sudden change in market interest rates would not be expected to have a material impact on our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2" w:lineRule="exact"/>
        <w:rPr>
          <w:sz w:val="20"/>
          <w:szCs w:val="20"/>
          <w:color w:val="auto"/>
        </w:rPr>
      </w:pPr>
    </w:p>
    <w:p>
      <w:pPr>
        <w:ind w:left="120" w:right="460" w:firstLine="551"/>
        <w:spacing w:after="0" w:line="301" w:lineRule="auto"/>
        <w:rPr>
          <w:sz w:val="20"/>
          <w:szCs w:val="20"/>
          <w:color w:val="auto"/>
        </w:rPr>
      </w:pPr>
      <w:r>
        <w:rPr>
          <w:rFonts w:ascii="Arial" w:cs="Arial" w:eastAsia="Arial" w:hAnsi="Arial"/>
          <w:sz w:val="17"/>
          <w:szCs w:val="17"/>
          <w:color w:val="auto"/>
        </w:rPr>
        <w:t>We contract with vendors in foreign countries, including countries in Europe and the Asia Pacific. We are therefore subject to fluctuations in foreign currency rates in connection with these agreements. We do not hedge our foreign currency exchange rate risk.</w:t>
      </w:r>
    </w:p>
    <w:p>
      <w:pPr>
        <w:spacing w:after="0" w:line="10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Net realized and unrealized gains and losses from foreign currency transactions are reported in other income (expense), net, in the statements of operations and comprehensive loss. The impact of foreign currency costs on our operations have been negligible for all periods presented.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02"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As an emerging growth company under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Sarbanes-Oxley.</w:t>
      </w:r>
    </w:p>
    <w:p>
      <w:pPr>
        <w:spacing w:after="0" w:line="14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this offering; (ii) the last day of the fiscal year in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7" w:lineRule="exact"/>
        <w:rPr>
          <w:sz w:val="20"/>
          <w:szCs w:val="20"/>
          <w:color w:val="auto"/>
        </w:rPr>
      </w:pPr>
    </w:p>
    <w:p>
      <w:pPr>
        <w:ind w:left="120" w:right="300" w:firstLine="551"/>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color w:val="auto"/>
        </w:rPr>
        <w:t>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w:t>
      </w:r>
    </w:p>
    <w:p>
      <w:pPr>
        <w:spacing w:after="0" w:line="13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w:t>
      </w:r>
    </w:p>
    <w:p>
      <w:pPr>
        <w:spacing w:after="0" w:line="140"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 xml:space="preserve">ovel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nterrupting </w:t>
      </w:r>
      <w:r>
        <w:rPr>
          <w:rFonts w:ascii="Arial" w:cs="Arial" w:eastAsia="Arial" w:hAnsi="Arial"/>
          <w:sz w:val="17"/>
          <w:szCs w:val="17"/>
          <w:u w:val="single" w:color="auto"/>
          <w:color w:val="auto"/>
        </w:rPr>
        <w:t>A</w:t>
      </w:r>
      <w:r>
        <w:rPr>
          <w:rFonts w:ascii="Arial" w:cs="Arial" w:eastAsia="Arial" w:hAnsi="Arial"/>
          <w:sz w:val="17"/>
          <w:szCs w:val="17"/>
          <w:color w:val="auto"/>
        </w:rPr>
        <w:t xml:space="preserve">mplifications </w:t>
      </w:r>
      <w:r>
        <w:rPr>
          <w:rFonts w:ascii="Arial" w:cs="Arial" w:eastAsia="Arial" w:hAnsi="Arial"/>
          <w:sz w:val="17"/>
          <w:szCs w:val="17"/>
          <w:u w:val="single" w:color="auto"/>
          <w:color w:val="auto"/>
        </w:rPr>
        <w:t>T</w:t>
      </w:r>
      <w:r>
        <w:rPr>
          <w:rFonts w:ascii="Arial" w:cs="Arial" w:eastAsia="Arial" w:hAnsi="Arial"/>
          <w:sz w:val="17"/>
          <w:szCs w:val="17"/>
          <w:color w:val="auto"/>
        </w:rPr>
        <w:t xml:space="preserve">ied to </w:t>
      </w:r>
      <w:r>
        <w:rPr>
          <w:rFonts w:ascii="Arial" w:cs="Arial" w:eastAsia="Arial" w:hAnsi="Arial"/>
          <w:sz w:val="17"/>
          <w:szCs w:val="17"/>
          <w:u w:val="single" w:color="auto"/>
          <w:color w:val="auto"/>
        </w:rPr>
        <w:t>e</w:t>
      </w:r>
      <w:r>
        <w:rPr>
          <w:rFonts w:ascii="Arial" w:cs="Arial" w:eastAsia="Arial" w:hAnsi="Arial"/>
          <w:sz w:val="17"/>
          <w:szCs w:val="17"/>
          <w:color w:val="auto"/>
        </w:rPr>
        <w:t>cDNA). We expect to have preliminary clinical proof of concept safety and anti-tumor activity data of BBI-355 as a single agent and in combination with targeted</w:t>
      </w:r>
    </w:p>
    <w:p>
      <w:pPr>
        <w:ind w:left="120"/>
        <w:spacing w:after="0" w:line="234" w:lineRule="auto"/>
        <w:rPr>
          <w:sz w:val="20"/>
          <w:szCs w:val="20"/>
          <w:color w:val="auto"/>
        </w:rPr>
      </w:pPr>
      <w:r>
        <w:rPr>
          <w:rFonts w:ascii="Arial" w:cs="Arial" w:eastAsia="Arial" w:hAnsi="Arial"/>
          <w:sz w:val="18"/>
          <w:szCs w:val="18"/>
          <w:color w:val="auto"/>
        </w:rPr>
        <w:t>therapies from the POTENTIATE trial in the , including approximately total enrolled patients (single agent cohorts N=~ , combination cohorts N=~ ). We believe BBI-355 is the first ecDNA-directed therapeutic candidate in clinical</w:t>
      </w:r>
    </w:p>
    <w:p>
      <w:pPr>
        <w:spacing w:after="0" w:line="1" w:lineRule="exact"/>
        <w:rPr>
          <w:sz w:val="20"/>
          <w:szCs w:val="20"/>
          <w:color w:val="auto"/>
        </w:rPr>
      </w:pPr>
    </w:p>
    <w:p>
      <w:pPr>
        <w:ind w:left="120" w:right="20"/>
        <w:spacing w:after="0" w:line="227" w:lineRule="auto"/>
        <w:rPr>
          <w:sz w:val="20"/>
          <w:szCs w:val="20"/>
          <w:color w:val="auto"/>
        </w:rPr>
      </w:pPr>
      <w:r>
        <w:rPr>
          <w:rFonts w:ascii="Arial" w:cs="Arial" w:eastAsia="Arial" w:hAnsi="Arial"/>
          <w:sz w:val="18"/>
          <w:szCs w:val="18"/>
          <w:color w:val="auto"/>
        </w:rPr>
        <w:t>development. Our second ecDTx, BBI-825, is a novel, oral, selective inhibitor of ribonucleotide reductase (RNR), which is essential for ecDNA assembly and repair in cancer cells. BBI-825 demonstrated RNR inhibition and tumor regressions in amplification-enabled preclinical cancer models. In January 2024, we received allowance from the FDA to initiate a first-in-human, Phase 1/2 clinical trial of BBI-825 in patients with resistance gene amplifications. We refer to this trial as STARMAP (Study Treating Acquired Resistance: MAPK</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1"/>
        </w:trPr>
        <w:tc>
          <w:tcPr>
            <w:tcW w:w="5360" w:type="dxa"/>
            <w:vAlign w:val="bottom"/>
          </w:tcPr>
          <w:p>
            <w:pPr>
              <w:spacing w:after="0" w:line="170" w:lineRule="exact"/>
              <w:rPr>
                <w:sz w:val="20"/>
                <w:szCs w:val="20"/>
                <w:color w:val="auto"/>
              </w:rPr>
            </w:pPr>
            <w:r>
              <w:rPr>
                <w:rFonts w:ascii="Arial" w:cs="Arial" w:eastAsia="Arial" w:hAnsi="Arial"/>
                <w:sz w:val="18"/>
                <w:szCs w:val="18"/>
                <w:color w:val="auto"/>
              </w:rPr>
              <w:t>Amplifications), and we expect to initiate the STARMAP trial in</w:t>
            </w:r>
          </w:p>
        </w:tc>
        <w:tc>
          <w:tcPr>
            <w:tcW w:w="5440" w:type="dxa"/>
            <w:vAlign w:val="bottom"/>
            <w:gridSpan w:val="11"/>
          </w:tcPr>
          <w:p>
            <w:pPr>
              <w:ind w:left="420"/>
              <w:spacing w:after="0" w:line="170" w:lineRule="exact"/>
              <w:rPr>
                <w:sz w:val="20"/>
                <w:szCs w:val="20"/>
                <w:color w:val="auto"/>
              </w:rPr>
            </w:pPr>
            <w:r>
              <w:rPr>
                <w:rFonts w:ascii="Arial" w:cs="Arial" w:eastAsia="Arial" w:hAnsi="Arial"/>
                <w:sz w:val="18"/>
                <w:szCs w:val="18"/>
                <w:color w:val="auto"/>
              </w:rPr>
              <w:t>. We expect to have preliminary clinical proof of concept safety</w:t>
            </w:r>
          </w:p>
        </w:tc>
      </w:tr>
      <w:tr>
        <w:trPr>
          <w:trHeight w:val="220"/>
        </w:trPr>
        <w:tc>
          <w:tcPr>
            <w:tcW w:w="8880" w:type="dxa"/>
            <w:vAlign w:val="bottom"/>
            <w:gridSpan w:val="8"/>
          </w:tcPr>
          <w:p>
            <w:pPr>
              <w:spacing w:after="0"/>
              <w:rPr>
                <w:sz w:val="20"/>
                <w:szCs w:val="20"/>
                <w:color w:val="auto"/>
              </w:rPr>
            </w:pPr>
            <w:r>
              <w:rPr>
                <w:rFonts w:ascii="Arial" w:cs="Arial" w:eastAsia="Arial" w:hAnsi="Arial"/>
                <w:sz w:val="18"/>
                <w:szCs w:val="18"/>
                <w:color w:val="auto"/>
              </w:rPr>
              <w:t>and anti-tumor activity data of BBI-825 in combination with targeted therapies from the STARMAP trial in the</w:t>
            </w:r>
          </w:p>
        </w:tc>
        <w:tc>
          <w:tcPr>
            <w:tcW w:w="140" w:type="dxa"/>
            <w:vAlign w:val="bottom"/>
          </w:tcPr>
          <w:p>
            <w:pPr>
              <w:spacing w:after="0"/>
              <w:rPr>
                <w:sz w:val="19"/>
                <w:szCs w:val="19"/>
                <w:color w:val="auto"/>
              </w:rPr>
            </w:pPr>
          </w:p>
        </w:tc>
        <w:tc>
          <w:tcPr>
            <w:tcW w:w="1780" w:type="dxa"/>
            <w:vAlign w:val="bottom"/>
            <w:gridSpan w:val="3"/>
          </w:tcPr>
          <w:p>
            <w:pPr>
              <w:ind w:left="420"/>
              <w:spacing w:after="0"/>
              <w:rPr>
                <w:sz w:val="20"/>
                <w:szCs w:val="20"/>
                <w:color w:val="auto"/>
              </w:rPr>
            </w:pPr>
            <w:r>
              <w:rPr>
                <w:rFonts w:ascii="Arial" w:cs="Arial" w:eastAsia="Arial" w:hAnsi="Arial"/>
                <w:sz w:val="18"/>
                <w:szCs w:val="18"/>
                <w:color w:val="auto"/>
                <w:w w:val="97"/>
              </w:rPr>
              <w:t>. Our third ecDTx</w:t>
            </w:r>
          </w:p>
        </w:tc>
      </w:tr>
    </w:tbl>
    <w:p>
      <w:pPr>
        <w:ind w:left="120" w:right="80"/>
        <w:spacing w:after="0" w:line="250" w:lineRule="auto"/>
        <w:rPr>
          <w:sz w:val="20"/>
          <w:szCs w:val="20"/>
          <w:color w:val="auto"/>
        </w:rPr>
      </w:pPr>
      <w:r>
        <w:rPr>
          <w:rFonts w:ascii="Arial" w:cs="Arial" w:eastAsia="Arial" w:hAnsi="Arial"/>
          <w:sz w:val="18"/>
          <w:szCs w:val="18"/>
          <w:color w:val="auto"/>
        </w:rPr>
        <w:t>program is directed at a previously undrugged kinesin target essential for ecDNA segregation and inheritance during cell division. We are advancing our third ecDTx program through drug discovery to candidate identification and into clinical development.</w:t>
      </w:r>
    </w:p>
    <w:p>
      <w:pPr>
        <w:spacing w:after="0" w:line="145"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To assist in identifying patients that may benefit from our ecDTx, we have developed an ecDNA diagnostic, which we internally call ECHO (</w:t>
      </w:r>
      <w:r>
        <w:rPr>
          <w:rFonts w:ascii="Arial" w:cs="Arial" w:eastAsia="Arial" w:hAnsi="Arial"/>
          <w:sz w:val="18"/>
          <w:szCs w:val="18"/>
          <w:u w:val="single" w:color="auto"/>
          <w:color w:val="auto"/>
        </w:rPr>
        <w:t>ec</w:t>
      </w:r>
      <w:r>
        <w:rPr>
          <w:rFonts w:ascii="Arial" w:cs="Arial" w:eastAsia="Arial" w:hAnsi="Arial"/>
          <w:sz w:val="18"/>
          <w:szCs w:val="18"/>
          <w:color w:val="auto"/>
        </w:rPr>
        <w:t xml:space="preserve">DNA </w:t>
      </w:r>
      <w:r>
        <w:rPr>
          <w:rFonts w:ascii="Arial" w:cs="Arial" w:eastAsia="Arial" w:hAnsi="Arial"/>
          <w:sz w:val="18"/>
          <w:szCs w:val="18"/>
          <w:u w:val="single" w:color="auto"/>
          <w:color w:val="auto"/>
        </w:rPr>
        <w:t>H</w:t>
      </w:r>
      <w:r>
        <w:rPr>
          <w:rFonts w:ascii="Arial" w:cs="Arial" w:eastAsia="Arial" w:hAnsi="Arial"/>
          <w:sz w:val="18"/>
          <w:szCs w:val="18"/>
          <w:color w:val="auto"/>
        </w:rPr>
        <w:t xml:space="preserve">arboring </w:t>
      </w:r>
      <w:r>
        <w:rPr>
          <w:rFonts w:ascii="Arial" w:cs="Arial" w:eastAsia="Arial" w:hAnsi="Arial"/>
          <w:sz w:val="18"/>
          <w:szCs w:val="18"/>
          <w:u w:val="single" w:color="auto"/>
          <w:color w:val="auto"/>
        </w:rPr>
        <w:t>O</w:t>
      </w:r>
      <w:r>
        <w:rPr>
          <w:rFonts w:ascii="Arial" w:cs="Arial" w:eastAsia="Arial" w:hAnsi="Arial"/>
          <w:sz w:val="18"/>
          <w:szCs w:val="18"/>
          <w:color w:val="auto"/>
        </w:rPr>
        <w:t>ncogenes), to detect ecDNA in patient tumor samples. This test analyzes the genomic data output from routine next-generation sequencing (NGS) assays that are commonly used by commercial reference and academic laboratories to profile</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 xml:space="preserve">patient tumor samples. We are working with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company to develop this diagnostic test into a clinical trial assay, which we intend to use in our ongoing Phase 1/2 POTENTIATE clinical trial.</w:t>
      </w:r>
    </w:p>
    <w:p>
      <w:pPr>
        <w:spacing w:after="0" w:line="127"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w:t>
      </w:r>
    </w:p>
    <w:p>
      <w:pPr>
        <w:spacing w:after="0" w:line="13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w:t>
      </w:r>
    </w:p>
    <w:p>
      <w:pPr>
        <w:spacing w:after="0" w:line="4" w:lineRule="exact"/>
        <w:rPr>
          <w:sz w:val="20"/>
          <w:szCs w:val="20"/>
          <w:color w:val="auto"/>
        </w:rPr>
      </w:pPr>
    </w:p>
    <w:p>
      <w:pPr>
        <w:ind w:left="120" w:right="400"/>
        <w:spacing w:after="0" w:line="250" w:lineRule="auto"/>
        <w:rPr>
          <w:sz w:val="20"/>
          <w:szCs w:val="20"/>
          <w:color w:val="auto"/>
        </w:rPr>
      </w:pPr>
      <w:r>
        <w:rPr>
          <w:rFonts w:ascii="Arial" w:cs="Arial" w:eastAsia="Arial" w:hAnsi="Arial"/>
          <w:sz w:val="18"/>
          <w:szCs w:val="18"/>
          <w:color w:val="auto"/>
        </w:rPr>
        <w:t>Dr. Mischel is the Chairman of our Scientific Advisory Board. We leverage this unique expertise to identify new cancer targets that are synthetic lethal in ecDNA-bearing cancer cells and to develop new medicines for patients with oncogene amplified cancers.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Pipeline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2768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 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 xml:space="preserve">chronic intermittent dosing, which we believe is critical for targeting ecDNA biology. BBI-355 showed inhibition of CHK1 in a host of tumor cell lines and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across multiple oncogene amplification tumor settings. We expect to have preliminary clinical proof of concept safety and anti-tumor activity data of BBI-355 as a single agent and in combination with</w:t>
      </w:r>
    </w:p>
    <w:p>
      <w:pPr>
        <w:ind w:left="120" w:right="20"/>
        <w:spacing w:after="0" w:line="250" w:lineRule="auto"/>
        <w:rPr>
          <w:sz w:val="20"/>
          <w:szCs w:val="20"/>
          <w:color w:val="auto"/>
        </w:rPr>
      </w:pPr>
      <w:r>
        <w:rPr>
          <w:rFonts w:ascii="Arial" w:cs="Arial" w:eastAsia="Arial" w:hAnsi="Arial"/>
          <w:sz w:val="18"/>
          <w:szCs w:val="18"/>
          <w:color w:val="auto"/>
        </w:rPr>
        <w:t>targeted therapies from our ongoing POTENTIATE clinical trial in the , including approximately total enrolled patients (single agent cohorts N=~ , combination cohorts N=~ ).</w:t>
      </w:r>
    </w:p>
    <w:p>
      <w:pPr>
        <w:spacing w:after="0" w:line="145"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second ecDTx, BBI-825, is a novel, oral, selective small molecule RNR inhibitor. In January 2024, we received allowance from the FDA to initiate the first-in-human, Phase 1/2 STARMAP clinical trial in patients with resistance gene amplifications. We expect to</w:t>
      </w:r>
    </w:p>
    <w:p>
      <w:pPr>
        <w:ind w:left="120" w:right="80"/>
        <w:spacing w:after="0" w:line="223" w:lineRule="auto"/>
        <w:rPr>
          <w:sz w:val="20"/>
          <w:szCs w:val="20"/>
          <w:color w:val="auto"/>
        </w:rPr>
      </w:pPr>
      <w:r>
        <w:rPr>
          <w:rFonts w:ascii="Arial" w:cs="Arial" w:eastAsia="Arial" w:hAnsi="Arial"/>
          <w:sz w:val="18"/>
          <w:szCs w:val="18"/>
          <w:color w:val="auto"/>
        </w:rPr>
        <w:t xml:space="preserve">initiate the STARMAP trial in . RNR is a rate-limiting enzyme responsible for cellular production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ecDNA-bearing cancer models. 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single agent tumor growth inhibition and synergistic activity, including tumor regressions, when combined with specific targeted therapies in amplification-enabled tumor models, in particular, cancer models that develop resistance amplifications in response to mitogen activated protein kinase (MAPK) pathway targeting therapies, such as BRAF</w:t>
      </w:r>
      <w:r>
        <w:rPr>
          <w:rFonts w:ascii="Arial" w:cs="Arial" w:eastAsia="Arial" w:hAnsi="Arial"/>
          <w:sz w:val="26"/>
          <w:szCs w:val="26"/>
          <w:color w:val="auto"/>
          <w:vertAlign w:val="superscript"/>
        </w:rPr>
        <w:t>V600</w:t>
      </w:r>
      <w:r>
        <w:rPr>
          <w:rFonts w:ascii="Arial" w:cs="Arial" w:eastAsia="Arial" w:hAnsi="Arial"/>
          <w:sz w:val="18"/>
          <w:szCs w:val="18"/>
          <w:color w:val="auto"/>
        </w:rPr>
        <w:t xml:space="preserve"> and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inhibitors. We expect to have preliminary clinical proof of concept safety and anti-tumor activity data of BBI-825</w:t>
      </w:r>
    </w:p>
    <w:p>
      <w:pPr>
        <w:spacing w:after="0" w:line="6" w:lineRule="exact"/>
        <w:rPr>
          <w:sz w:val="20"/>
          <w:szCs w:val="20"/>
          <w:color w:val="auto"/>
        </w:rPr>
      </w:pPr>
    </w:p>
    <w:p>
      <w:pPr>
        <w:ind w:left="120"/>
        <w:spacing w:after="0"/>
        <w:tabs>
          <w:tab w:leader="none" w:pos="7020" w:val="left"/>
        </w:tabs>
        <w:rPr>
          <w:sz w:val="20"/>
          <w:szCs w:val="20"/>
          <w:color w:val="auto"/>
        </w:rPr>
      </w:pPr>
      <w:r>
        <w:rPr>
          <w:rFonts w:ascii="Arial" w:cs="Arial" w:eastAsia="Arial" w:hAnsi="Arial"/>
          <w:sz w:val="18"/>
          <w:szCs w:val="18"/>
          <w:color w:val="auto"/>
        </w:rPr>
        <w:t>in combination with targeted therapies from the STARMAP clinical trial in the</w:t>
      </w:r>
      <w:r>
        <w:rPr>
          <w:sz w:val="20"/>
          <w:szCs w:val="20"/>
          <w:color w:val="auto"/>
        </w:rPr>
        <w:tab/>
      </w:r>
      <w:r>
        <w:rPr>
          <w:rFonts w:ascii="Arial" w:cs="Arial" w:eastAsia="Arial" w:hAnsi="Arial"/>
          <w:sz w:val="13"/>
          <w:szCs w:val="13"/>
          <w:color w:val="auto"/>
        </w:rPr>
        <w:t>.</w:t>
      </w:r>
    </w:p>
    <w:p>
      <w:pPr>
        <w:spacing w:after="0" w:line="153"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into clinical development.</w:t>
      </w:r>
    </w:p>
    <w:p>
      <w:pPr>
        <w:spacing w:after="0" w:line="133"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unique approach to developing ecDTx has many potential benefits for patients, including:</w:t>
      </w:r>
    </w:p>
    <w:p>
      <w:pPr>
        <w:spacing w:after="0" w:line="117" w:lineRule="exact"/>
        <w:rPr>
          <w:sz w:val="20"/>
          <w:szCs w:val="20"/>
          <w:color w:val="auto"/>
        </w:rPr>
      </w:pPr>
    </w:p>
    <w:p>
      <w:pPr>
        <w:ind w:left="1420" w:hanging="427"/>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addressing oncogene amplified cancers, a type of cancer without effective treatment options;</w:t>
      </w:r>
    </w:p>
    <w:p>
      <w:pPr>
        <w:spacing w:after="0" w:line="117"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patients whose tumors have ecDNA and are likely to benefit from our ecDTx by using our proprietary ecDNA diagnostic; and</w:t>
      </w:r>
    </w:p>
    <w:p>
      <w:pPr>
        <w:spacing w:after="0" w:line="59" w:lineRule="exact"/>
        <w:rPr>
          <w:rFonts w:ascii="Arial" w:cs="Arial" w:eastAsia="Arial" w:hAnsi="Arial"/>
          <w:sz w:val="18"/>
          <w:szCs w:val="18"/>
          <w:color w:val="auto"/>
        </w:rPr>
      </w:pPr>
    </w:p>
    <w:p>
      <w:pPr>
        <w:ind w:left="1420" w:right="460" w:hanging="427"/>
        <w:spacing w:after="0" w:line="271"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employing a tumor-agnostic development strategy, focusing on oncogene amplified cancers across a broad range of tumor types and amplified oncogene drivers.</w:t>
      </w:r>
    </w:p>
    <w:p>
      <w:pPr>
        <w:spacing w:after="0" w:line="11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w:t>
      </w:r>
    </w:p>
    <w:p>
      <w:pPr>
        <w:spacing w:after="0" w:line="84" w:lineRule="exact"/>
        <w:rPr>
          <w:sz w:val="20"/>
          <w:szCs w:val="20"/>
          <w:color w:val="auto"/>
        </w:rPr>
      </w:pPr>
    </w:p>
    <w:p>
      <w:pPr>
        <w:ind w:left="1420" w:hanging="427"/>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Advance our lead ecDTx, BBI-355, a CHK1 inhibitor, through clinical development and regulatory approval in patients with oncogene amplified cancers enabled by ecDNA</w:t>
      </w:r>
      <w:r>
        <w:rPr>
          <w:rFonts w:ascii="Arial" w:cs="Arial" w:eastAsia="Arial" w:hAnsi="Arial"/>
          <w:sz w:val="18"/>
          <w:szCs w:val="18"/>
          <w:color w:val="auto"/>
        </w:rPr>
        <w:t>. We believe that with the optimized biochemical profile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BBI-355, including its oral route of administration, along with our differentiated precision oncology development strategy and approach to identify patients with oncogene amplifications on ecDNA using our ecDNA diagnostic, we can overcome the historical challenges encountered with prior CHK1 inhibitors. As of January 10, 2024, we have enrolled 19 patients in our Phase 1/2 POTENTIATE clinical trial of BBI-355 in patients with oncogene amplified cancers, and we expect to have preliminary clinical proof of concept safety and anti-tumor activity data of BBI-355 as a single agent and in combination</w:t>
      </w:r>
    </w:p>
    <w:p>
      <w:pPr>
        <w:sectPr>
          <w:pgSz w:w="11900" w:h="16838" w:orient="portrait"/>
          <w:cols w:equalWidth="0" w:num="1">
            <w:col w:w="11120"/>
          </w:cols>
          <w:pgMar w:left="320" w:top="455" w:right="459" w:bottom="1440" w:gutter="0" w:footer="0" w:header="0"/>
        </w:sectPr>
      </w:pPr>
    </w:p>
    <w:p>
      <w:pPr>
        <w:spacing w:after="0" w:line="3" w:lineRule="exact"/>
        <w:rPr>
          <w:sz w:val="20"/>
          <w:szCs w:val="20"/>
          <w:color w:val="auto"/>
        </w:rPr>
      </w:pPr>
    </w:p>
    <w:p>
      <w:pPr>
        <w:ind w:left="1420" w:right="200"/>
        <w:spacing w:after="0" w:line="234" w:lineRule="auto"/>
        <w:rPr>
          <w:sz w:val="20"/>
          <w:szCs w:val="20"/>
          <w:color w:val="auto"/>
        </w:rPr>
      </w:pPr>
      <w:r>
        <w:rPr>
          <w:rFonts w:ascii="Arial" w:cs="Arial" w:eastAsia="Arial" w:hAnsi="Arial"/>
          <w:sz w:val="18"/>
          <w:szCs w:val="18"/>
          <w:color w:val="auto"/>
        </w:rPr>
        <w:t>with targeted therapies from the POTENTIATE trial in the , including approximately total enrolled patients (single agent cohorts N=~ , combination cohorts N=~ ).</w:t>
      </w:r>
    </w:p>
    <w:p>
      <w:pPr>
        <w:sectPr>
          <w:pgSz w:w="11900" w:h="16838" w:orient="portrait"/>
          <w:cols w:equalWidth="0" w:num="1">
            <w:col w:w="11120"/>
          </w:cols>
          <w:pgMar w:left="320" w:top="455" w:right="459" w:bottom="1440" w:gutter="0" w:footer="0" w:header="0"/>
          <w:type w:val="continuous"/>
        </w:sectPr>
      </w:pPr>
    </w:p>
    <w:p>
      <w:pPr>
        <w:spacing w:after="0" w:line="89" w:lineRule="exact"/>
        <w:rPr>
          <w:sz w:val="20"/>
          <w:szCs w:val="20"/>
          <w:color w:val="auto"/>
        </w:rPr>
      </w:pPr>
    </w:p>
    <w:p>
      <w:pPr>
        <w:ind w:left="1420" w:hanging="427"/>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Advance our second ecDTx, BBI-825, an RNR inhibitor through clinical development and regulatory approval in patients whose cancers harbor resistance amplifications</w:t>
      </w:r>
      <w:r>
        <w:rPr>
          <w:rFonts w:ascii="Arial" w:cs="Arial" w:eastAsia="Arial" w:hAnsi="Arial"/>
          <w:sz w:val="18"/>
          <w:szCs w:val="18"/>
          <w:color w:val="auto"/>
        </w:rPr>
        <w:t>. We believe that an oral RNR inhibitor intentionally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RNR selectivity would be significantly differentiated from prior, non-selective RNR inhibitors, such as gemcitabine. In preclinical models, BBI-825 demonstrated RNR selectivity as well as inhibition of RNR. BBI-825 demonstrated tumor growth inhibition in both the prevention and treatment of amplification-mediated resistance in MAPK pathway-activated tumors in preclinical studies. In January 2024, we received allowance from the FDA to initiate the first-in-human, Phase 1/2 STARMAP clinical trial of BBI-825 in patients with resistance gene amplifications. We expect to initiate the STARMAP</w:t>
      </w:r>
    </w:p>
    <w:p>
      <w:pPr>
        <w:sectPr>
          <w:pgSz w:w="11900" w:h="16838" w:orient="portrait"/>
          <w:cols w:equalWidth="0" w:num="1">
            <w:col w:w="11120"/>
          </w:cols>
          <w:pgMar w:left="320" w:top="455" w:right="459" w:bottom="1440" w:gutter="0" w:footer="0" w:header="0"/>
          <w:type w:val="continuous"/>
        </w:sectPr>
      </w:pPr>
    </w:p>
    <w:p>
      <w:pPr>
        <w:spacing w:after="0" w:line="3" w:lineRule="exact"/>
        <w:rPr>
          <w:sz w:val="20"/>
          <w:szCs w:val="20"/>
          <w:color w:val="auto"/>
        </w:rPr>
      </w:pPr>
    </w:p>
    <w:p>
      <w:pPr>
        <w:ind w:left="1420" w:right="940"/>
        <w:spacing w:after="0" w:line="234" w:lineRule="auto"/>
        <w:rPr>
          <w:sz w:val="20"/>
          <w:szCs w:val="20"/>
          <w:color w:val="auto"/>
        </w:rPr>
      </w:pPr>
      <w:r>
        <w:rPr>
          <w:rFonts w:ascii="Arial" w:cs="Arial" w:eastAsia="Arial" w:hAnsi="Arial"/>
          <w:sz w:val="18"/>
          <w:szCs w:val="18"/>
          <w:color w:val="auto"/>
        </w:rPr>
        <w:t>trial in and have preliminary clinical proof of concept safety and anti-tumor activity data of BBI-825 in combination with targeted therapies from the STARMAP trial in the .</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420" w:right="240" w:hanging="427"/>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Advance our ecDTx 3 program to identify a development candidate and progress it into IND-enabling studies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Spyglass, we have gained a deeper understanding of unique ecDNA segregation mechanisms during cell division and identified a kinesin target essential for ecDNA segregation, whose inhibition is synthetic lethal to ecDNA-enabled cancer cells. Our third ecDTx program is directed to this kinesin, which is a member of a class of known druggable proteins, but for which there are no approved drugs and to our knowledge no other publicly disclosed drug discovery efforts. We have identified small molecule inhibitors of this target and are currently advancing these scaffolds through hit-to-lead generation. We are advancing our third ecDTx program through drug discovery to candidate identification and into clinical development.</w:t>
      </w:r>
    </w:p>
    <w:p>
      <w:pPr>
        <w:spacing w:after="0" w:line="85" w:lineRule="exact"/>
        <w:rPr>
          <w:rFonts w:ascii="Arial" w:cs="Arial" w:eastAsia="Arial" w:hAnsi="Arial"/>
          <w:sz w:val="18"/>
          <w:szCs w:val="18"/>
          <w:color w:val="auto"/>
        </w:rPr>
      </w:pPr>
    </w:p>
    <w:p>
      <w:pPr>
        <w:ind w:left="1420" w:right="140" w:hanging="427"/>
        <w:spacing w:after="0" w:line="275" w:lineRule="auto"/>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Deploy our proprietary ecDNA diagnostic, ECHO, to identify patients most likely to benefit from our ecDTx</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ecDNA diagnostic is a software algorithm intended to detect ecDNA in patient tumor samples by analyzing the genomic data of those samples available from routine NGS tests that are commonly used by commercial reference and academic</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5" w:right="4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60"/>
        <w:spacing w:after="0" w:line="257" w:lineRule="auto"/>
        <w:rPr>
          <w:sz w:val="20"/>
          <w:szCs w:val="20"/>
          <w:color w:val="auto"/>
        </w:rPr>
      </w:pPr>
      <w:r>
        <w:rPr>
          <w:rFonts w:ascii="Arial" w:cs="Arial" w:eastAsia="Arial" w:hAnsi="Arial"/>
          <w:sz w:val="17"/>
          <w:szCs w:val="17"/>
          <w:color w:val="auto"/>
        </w:rPr>
        <w:t xml:space="preserve">laboratories for profiling patient tumors. We are working with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company to develop our ecDNA diagnostic into a clinical trial assay for patient selection in clinical trials of our ecDTx, including our ongoing Phase 1/2 POTENTIATE clinical trial of BBI-355.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 To our knowledge, this will be the first ecDNA diagnostic in clinical use. As data from our ecDTx clinical studies progress, we intend to discuss with the FDA whether the ecDNA diagnostic will be appropriate or required to enable commercialization of our ecDTx.</w:t>
      </w:r>
    </w:p>
    <w:p>
      <w:pPr>
        <w:spacing w:after="0" w:line="76" w:lineRule="exact"/>
        <w:rPr>
          <w:sz w:val="20"/>
          <w:szCs w:val="20"/>
          <w:color w:val="auto"/>
        </w:rPr>
      </w:pPr>
    </w:p>
    <w:p>
      <w:pPr>
        <w:ind w:left="1420" w:right="60" w:hanging="427"/>
        <w:spacing w:after="0" w:line="239"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Leverage Spyglass to continue to identify and preclinically validate additional ecDNA targets to expand our pipeline of novel ecDTx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Spyglass to identify targets that exploit cellular vulnerabilities of ecDNA-enabled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cancers. Our target identification efforts to date have revealed multiple distinct nodes of vulnerability within the lifecycle of ecDNA. We continuously incorporate new models, tools, and technologies into our Spyglass platform to identify novel points of synthetic lethality in ecDNA-enabled cancers. In addition to our three ecDTx programs described above, we have preclinically validated multiple additional ecDNA targets and have initiated ecDTx drug discovery efforts to identify potential candidates against such targets. We continue to deploy Spyglass to identify and preclinically validate additional ecDNA-essential targets, with the belief that such ecDNA targets could constitute future potential ecDTx development opportunities.</w:t>
      </w:r>
    </w:p>
    <w:p>
      <w:pPr>
        <w:spacing w:after="0" w:line="88" w:lineRule="exact"/>
        <w:rPr>
          <w:rFonts w:ascii="Arial" w:cs="Arial" w:eastAsia="Arial" w:hAnsi="Arial"/>
          <w:sz w:val="18"/>
          <w:szCs w:val="18"/>
          <w:color w:val="auto"/>
        </w:rPr>
      </w:pPr>
    </w:p>
    <w:p>
      <w:pPr>
        <w:ind w:left="1420" w:hanging="427"/>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Opportunistically pursue strategic collaborations to accelerate development timelines and maximize the commercial potential of our ecDTx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large number of potential intervention points in the ecDNA life cycle identified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Spyglass platform has the potential to provide us with more ecDNA targets, ecDTx, and clinical development strategies than we may be able to pursue on our own. We believe this abundance of potential treatment opportunities may afford an opportunity to selectively enter strategic collaborations involving ecDNA targets, our ecDTx, our ecDNA diagnostic test, or our Spyglass platform to maximize the patient benefit and long-term value of our research and development portfolio.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Team</w:t>
      </w:r>
    </w:p>
    <w:p>
      <w:pPr>
        <w:spacing w:after="0" w:line="10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other scientific co-founders include:</w:t>
      </w:r>
    </w:p>
    <w:p>
      <w:pPr>
        <w:spacing w:after="0" w:line="117" w:lineRule="exact"/>
        <w:rPr>
          <w:sz w:val="20"/>
          <w:szCs w:val="20"/>
          <w:color w:val="auto"/>
        </w:rPr>
      </w:pPr>
    </w:p>
    <w:p>
      <w:pPr>
        <w:ind w:left="1420" w:right="80" w:hanging="427"/>
        <w:spacing w:after="0" w:line="271"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Vineet Bafna, Ph.D., Professor of Computer Science &amp; Engineering at the University of California, San Diego; co-founder of Digital Proteomics; current member of our Scientific Advisory Board.</w:t>
      </w:r>
    </w:p>
    <w:p>
      <w:pPr>
        <w:spacing w:after="0" w:line="59" w:lineRule="exact"/>
        <w:rPr>
          <w:rFonts w:ascii="Arial" w:cs="Arial" w:eastAsia="Arial" w:hAnsi="Arial"/>
          <w:sz w:val="18"/>
          <w:szCs w:val="18"/>
          <w:color w:val="auto"/>
        </w:rPr>
      </w:pPr>
    </w:p>
    <w:p>
      <w:pPr>
        <w:ind w:left="1420" w:right="240" w:hanging="427"/>
        <w:spacing w:after="0" w:line="24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w:t>
      </w:r>
    </w:p>
    <w:p>
      <w:pPr>
        <w:spacing w:after="0" w:line="79" w:lineRule="exact"/>
        <w:rPr>
          <w:rFonts w:ascii="Arial" w:cs="Arial" w:eastAsia="Arial" w:hAnsi="Arial"/>
          <w:sz w:val="18"/>
          <w:szCs w:val="18"/>
          <w:color w:val="auto"/>
        </w:rPr>
      </w:pPr>
    </w:p>
    <w:p>
      <w:pPr>
        <w:ind w:left="1420" w:right="240" w:hanging="427"/>
        <w:spacing w:after="0" w:line="253"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Ben Cravatt, Ph.D., Professor and Gilula Chair of Chemical Biology at The Scripps Research Institute; co-founder of Abide Therapeutics, ActiveX Biosciences, Belharra Therapeutics, and Vividion Therapeutics; recipient of the 2022 Wolf Prize for chemistry;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member of the National Academy of Sciences; current member of our Scientific Advisory Board.</w:t>
      </w:r>
    </w:p>
    <w:p>
      <w:pPr>
        <w:spacing w:after="0" w:line="117" w:lineRule="exact"/>
        <w:rPr>
          <w:sz w:val="20"/>
          <w:szCs w:val="20"/>
          <w:color w:val="auto"/>
        </w:rPr>
      </w:pPr>
    </w:p>
    <w:p>
      <w:pPr>
        <w:ind w:left="1420" w:right="600" w:hanging="427"/>
        <w:spacing w:after="0" w:line="271"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Prashant Mali, Ph.D., Professor of Bioengineering at the University of California, San Diego; co-founder of Navega Therapeutics and Shape Therapeutics.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Roel Verhaak, Ph.D., Professor in the Department of Neurosurgery at Yale University School of Medicine.</w:t>
      </w:r>
    </w:p>
    <w:p>
      <w:pPr>
        <w:spacing w:after="0" w:line="185"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w:t>
      </w:r>
    </w:p>
    <w:p>
      <w:pPr>
        <w:spacing w:after="0" w:line="128"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One of our industry co-founders is Jonathan Lim, M.D., Co-founder, CEO, and Chairman of Erasca, Venture Partner at ARCH Venture Partners, and former Co-founder and CEO of Ignyta. Dr. Lim serves as the Chairman of our Board of Directors.</w:t>
      </w:r>
    </w:p>
    <w:p>
      <w:pPr>
        <w:spacing w:after="0" w:line="113"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w:t>
      </w:r>
    </w:p>
    <w:p>
      <w:pPr>
        <w:spacing w:after="0" w:line="152" w:lineRule="exact"/>
        <w:rPr>
          <w:sz w:val="20"/>
          <w:szCs w:val="20"/>
          <w:color w:val="auto"/>
        </w:rPr>
      </w:pPr>
    </w:p>
    <w:p>
      <w:pPr>
        <w:ind w:left="120" w:firstLine="551"/>
        <w:spacing w:after="0" w:line="228" w:lineRule="auto"/>
        <w:rPr>
          <w:sz w:val="20"/>
          <w:szCs w:val="20"/>
          <w:color w:val="auto"/>
        </w:rPr>
      </w:pPr>
      <w:r>
        <w:rPr>
          <w:rFonts w:ascii="Arial" w:cs="Arial" w:eastAsia="Arial" w:hAnsi="Arial"/>
          <w:sz w:val="18"/>
          <w:szCs w:val="18"/>
          <w:color w:val="auto"/>
        </w:rPr>
        <w:t>Our management team is led by our President and Chief Executive Officer, Zachary Hornby, who formerly served as Chief Operating Officer and Chief Financial Officer at Ignyta. At Ignyta, he led the operational team that developed Rozlytrek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which is globally approved and commercialized for patients with </w:t>
      </w:r>
      <w:r>
        <w:rPr>
          <w:rFonts w:ascii="Arial" w:cs="Arial" w:eastAsia="Arial" w:hAnsi="Arial"/>
          <w:sz w:val="18"/>
          <w:szCs w:val="18"/>
          <w:i w:val="1"/>
          <w:iCs w:val="1"/>
          <w:color w:val="auto"/>
        </w:rPr>
        <w:t>NTRK+</w:t>
      </w:r>
      <w:r>
        <w:rPr>
          <w:rFonts w:ascii="Arial" w:cs="Arial" w:eastAsia="Arial" w:hAnsi="Arial"/>
          <w:sz w:val="18"/>
          <w:szCs w:val="18"/>
          <w:color w:val="auto"/>
        </w:rPr>
        <w:t xml:space="preserve"> solid tumors and </w:t>
      </w:r>
      <w:r>
        <w:rPr>
          <w:rFonts w:ascii="Arial" w:cs="Arial" w:eastAsia="Arial" w:hAnsi="Arial"/>
          <w:sz w:val="18"/>
          <w:szCs w:val="18"/>
          <w:i w:val="1"/>
          <w:iCs w:val="1"/>
          <w:color w:val="auto"/>
        </w:rPr>
        <w:t>ROS1+</w:t>
      </w:r>
      <w:r>
        <w:rPr>
          <w:rFonts w:ascii="Arial" w:cs="Arial" w:eastAsia="Arial" w:hAnsi="Arial"/>
          <w:sz w:val="18"/>
          <w:szCs w:val="18"/>
          <w:color w:val="auto"/>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where he led an integrated clinical development organization that was responsible for advancing three oncology programs from pre-IND into clinical development. Our Chief Financial Officer, Jami Rubin, most recently served as Chief Financial Officer at EQRx where she led the go public and capital raising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Evolution of Precision Oncology</w:t>
      </w:r>
    </w:p>
    <w:p>
      <w:pPr>
        <w:spacing w:after="0" w:line="104"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color w:val="auto"/>
        </w:rPr>
        <w:t>Cancer is the second leading cause of mortality in the United States, accounting for approximately 1,900,000 new diagnoses and 600,000 deaths on an annual basis. There are many genetic aberrations, including mutations, fusions, and amplifications that lead to the malignant cellular growth that results in cancer.</w:t>
      </w:r>
    </w:p>
    <w:p>
      <w:pPr>
        <w:spacing w:after="0" w:line="128"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first approved precision oncology drugs were predominately directed at the proteins produced by oncogenes hyperactivated by gene mutations or gene fusions. These drugs targeted specific types of receptor tyrosine kinases such as BCR-ABL, HER2, EGFR, ALK, and others. Since 2001, the FDA has approved more than 40 tyrosine kinase inhibitors (TKIs) for the treatment of cancer. This initial class of precision oncology drugs, also known as targeted therapies, generated more than $20 billion of worldwide sales in 2022. Much of the commercial success of these targeted therapies is due to their capacity to drive deeper and more durable responses than conventional chemotherapy regimens while minimizing unwanted side effects and damage to normal healthy tissues.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 xml:space="preserve">An evolution in the understanding of tumor biology coupled with an improved ability to segment subsets of tumors based on genomic alterations has led to the development of new therapies that transcend single tumor or organ-targeted cancers. This improved molecular understanding of cancer resulted in the approval of therapies that address specific genomic features of tumors but are tumor type agnostic; some examples are the TRK inhibitors, including entrectinib and larotrectinib, for the treatment of tumors with </w:t>
      </w:r>
      <w:r>
        <w:rPr>
          <w:rFonts w:ascii="Arial" w:cs="Arial" w:eastAsia="Arial" w:hAnsi="Arial"/>
          <w:sz w:val="18"/>
          <w:szCs w:val="18"/>
          <w:i w:val="1"/>
          <w:iCs w:val="1"/>
          <w:color w:val="auto"/>
        </w:rPr>
        <w:t>NTRK</w:t>
      </w:r>
      <w:r>
        <w:rPr>
          <w:rFonts w:ascii="Arial" w:cs="Arial" w:eastAsia="Arial" w:hAnsi="Arial"/>
          <w:sz w:val="18"/>
          <w:szCs w:val="18"/>
          <w:color w:val="auto"/>
        </w:rPr>
        <w:t xml:space="preserve"> gene fusions. This trend for tumor-agnostic indications represented a breakthrough in patient identification, drug development, clinical trial designs, and speed to market approvals, albeit benefitting relatively modest sized patient populations.</w:t>
      </w:r>
    </w:p>
    <w:p>
      <w:pPr>
        <w:spacing w:after="0" w:line="152" w:lineRule="exact"/>
        <w:rPr>
          <w:sz w:val="20"/>
          <w:szCs w:val="20"/>
          <w:color w:val="auto"/>
        </w:rPr>
      </w:pPr>
    </w:p>
    <w:p>
      <w:pPr>
        <w:ind w:left="120" w:right="40" w:firstLine="551"/>
        <w:spacing w:after="0" w:line="206" w:lineRule="auto"/>
        <w:rPr>
          <w:sz w:val="20"/>
          <w:szCs w:val="20"/>
          <w:color w:val="auto"/>
        </w:rPr>
      </w:pPr>
      <w:r>
        <w:rPr>
          <w:rFonts w:ascii="Arial" w:cs="Arial" w:eastAsia="Arial" w:hAnsi="Arial"/>
          <w:sz w:val="18"/>
          <w:szCs w:val="18"/>
          <w:color w:val="auto"/>
        </w:rPr>
        <w:t xml:space="preserve">Despite these advances of the precision oncology field, treatment resistance is still an unfortunate inevitability in cancer. The predominant resistance mechanisms to targeted therapies are secondary mutations of the treatment target (e.g., </w:t>
      </w:r>
      <w:r>
        <w:rPr>
          <w:rFonts w:ascii="Arial" w:cs="Arial" w:eastAsia="Arial" w:hAnsi="Arial"/>
          <w:sz w:val="18"/>
          <w:szCs w:val="18"/>
          <w:i w:val="1"/>
          <w:iCs w:val="1"/>
          <w:color w:val="auto"/>
        </w:rPr>
        <w:t>EGFR</w:t>
      </w:r>
      <w:r>
        <w:rPr>
          <w:rFonts w:ascii="Arial" w:cs="Arial" w:eastAsia="Arial" w:hAnsi="Arial"/>
          <w:sz w:val="26"/>
          <w:szCs w:val="26"/>
          <w:i w:val="1"/>
          <w:iCs w:val="1"/>
          <w:color w:val="auto"/>
          <w:vertAlign w:val="superscript"/>
        </w:rPr>
        <w:t>T790M</w:t>
      </w:r>
      <w:r>
        <w:rPr>
          <w:rFonts w:ascii="Arial" w:cs="Arial" w:eastAsia="Arial" w:hAnsi="Arial"/>
          <w:sz w:val="18"/>
          <w:szCs w:val="18"/>
          <w:color w:val="auto"/>
        </w:rPr>
        <w:t xml:space="preserve">, </w:t>
      </w:r>
      <w:r>
        <w:rPr>
          <w:rFonts w:ascii="Arial" w:cs="Arial" w:eastAsia="Arial" w:hAnsi="Arial"/>
          <w:sz w:val="18"/>
          <w:szCs w:val="18"/>
          <w:i w:val="1"/>
          <w:iCs w:val="1"/>
          <w:color w:val="auto"/>
        </w:rPr>
        <w:t>ALK</w:t>
      </w:r>
      <w:r>
        <w:rPr>
          <w:rFonts w:ascii="Arial" w:cs="Arial" w:eastAsia="Arial" w:hAnsi="Arial"/>
          <w:sz w:val="26"/>
          <w:szCs w:val="26"/>
          <w:i w:val="1"/>
          <w:iCs w:val="1"/>
          <w:color w:val="auto"/>
          <w:vertAlign w:val="superscript"/>
        </w:rPr>
        <w:t>G1202R</w:t>
      </w:r>
      <w:r>
        <w:rPr>
          <w:rFonts w:ascii="Arial" w:cs="Arial" w:eastAsia="Arial" w:hAnsi="Arial"/>
          <w:sz w:val="18"/>
          <w:szCs w:val="18"/>
          <w:color w:val="auto"/>
        </w:rPr>
        <w:t>), other means of pathway activation, and oncogene or resistance gene amplifications. The quest to address resistance has given rise to a newer generation of targeted therapies and treatment modalities, mostly directed at secondary mutations and alternative pathways. However, there are still very few approved or investigational therapies in development for patients with gene amplifications.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Unmet Medical Need in Oncogene Amplified Cancers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While progress in treating cancers with other forms of oncogenic driver alterations continues to advance, patients whose cancers harbor oncogene amplifications remain a high unmet medical need. 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According to analyses of large cancer patient databases, greater than 25% of all cancer cases involve oncogene amplifications, suggesting that in the U.S. alone the oncogene amplified cancer population may represent more than 400,000 new patients each year across multiple tumor types.</w:t>
      </w:r>
    </w:p>
    <w:p>
      <w:pPr>
        <w:spacing w:after="0" w:line="14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Patients whose tumors harbor oncogene amplification have significantly worse survival compared to the broader cancer population. As seen in the figure below, patients with oncogene amplifications also have significantly worse survival compared to patients with other forms of driver mutations of the same oncogenes.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Cancer Patients with Oncogene Amplifications Have Worse Survival Than Those with Oncogene Mutations or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146050</wp:posOffset>
            </wp:positionV>
            <wp:extent cx="3317240" cy="31718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172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560" w:right="200"/>
        <w:spacing w:after="0" w:line="266" w:lineRule="auto"/>
        <w:rPr>
          <w:sz w:val="20"/>
          <w:szCs w:val="20"/>
          <w:color w:val="auto"/>
        </w:rPr>
      </w:pPr>
      <w:r>
        <w:rPr>
          <w:rFonts w:ascii="Arial" w:cs="Arial" w:eastAsia="Arial" w:hAnsi="Arial"/>
          <w:sz w:val="16"/>
          <w:szCs w:val="16"/>
          <w:color w:val="auto"/>
        </w:rPr>
        <w:t xml:space="preserve">Patients with primary or metastatic cancers with amplifications, point mutations, fusions, or skipping deletions, of these genes: </w:t>
      </w:r>
      <w:r>
        <w:rPr>
          <w:rFonts w:ascii="Arial" w:cs="Arial" w:eastAsia="Arial" w:hAnsi="Arial"/>
          <w:sz w:val="16"/>
          <w:szCs w:val="16"/>
          <w:i w:val="1"/>
          <w:iCs w:val="1"/>
          <w:color w:val="auto"/>
        </w:rPr>
        <w:t>AR, ALK, ARAF,</w:t>
      </w:r>
      <w:r>
        <w:rPr>
          <w:rFonts w:ascii="Arial" w:cs="Arial" w:eastAsia="Arial" w:hAnsi="Arial"/>
          <w:sz w:val="16"/>
          <w:szCs w:val="16"/>
          <w:color w:val="auto"/>
        </w:rPr>
        <w:t xml:space="preserve"> </w:t>
      </w:r>
      <w:r>
        <w:rPr>
          <w:rFonts w:ascii="Arial" w:cs="Arial" w:eastAsia="Arial" w:hAnsi="Arial"/>
          <w:sz w:val="16"/>
          <w:szCs w:val="16"/>
          <w:i w:val="1"/>
          <w:iCs w:val="1"/>
          <w:color w:val="auto"/>
        </w:rPr>
        <w:t>BRAF, CCND1, CDK4, CDK6, EGFR, ERBB2, FGFR1, FGFR2, FGFR3, FGFR4, HRAS, IDH1, IDH2, KIT, KRAS, MAP2K1, MAP2K2, MAP2K4, MDM2, MET, MYC, NF1, NRAS, NTRK1, NTRK2, NTRK3, PDGFB, PDGFRA, PDGFRB, PIK3CA, RAF1, RET, ROS1</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cBioPortal analysis using MSK-MET (N=14,674 patients) and MSK-IMPACT (N= 1,115 patients), p-value =&lt; 0.0001)</w:t>
      </w:r>
    </w:p>
    <w:p>
      <w:pPr>
        <w:spacing w:after="0" w:line="181" w:lineRule="exact"/>
        <w:rPr>
          <w:sz w:val="20"/>
          <w:szCs w:val="20"/>
          <w:color w:val="auto"/>
        </w:rPr>
      </w:pPr>
    </w:p>
    <w:p>
      <w:pPr>
        <w:ind w:left="560"/>
        <w:spacing w:after="0" w:line="259" w:lineRule="auto"/>
        <w:rPr>
          <w:sz w:val="20"/>
          <w:szCs w:val="20"/>
          <w:color w:val="auto"/>
        </w:rPr>
      </w:pPr>
      <w:r>
        <w:rPr>
          <w:rFonts w:ascii="Arial" w:cs="Arial" w:eastAsia="Arial" w:hAnsi="Arial"/>
          <w:sz w:val="16"/>
          <w:szCs w:val="16"/>
          <w:color w:val="auto"/>
        </w:rPr>
        <w:t>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w:t>
      </w:r>
    </w:p>
    <w:p>
      <w:pPr>
        <w:spacing w:after="0" w:line="133"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Despite the advancements in precision medicine and targeted therapies for these other forms of driver oncogene alterations, as well as immunotherapies for patients whose cancers lack driver oncogenes, both targeted therapies and immunotherapies have proven largely ineffective in oncogene-amplified cancers.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5"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Examples of Targeted Therapies Not Approved for Oncogene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1911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Targeted agents that have shown efficacy in patients whose cancers are driven by other oncogene alterations, including point mutations, gene fusions, or skipping deletions, have generally failed to demonstrate robust efficacy in patients whose tumors are driven by oncogene amplification. The lack of approved therapies targeting oncogene amplified tumors is despite extensive clinical testing of targeted agents in oncogene amplified cancer populations. Clinical studies have shown limited success in treating patients with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w:t>
      </w:r>
      <w:r>
        <w:rPr>
          <w:rFonts w:ascii="Arial" w:cs="Arial" w:eastAsia="Arial" w:hAnsi="Arial"/>
          <w:sz w:val="18"/>
          <w:szCs w:val="18"/>
          <w:color w:val="auto"/>
        </w:rPr>
        <w:t>, and</w:t>
      </w:r>
      <w:r>
        <w:rPr>
          <w:rFonts w:ascii="Arial" w:cs="Arial" w:eastAsia="Arial" w:hAnsi="Arial"/>
          <w:sz w:val="18"/>
          <w:szCs w:val="18"/>
          <w:i w:val="1"/>
          <w:iCs w:val="1"/>
          <w:color w:val="auto"/>
        </w:rPr>
        <w:t xml:space="preserve"> CDK4 </w:t>
      </w:r>
      <w:r>
        <w:rPr>
          <w:rFonts w:ascii="Arial" w:cs="Arial" w:eastAsia="Arial" w:hAnsi="Arial"/>
          <w:sz w:val="18"/>
          <w:szCs w:val="18"/>
          <w:color w:val="auto"/>
        </w:rPr>
        <w:t>amplified solid tumors with matching molecular targeted therapies. For example, approved and clinical-stage CDK4/6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inhibitors showed only a collective 2% overall response rate (ORR) in </w:t>
      </w:r>
      <w:r>
        <w:rPr>
          <w:rFonts w:ascii="Arial" w:cs="Arial" w:eastAsia="Arial" w:hAnsi="Arial"/>
          <w:sz w:val="18"/>
          <w:szCs w:val="18"/>
          <w:i w:val="1"/>
          <w:iCs w:val="1"/>
          <w:color w:val="auto"/>
        </w:rPr>
        <w:t>CDK4</w:t>
      </w:r>
      <w:r>
        <w:rPr>
          <w:rFonts w:ascii="Arial" w:cs="Arial" w:eastAsia="Arial" w:hAnsi="Arial"/>
          <w:sz w:val="18"/>
          <w:szCs w:val="18"/>
          <w:color w:val="auto"/>
        </w:rPr>
        <w:t xml:space="preserve"> amplified tumors, and FGFR inhibitors showed only a collective 13% ORR in patients with </w:t>
      </w:r>
      <w:r>
        <w:rPr>
          <w:rFonts w:ascii="Arial" w:cs="Arial" w:eastAsia="Arial" w:hAnsi="Arial"/>
          <w:sz w:val="18"/>
          <w:szCs w:val="18"/>
          <w:i w:val="1"/>
          <w:iCs w:val="1"/>
          <w:color w:val="auto"/>
        </w:rPr>
        <w:t>FGFR</w:t>
      </w:r>
      <w:r>
        <w:rPr>
          <w:rFonts w:ascii="Arial" w:cs="Arial" w:eastAsia="Arial" w:hAnsi="Arial"/>
          <w:sz w:val="18"/>
          <w:szCs w:val="18"/>
          <w:color w:val="auto"/>
        </w:rPr>
        <w:t xml:space="preserve"> amplified tumors. This unfortunate trend has been observed across several classes of targeted agents when tested in oncogene-amplified tumors. In fact, despite continuous advancement of the precision oncology field, of the more than 170 FDA approved targeted therapies to date, only HER2 inhibitors have ever been approved for oncogene amplified or overexpressed cancer populations.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460" w:right="220"/>
        <w:spacing w:after="0" w:line="281" w:lineRule="auto"/>
        <w:rPr>
          <w:sz w:val="20"/>
          <w:szCs w:val="20"/>
          <w:color w:val="auto"/>
        </w:rPr>
      </w:pPr>
      <w:r>
        <w:rPr>
          <w:rFonts w:ascii="Arial" w:cs="Arial" w:eastAsia="Arial" w:hAnsi="Arial"/>
          <w:sz w:val="18"/>
          <w:szCs w:val="18"/>
          <w:b w:val="1"/>
          <w:bCs w:val="1"/>
          <w:color w:val="auto"/>
        </w:rPr>
        <w:t xml:space="preserve">FGFR Inhibitors Demonstrated Less Clinical Benefit in Patients with </w:t>
      </w:r>
      <w:r>
        <w:rPr>
          <w:rFonts w:ascii="Arial" w:cs="Arial" w:eastAsia="Arial" w:hAnsi="Arial"/>
          <w:sz w:val="18"/>
          <w:szCs w:val="18"/>
          <w:b w:val="1"/>
          <w:bCs w:val="1"/>
          <w:i w:val="1"/>
          <w:iCs w:val="1"/>
          <w:color w:val="auto"/>
        </w:rPr>
        <w:t>FGFR</w:t>
      </w:r>
      <w:r>
        <w:rPr>
          <w:rFonts w:ascii="Arial" w:cs="Arial" w:eastAsia="Arial" w:hAnsi="Arial"/>
          <w:sz w:val="18"/>
          <w:szCs w:val="18"/>
          <w:b w:val="1"/>
          <w:bCs w:val="1"/>
          <w:color w:val="auto"/>
        </w:rPr>
        <w:t xml:space="preserve"> Amplifications Than in Patients with Other </w:t>
      </w:r>
      <w:r>
        <w:rPr>
          <w:rFonts w:ascii="Arial" w:cs="Arial" w:eastAsia="Arial" w:hAnsi="Arial"/>
          <w:sz w:val="18"/>
          <w:szCs w:val="18"/>
          <w:b w:val="1"/>
          <w:bCs w:val="1"/>
          <w:i w:val="1"/>
          <w:iCs w:val="1"/>
          <w:color w:val="auto"/>
        </w:rPr>
        <w:t>FGFR</w:t>
      </w:r>
      <w:r>
        <w:rPr>
          <w:rFonts w:ascii="Arial" w:cs="Arial" w:eastAsia="Arial" w:hAnsi="Arial"/>
          <w:sz w:val="18"/>
          <w:szCs w:val="18"/>
          <w:b w:val="1"/>
          <w:bCs w:val="1"/>
          <w:color w:val="auto"/>
        </w:rPr>
        <w:t xml:space="preserve"> Alterations (Mutations,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98425</wp:posOffset>
            </wp:positionV>
            <wp:extent cx="3985895" cy="2880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858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presence of oncogene amplification is also associated with a lack of response when patients are treated with immunotherapies, for instance immune checkpoint inhibitors such as pembrolizumab. Furthermore, immune checkpoint inhibitors have been associated with rapid clinical worsening, known as hyper-progression, in patients with oncogene amplified tumors. There is growing evidence that oncogene amplifications could be one of the mechanisms that cancers use to escape immune surveillance or alter the tumor immune environment to avoid being eliminated by the immune system.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extrachromosomal DNA (ecDNA) in Oncogene Amplified Cancers</w:t>
      </w:r>
    </w:p>
    <w:p>
      <w:pPr>
        <w:spacing w:after="0" w:line="10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However, the frequency, importance, and specific role of ecDNA in cancer biology have not been well understood until recently. We believe the emerging science of ecDNA, first elucidated by our scientific founders and now the core focus of our Company, brings a new understanding of oncogene amplifications in cancer.</w:t>
      </w:r>
    </w:p>
    <w:p>
      <w:pPr>
        <w:spacing w:after="0" w:line="138"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ecDNA are cancer-specific, circular fragments of genomic DNA that encode full-length genes and regulatory regions such as promoters. ecDNA are physically separate from chromosomes, but still reside in the nucleus, and have unique properties that make them a common cellular mechanism for oncogene amplification. ecDNA often range in size from 2-5 megabase pairs in length and are visible through various forms of microscopy, as seen in the figure below. They have been observed in cancer cells by pathologists for more than 60 years, but until recently their function was unknown.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Microscopy Images of Chromosomes and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146050</wp:posOffset>
            </wp:positionV>
            <wp:extent cx="3823335" cy="1911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2333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 xml:space="preserve">Some of the most common driver oncogenes, such as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MYC</w:t>
      </w:r>
      <w:r>
        <w:rPr>
          <w:rFonts w:ascii="Arial" w:cs="Arial" w:eastAsia="Arial" w:hAnsi="Arial"/>
          <w:sz w:val="18"/>
          <w:szCs w:val="18"/>
          <w:color w:val="auto"/>
        </w:rPr>
        <w:t xml:space="preserve">, </w:t>
      </w:r>
      <w:r>
        <w:rPr>
          <w:rFonts w:ascii="Arial" w:cs="Arial" w:eastAsia="Arial" w:hAnsi="Arial"/>
          <w:sz w:val="18"/>
          <w:szCs w:val="18"/>
          <w:i w:val="1"/>
          <w:iCs w:val="1"/>
          <w:color w:val="auto"/>
        </w:rPr>
        <w:t>KRAS</w:t>
      </w:r>
      <w:r>
        <w:rPr>
          <w:rFonts w:ascii="Arial" w:cs="Arial" w:eastAsia="Arial" w:hAnsi="Arial"/>
          <w:sz w:val="18"/>
          <w:szCs w:val="18"/>
          <w:color w:val="auto"/>
        </w:rPr>
        <w:t xml:space="preserve">, </w:t>
      </w:r>
      <w:r>
        <w:rPr>
          <w:rFonts w:ascii="Arial" w:cs="Arial" w:eastAsia="Arial" w:hAnsi="Arial"/>
          <w:sz w:val="18"/>
          <w:szCs w:val="18"/>
          <w:i w:val="1"/>
          <w:iCs w:val="1"/>
          <w:color w:val="auto"/>
        </w:rPr>
        <w:t>FGFR</w:t>
      </w:r>
      <w:r>
        <w:rPr>
          <w:rFonts w:ascii="Arial" w:cs="Arial" w:eastAsia="Arial" w:hAnsi="Arial"/>
          <w:sz w:val="18"/>
          <w:szCs w:val="18"/>
          <w:color w:val="auto"/>
        </w:rPr>
        <w:t>, etc., are found to be amplified on ecDNA and can confer a selective fitness advantage to cancer cells. Oncogenes amplified on ecDNA have several features that distinguish them from amplifications located on chromosomes, including:</w:t>
      </w:r>
    </w:p>
    <w:p>
      <w:pPr>
        <w:spacing w:after="0" w:line="74" w:lineRule="exact"/>
        <w:rPr>
          <w:sz w:val="20"/>
          <w:szCs w:val="20"/>
          <w:color w:val="auto"/>
        </w:rPr>
      </w:pPr>
    </w:p>
    <w:p>
      <w:pPr>
        <w:ind w:left="1420" w:right="220" w:hanging="427"/>
        <w:spacing w:after="0" w:line="244"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Overexpression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Genes on ecDNA behave differently from genes on chromosomes because ecDNA are not properly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regulated at the epigenetic level. ecDNA have a circular structure that is less tightly compacted compared to chromosomes, allowing easier access to their DNA. The easier access of the DNA to the cellular transcriptional machinery results in highly transcriptionally active genes that are often more actively expressed than genes located on chromosomes.</w:t>
      </w:r>
    </w:p>
    <w:p>
      <w:pPr>
        <w:spacing w:after="0" w:line="81" w:lineRule="exact"/>
        <w:rPr>
          <w:rFonts w:ascii="Arial" w:cs="Arial" w:eastAsia="Arial" w:hAnsi="Arial"/>
          <w:sz w:val="18"/>
          <w:szCs w:val="18"/>
          <w:color w:val="auto"/>
        </w:rPr>
      </w:pPr>
    </w:p>
    <w:p>
      <w:pPr>
        <w:ind w:left="1420" w:hanging="427"/>
        <w:spacing w:after="0" w:line="24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Heterogeneity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ecDNA lack centromeres, a critical regulatory component of chromosomal segregation in cell division.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Thus, in contrast to chromosomes, ecDNA can segregate unequally during cell division. This property supports a non-Mendelian inheritance pattern for ecDNA, enabling extreme gene copy number changes in relatively few cell divisions and extensive copy number heterogeneity, thereby driving rapid adaptability and tumor evolution.</w:t>
      </w:r>
    </w:p>
    <w:p>
      <w:pPr>
        <w:spacing w:after="0" w:line="133"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These features distinguish oncogene amplification on ecDNA from other forms of oncogenic alterations and uniquely enable ecDNA-bearing tumors to adapt and evade approved therapeutics such as targeted therapies.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Circular Shape of ecDNA Enhances Transcriptional Activity, Leading to High Oncogene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146050</wp:posOffset>
            </wp:positionV>
            <wp:extent cx="3926205" cy="2837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2620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ecDNA Are Inherited via a Non-Mendelian Pattern, Leading to Genomic Heterogeneity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146050</wp:posOffset>
            </wp:positionV>
            <wp:extent cx="5194935" cy="24771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9493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Until recently, the presence of ecDNA in cancer was thought to be a rare event, approximately 1.4% of cancers, and of unclear significance. In 2014, it was demonstrated that ecDNA-enabled gene amplifications are a primary driver of oncogenesis and play a critical role in driving tumor heterogeneity and enabling resistance to targeted therapies. In 2017, it was further demonstrated that ecDNA-enabled gene amplifications were observed in many human cancer types but almost never found in normal cells. More recent publications have shown ecDNA-enabled gene amplifications to be present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5"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in more than 14% of cancer patients, suggesting an incident population of approximately 750,000 new patients each year in the major addressable markets of the United States, European Union, and Japan, of which approximately 200,000 new patients are in the United States each year. More than half of all cancer cases with high-copy number gene amplification (copy number value &gt;8) have been observed to be in association with ecDNA.</w:t>
      </w:r>
    </w:p>
    <w:p>
      <w:pPr>
        <w:spacing w:after="0" w:line="282" w:lineRule="exact"/>
        <w:rPr>
          <w:sz w:val="20"/>
          <w:szCs w:val="20"/>
          <w:color w:val="auto"/>
        </w:rPr>
      </w:pPr>
    </w:p>
    <w:p>
      <w:pPr>
        <w:jc w:val="center"/>
        <w:ind w:left="520"/>
        <w:spacing w:after="0" w:line="281" w:lineRule="auto"/>
        <w:rPr>
          <w:sz w:val="20"/>
          <w:szCs w:val="20"/>
          <w:color w:val="auto"/>
        </w:rPr>
      </w:pPr>
      <w:r>
        <w:rPr>
          <w:rFonts w:ascii="Arial" w:cs="Arial" w:eastAsia="Arial" w:hAnsi="Arial"/>
          <w:sz w:val="18"/>
          <w:szCs w:val="18"/>
          <w:b w:val="1"/>
          <w:bCs w:val="1"/>
          <w:color w:val="auto"/>
        </w:rPr>
        <w:t>Incident Population of Cancer Patients with ecDNA in the United States, European Union, and Japan is Estimated to be 750,000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98425</wp:posOffset>
            </wp:positionV>
            <wp:extent cx="2682875" cy="2871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287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As seen in the figure below, many of the most aggressive tumor types contain the highest prevalence of ecDNA, including approximately 60% of glioblastomas and just under 50% of sarcomas. In fact, ecDNA was observed in more than 25% of the cases of the following tumor types: glioblastoma,</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5"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esophageal cancer, sarcoma, ovarian cancer, bladder cancer, non-small cell lung cancer (NSCLC), squamous cell carcinoma, breast cancer, head and neck squamous cell carcinoma, and gastric cancer.</w:t>
      </w:r>
    </w:p>
    <w:p>
      <w:pPr>
        <w:spacing w:after="0" w:line="26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ecDNA Occur Broadly Across Tumor Types but Not in Normal Healthy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2280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Unfortunately, due to ecDNA’s unique properties in cancer cells, as seen in the figure below, patients whose cancers harbor ecDNA-enabled oncogene amplification experience significantly shorter survival than cancer patients whose tumors are driven by other molecular alterations, such as mutations, fusions, or even linear (non-ecDNA) amplifications. These data strongly indicate that patients with ecDNA-enabled cancers are in dire need of a new therapeutic paradigm.</w:t>
      </w:r>
    </w:p>
    <w:p>
      <w:pPr>
        <w:spacing w:after="0" w:line="28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Patients with Oncogene Amplification on ecDNA Have Worse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146050</wp:posOffset>
            </wp:positionV>
            <wp:extent cx="3480435" cy="24771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8043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ecDNA in Cancer’s Resistance to Therapy</w:t>
      </w:r>
    </w:p>
    <w:p>
      <w:pPr>
        <w:spacing w:after="0" w:line="10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The remarkable genomic plasticity of ecDNA-enabled tumors enables cancers to resist therapies by rapidly adapting, or by switching their oncogenic drivers.</w:t>
      </w:r>
    </w:p>
    <w:p>
      <w:pPr>
        <w:spacing w:after="0" w:line="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40"/>
          </w:cols>
          <w:pgMar w:left="320" w:top="455" w:right="7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ecDNA’s role in enabling resistance to molecular targeted therapies has been elucidated. For instance, as seen in the figure below, preclinical studies in a gastric cancer cell line containing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amplified on ecDNA demonstrated that cellular resistance to the pan-FGFR inhibitor infigratinib could be driven by oncogene dependency switching from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amplification on ecDNA to a new, rapid amplification of </w:t>
      </w:r>
      <w:r>
        <w:rPr>
          <w:rFonts w:ascii="Arial" w:cs="Arial" w:eastAsia="Arial" w:hAnsi="Arial"/>
          <w:sz w:val="18"/>
          <w:szCs w:val="18"/>
          <w:i w:val="1"/>
          <w:iCs w:val="1"/>
          <w:color w:val="auto"/>
        </w:rPr>
        <w:t>EGFR</w:t>
      </w:r>
      <w:r>
        <w:rPr>
          <w:rFonts w:ascii="Arial" w:cs="Arial" w:eastAsia="Arial" w:hAnsi="Arial"/>
          <w:sz w:val="18"/>
          <w:szCs w:val="18"/>
          <w:color w:val="auto"/>
        </w:rPr>
        <w:t xml:space="preserve"> on ecDNA. Strikingly, this dependency was reversed back to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amplification on ecDNA under EGFR inhibitory pressure via erlotinib. In each case, the initial cell population was sensitive to the respective targeted therapy, resulting in short lived anti-proliferative effects lasting several weeks. Regrowth and resistance to the targeted therapies occurred coincident with switching of the oncogenes amplified on ecDNA.</w:t>
      </w:r>
    </w:p>
    <w:p>
      <w:pPr>
        <w:spacing w:after="0" w:line="293" w:lineRule="exact"/>
        <w:rPr>
          <w:sz w:val="20"/>
          <w:szCs w:val="20"/>
          <w:color w:val="auto"/>
        </w:rPr>
      </w:pPr>
    </w:p>
    <w:p>
      <w:pPr>
        <w:jc w:val="center"/>
        <w:ind w:left="440" w:right="140"/>
        <w:spacing w:after="0" w:line="281" w:lineRule="auto"/>
        <w:rPr>
          <w:sz w:val="20"/>
          <w:szCs w:val="20"/>
          <w:color w:val="auto"/>
        </w:rPr>
      </w:pPr>
      <w:r>
        <w:rPr>
          <w:rFonts w:ascii="Arial" w:cs="Arial" w:eastAsia="Arial" w:hAnsi="Arial"/>
          <w:sz w:val="18"/>
          <w:szCs w:val="18"/>
          <w:b w:val="1"/>
          <w:bCs w:val="1"/>
          <w:color w:val="auto"/>
        </w:rPr>
        <w:t>Dynamic Changes in Average Oncogene Copy Number on ecDNA in Gastric Cancer Cells in Response to Sequential Targeted Therapeutic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98425</wp:posOffset>
            </wp:positionV>
            <wp:extent cx="4705985" cy="3042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0598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firstLine="551"/>
        <w:spacing w:after="0" w:line="189" w:lineRule="auto"/>
        <w:rPr>
          <w:sz w:val="20"/>
          <w:szCs w:val="20"/>
          <w:color w:val="auto"/>
        </w:rPr>
      </w:pPr>
      <w:r>
        <w:rPr>
          <w:rFonts w:ascii="Arial" w:cs="Arial" w:eastAsia="Arial" w:hAnsi="Arial"/>
          <w:sz w:val="18"/>
          <w:szCs w:val="18"/>
          <w:color w:val="auto"/>
        </w:rPr>
        <w:t xml:space="preserve">Similarly, mutant oncogenes, such as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i w:val="1"/>
          <w:iCs w:val="1"/>
          <w:color w:val="auto"/>
        </w:rPr>
        <w:t>, 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etc., can be amplified on ecDNA as a resistance mechanism to corresponding targeted therapies, such as BRAF or KRAS inhibitors. For example, a mutant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melanoma cell line developed ecDNA-enabled amplification of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w:t>
      </w:r>
      <w:r>
        <w:rPr>
          <w:rFonts w:ascii="Arial" w:cs="Arial" w:eastAsia="Arial" w:hAnsi="Arial"/>
          <w:sz w:val="26"/>
          <w:szCs w:val="26"/>
          <w:color w:val="auto"/>
          <w:vertAlign w:val="superscript"/>
        </w:rPr>
        <w:t>E</w:t>
      </w:r>
      <w:r>
        <w:rPr>
          <w:rFonts w:ascii="Arial" w:cs="Arial" w:eastAsia="Arial" w:hAnsi="Arial"/>
          <w:sz w:val="18"/>
          <w:szCs w:val="18"/>
          <w:color w:val="auto"/>
        </w:rPr>
        <w:t xml:space="preserve"> after exposure to dual BRAF/MEK inhibition. This phenomenon has also been documented in clinical cases of melanoma patients treated with an approved BRAF/MEK inhibition regimen. Relatedly, amplification of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on ecDNA has been reported as a clinical resistance mechanism to the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 adagrasib and to the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 sotorasib in combination with EGFR inhibitors; this ecDNA enabled amplification was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confer resistance to both clinically validated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inhibitors, adagrasib and sotorasib.</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Treatment of Colorectal Cancer Cells with KRAS</w:t>
      </w:r>
      <w:r>
        <w:rPr>
          <w:rFonts w:ascii="Arial" w:cs="Arial" w:eastAsia="Arial" w:hAnsi="Arial"/>
          <w:sz w:val="25"/>
          <w:szCs w:val="25"/>
          <w:b w:val="1"/>
          <w:bCs w:val="1"/>
          <w:color w:val="auto"/>
          <w:vertAlign w:val="superscript"/>
        </w:rPr>
        <w:t>G12C</w:t>
      </w:r>
      <w:r>
        <w:rPr>
          <w:rFonts w:ascii="Arial" w:cs="Arial" w:eastAsia="Arial" w:hAnsi="Arial"/>
          <w:sz w:val="17"/>
          <w:szCs w:val="17"/>
          <w:b w:val="1"/>
          <w:bCs w:val="1"/>
          <w:color w:val="auto"/>
        </w:rPr>
        <w:t xml:space="preserve"> Inhibitors Generated Resistance via Amplification of </w:t>
      </w:r>
      <w:r>
        <w:rPr>
          <w:rFonts w:ascii="Arial" w:cs="Arial" w:eastAsia="Arial" w:hAnsi="Arial"/>
          <w:sz w:val="17"/>
          <w:szCs w:val="17"/>
          <w:b w:val="1"/>
          <w:bCs w:val="1"/>
          <w:i w:val="1"/>
          <w:iCs w:val="1"/>
          <w:color w:val="auto"/>
        </w:rPr>
        <w:t>KRAS</w:t>
      </w:r>
      <w:r>
        <w:rPr>
          <w:rFonts w:ascii="Arial" w:cs="Arial" w:eastAsia="Arial" w:hAnsi="Arial"/>
          <w:sz w:val="25"/>
          <w:szCs w:val="25"/>
          <w:b w:val="1"/>
          <w:bCs w:val="1"/>
          <w:i w:val="1"/>
          <w:iCs w:val="1"/>
          <w:color w:val="auto"/>
          <w:vertAlign w:val="superscript"/>
        </w:rPr>
        <w:t>G12C</w:t>
      </w:r>
      <w:r>
        <w:rPr>
          <w:rFonts w:ascii="Arial" w:cs="Arial" w:eastAsia="Arial" w:hAnsi="Arial"/>
          <w:sz w:val="17"/>
          <w:szCs w:val="17"/>
          <w:b w:val="1"/>
          <w:bCs w:val="1"/>
          <w:color w:val="auto"/>
        </w:rPr>
        <w:t xml:space="preserve"> on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112395</wp:posOffset>
            </wp:positionV>
            <wp:extent cx="4457700" cy="3669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770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 xml:space="preserve">In other models, evasion of therapeutic response to the EGFR inhibitor erlotinib was facilitated by rapid loss of the population of </w:t>
      </w:r>
      <w:r>
        <w:rPr>
          <w:rFonts w:ascii="Arial" w:cs="Arial" w:eastAsia="Arial" w:hAnsi="Arial"/>
          <w:sz w:val="18"/>
          <w:szCs w:val="18"/>
          <w:i w:val="1"/>
          <w:iCs w:val="1"/>
          <w:color w:val="auto"/>
        </w:rPr>
        <w:t xml:space="preserve">EGFRvIII </w:t>
      </w:r>
      <w:r>
        <w:rPr>
          <w:rFonts w:ascii="Arial" w:cs="Arial" w:eastAsia="Arial" w:hAnsi="Arial"/>
          <w:sz w:val="18"/>
          <w:szCs w:val="18"/>
          <w:color w:val="auto"/>
        </w:rPr>
        <w:t>amplifications on ecDNA in patient-derived glioblastoma cells, contemporaneous with occurrence of a new cell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containing </w:t>
      </w:r>
      <w:r>
        <w:rPr>
          <w:rFonts w:ascii="Arial" w:cs="Arial" w:eastAsia="Arial" w:hAnsi="Arial"/>
          <w:sz w:val="18"/>
          <w:szCs w:val="18"/>
          <w:i w:val="1"/>
          <w:iCs w:val="1"/>
          <w:color w:val="auto"/>
        </w:rPr>
        <w:t>MDM2</w:t>
      </w:r>
      <w:r>
        <w:rPr>
          <w:rFonts w:ascii="Arial" w:cs="Arial" w:eastAsia="Arial" w:hAnsi="Arial"/>
          <w:sz w:val="18"/>
          <w:szCs w:val="18"/>
          <w:color w:val="auto"/>
        </w:rPr>
        <w:t xml:space="preserve"> amplification on ecDNA; this observed effect was consistent with an equivalent lack of response to EGFR inhibitors in </w:t>
      </w:r>
      <w:r>
        <w:rPr>
          <w:rFonts w:ascii="Arial" w:cs="Arial" w:eastAsia="Arial" w:hAnsi="Arial"/>
          <w:sz w:val="18"/>
          <w:szCs w:val="18"/>
          <w:i w:val="1"/>
          <w:iCs w:val="1"/>
          <w:color w:val="auto"/>
        </w:rPr>
        <w:t xml:space="preserve">EGFR </w:t>
      </w:r>
      <w:r>
        <w:rPr>
          <w:rFonts w:ascii="Arial" w:cs="Arial" w:eastAsia="Arial" w:hAnsi="Arial"/>
          <w:sz w:val="18"/>
          <w:szCs w:val="18"/>
          <w:color w:val="auto"/>
        </w:rPr>
        <w:t>amplified cancer patients.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ecDNA can also facilitate resistance to therapeutic classes outside of targeted therapies. ecDNA-enabled resistance to chemotherapy was first demonstrated in a mouse cancer cell line whereby methotrexate treatment led to high amplification of </w:t>
      </w:r>
      <w:r>
        <w:rPr>
          <w:rFonts w:ascii="Arial" w:cs="Arial" w:eastAsia="Arial" w:hAnsi="Arial"/>
          <w:sz w:val="18"/>
          <w:szCs w:val="18"/>
          <w:i w:val="1"/>
          <w:iCs w:val="1"/>
          <w:color w:val="auto"/>
        </w:rPr>
        <w:t>DHFR</w:t>
      </w:r>
      <w:r>
        <w:rPr>
          <w:rFonts w:ascii="Arial" w:cs="Arial" w:eastAsia="Arial" w:hAnsi="Arial"/>
          <w:sz w:val="18"/>
          <w:szCs w:val="18"/>
          <w:color w:val="auto"/>
        </w:rPr>
        <w:t xml:space="preserve"> on ecDNA, which was lost upon removal of methotrexate. Similar instances of </w:t>
      </w:r>
      <w:r>
        <w:rPr>
          <w:rFonts w:ascii="Arial" w:cs="Arial" w:eastAsia="Arial" w:hAnsi="Arial"/>
          <w:sz w:val="18"/>
          <w:szCs w:val="18"/>
          <w:i w:val="1"/>
          <w:iCs w:val="1"/>
          <w:color w:val="auto"/>
        </w:rPr>
        <w:t>DHFR</w:t>
      </w:r>
      <w:r>
        <w:rPr>
          <w:rFonts w:ascii="Arial" w:cs="Arial" w:eastAsia="Arial" w:hAnsi="Arial"/>
          <w:sz w:val="18"/>
          <w:szCs w:val="18"/>
          <w:color w:val="auto"/>
        </w:rPr>
        <w:t xml:space="preserve"> ecDNA amplification have been recapitulated in multiple human cancer cell lines. Furthermore, amplification of drug efflux pump genes on ecDNA, including the family of ABC transporters, has been observed to facilitate resistance to various chemotherapies and other modalities.</w:t>
      </w:r>
    </w:p>
    <w:p>
      <w:pPr>
        <w:spacing w:after="0" w:line="17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Collectively, these data highlight the striking genomic plasticity and precipitous rise of ecDNA-enabled gene amplification that both drives oncogenesis and enables cancer cells to adapt to various therapeutic pressures, leading to rapid resistance. The rapid adaptability afforded by ecDNA-enabled genomic plasticity, including oncogene switching, helps account for the failure of targeted therapies against oncogene amplification-driven tumors, resulting in a futile, clinical ‘whack-a-mole’ phenomenon. We believe a new and differentiated strategy is needed to interfere with the underlying ecDNA biology that engenders tumor adaptability, heterogeneity, and therapeutic resistance.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Treating ecDNA-Enabled Cancer</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aspire to improve clinical outcomes for patients with oncogene amplified cancer by developing drugs that interfere with the formation and function of ecDNA in cancer cells. As described above, ecDNA contribute to oncogenesis by facilitating high copy number gene amplification and expression and to therapeutic resistance by providing rapid genomic plasticity. While cancer cells can use ecDNA for certain advantages, their reliance on ecDNA can also expose them to potential vulnerabilities. We use our proprietary Spyglass platform to interrogate ecDNA biology in cancer with the goal of identifying these vulnerabilities in the form of cellular targets that are essential for ecDNA-enabled tumor cell survival.</w:t>
      </w:r>
    </w:p>
    <w:p>
      <w:pPr>
        <w:spacing w:after="0" w:line="179"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We explore the ecDNA lifecycle to identify nodes of synthetic lethality in ecDNA-enabled cancers. In contrast to current precision medicine approaches that focus on targeting proteins that result directly from mutations or fusions of oncogenes such as, EGFR, BRAF, ALK, our precision medicine approach centers on disrupting ecDNA functionality in the cancer cells of patients who are genomically selected based on the presence of ecDNA-enabled oncogene amplification in their tumors. Instead of targeting the specific protein products of the oncogenes encoded by ecDNA, our novel small molecule ecDTx are designed to inhibit cellular machinery proteins that enable ecDNA to function properly, such as those critical for ecDNA formation, replication, repair, and segregation.</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developing our ecDTx to be administered as single agents and in combination with other therapies. The rationale for a combination approach is based on the observation described above that applying targeted therapy, or other therapeutic, pressure to oncogene amplified cancer cells causes them to respond and adapt via increased reliance on ecDNA. We believe this increased reliance on ecDNA for survival makes the cancer cells more susceptible to our ecDTx. We liken this phenomenon to a cellular vice grip concept as the targeted therapy pushes the surviving cancer cell population to higher reliance on ecDNA, and the ecDTx kills the cancer cells that most rely on ecDNA to survive. Thus, our therapeutic approach is based on the concept of ecDNA-dependent synthetic lethality and uses a strategy to interfere with cancer’s ability to employ ecDNA to grow, adapt, and survive.</w:t>
      </w:r>
    </w:p>
    <w:p>
      <w:pPr>
        <w:spacing w:after="0" w:line="185"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While targeting ecDNA biology is a novel approach to cancer treatment, our ecDTx drug discovery and development process is rooted in traditional small molecule drug discovery methodology.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Spyglass Platform</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have built our proprietary Spyglass platform to identify specific, druggable targets essential to ecDNA formation and function in cancer cells. To our knowledge, Spyglass is the only platform for identifying ecDNA-enabled vulnerabilities in cancer. We preclinically validate each ecDNA-essential drug target through our purpose-built validation funnel consisting of multiple oncogene-amplified cancer models. The targets that we identify and preclinically validate represent synthetic lethalities for oncogene amplified ecDNA-enabled tumors.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5"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Spyglass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163195</wp:posOffset>
            </wp:positionV>
            <wp:extent cx="5143500" cy="255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Spyglass consists of the following elements:</w:t>
      </w:r>
    </w:p>
    <w:p>
      <w:pPr>
        <w:spacing w:after="0" w:line="117" w:lineRule="exact"/>
        <w:rPr>
          <w:sz w:val="20"/>
          <w:szCs w:val="20"/>
          <w:color w:val="auto"/>
        </w:rPr>
      </w:pPr>
    </w:p>
    <w:p>
      <w:pPr>
        <w:ind w:left="1420" w:right="20" w:hanging="427"/>
        <w:spacing w:after="0" w:line="259" w:lineRule="auto"/>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Model Systems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heavily curated library of oncogene amplified cancer model systems, including ecDNA-enabled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and control models. We refer to this library as our ecDNA compendium (ecDC). The ecDC consists of more than</w:t>
      </w:r>
    </w:p>
    <w:p>
      <w:pPr>
        <w:spacing w:after="0" w:line="1"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100 well characterized cancer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including:</w:t>
      </w:r>
    </w:p>
    <w:p>
      <w:pPr>
        <w:spacing w:after="0" w:line="99" w:lineRule="exact"/>
        <w:rPr>
          <w:rFonts w:ascii="Arial" w:cs="Arial" w:eastAsia="Arial" w:hAnsi="Arial"/>
          <w:sz w:val="17"/>
          <w:szCs w:val="17"/>
          <w:color w:val="auto"/>
        </w:rPr>
      </w:pPr>
    </w:p>
    <w:p>
      <w:pPr>
        <w:ind w:left="1860" w:right="180" w:hanging="435"/>
        <w:spacing w:after="0" w:line="301" w:lineRule="auto"/>
        <w:tabs>
          <w:tab w:leader="none" w:pos="18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a panel of ecDNA-enabled models, representing multiple different tumor types, such as colorectal, gastric cancer, and sarcoma and multiple different oncodriver amplifications such as </w:t>
      </w:r>
      <w:r>
        <w:rPr>
          <w:rFonts w:ascii="Arial" w:cs="Arial" w:eastAsia="Arial" w:hAnsi="Arial"/>
          <w:sz w:val="17"/>
          <w:szCs w:val="17"/>
          <w:i w:val="1"/>
          <w:iCs w:val="1"/>
          <w:color w:val="auto"/>
        </w:rPr>
        <w:t>EGFR</w:t>
      </w:r>
      <w:r>
        <w:rPr>
          <w:rFonts w:ascii="Arial" w:cs="Arial" w:eastAsia="Arial" w:hAnsi="Arial"/>
          <w:sz w:val="17"/>
          <w:szCs w:val="17"/>
          <w:color w:val="auto"/>
        </w:rPr>
        <w:t xml:space="preserve">, </w:t>
      </w:r>
      <w:r>
        <w:rPr>
          <w:rFonts w:ascii="Arial" w:cs="Arial" w:eastAsia="Arial" w:hAnsi="Arial"/>
          <w:sz w:val="17"/>
          <w:szCs w:val="17"/>
          <w:i w:val="1"/>
          <w:iCs w:val="1"/>
          <w:color w:val="auto"/>
        </w:rPr>
        <w:t>FGFR2</w:t>
      </w:r>
      <w:r>
        <w:rPr>
          <w:rFonts w:ascii="Arial" w:cs="Arial" w:eastAsia="Arial" w:hAnsi="Arial"/>
          <w:sz w:val="17"/>
          <w:szCs w:val="17"/>
          <w:color w:val="auto"/>
        </w:rPr>
        <w:t xml:space="preserve">, </w:t>
      </w:r>
      <w:r>
        <w:rPr>
          <w:rFonts w:ascii="Arial" w:cs="Arial" w:eastAsia="Arial" w:hAnsi="Arial"/>
          <w:sz w:val="17"/>
          <w:szCs w:val="17"/>
          <w:i w:val="1"/>
          <w:iCs w:val="1"/>
          <w:color w:val="auto"/>
        </w:rPr>
        <w:t>CDK4</w:t>
      </w:r>
      <w:r>
        <w:rPr>
          <w:rFonts w:ascii="Arial" w:cs="Arial" w:eastAsia="Arial" w:hAnsi="Arial"/>
          <w:sz w:val="17"/>
          <w:szCs w:val="17"/>
          <w:color w:val="auto"/>
        </w:rPr>
        <w:t xml:space="preserve">, </w:t>
      </w:r>
      <w:r>
        <w:rPr>
          <w:rFonts w:ascii="Arial" w:cs="Arial" w:eastAsia="Arial" w:hAnsi="Arial"/>
          <w:sz w:val="17"/>
          <w:szCs w:val="17"/>
          <w:i w:val="1"/>
          <w:iCs w:val="1"/>
          <w:color w:val="auto"/>
        </w:rPr>
        <w:t>KRAS</w:t>
      </w:r>
      <w:r>
        <w:rPr>
          <w:rFonts w:ascii="Arial" w:cs="Arial" w:eastAsia="Arial" w:hAnsi="Arial"/>
          <w:sz w:val="17"/>
          <w:szCs w:val="17"/>
          <w:color w:val="auto"/>
        </w:rPr>
        <w:t xml:space="preserve">, and </w:t>
      </w:r>
      <w:r>
        <w:rPr>
          <w:rFonts w:ascii="Arial" w:cs="Arial" w:eastAsia="Arial" w:hAnsi="Arial"/>
          <w:sz w:val="17"/>
          <w:szCs w:val="17"/>
          <w:i w:val="1"/>
          <w:iCs w:val="1"/>
          <w:color w:val="auto"/>
        </w:rPr>
        <w:t>MYC</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ind w:left="1860" w:right="560" w:hanging="435"/>
        <w:spacing w:after="0" w:line="271" w:lineRule="auto"/>
        <w:tabs>
          <w:tab w:leader="none" w:pos="1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panel of matched control lines of various other states of gene amplification ranging from no amplification to chromosomal forms of amplification;</w:t>
      </w:r>
    </w:p>
    <w:p>
      <w:pPr>
        <w:spacing w:after="0" w:line="59" w:lineRule="exact"/>
        <w:rPr>
          <w:rFonts w:ascii="Arial" w:cs="Arial" w:eastAsia="Arial" w:hAnsi="Arial"/>
          <w:sz w:val="18"/>
          <w:szCs w:val="18"/>
          <w:color w:val="auto"/>
        </w:rPr>
      </w:pPr>
    </w:p>
    <w:p>
      <w:pPr>
        <w:ind w:left="1860" w:hanging="435"/>
        <w:spacing w:after="0" w:line="253" w:lineRule="auto"/>
        <w:tabs>
          <w:tab w:leader="none" w:pos="1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ecDNA-enabled models consist of both “driver oncogene amplified systems” where ecDNA is a primary driver of oncogenesis and “treatment induced resistance systems” where ecDNA becomes the dominant resistance mechanism under therapeutic pressure, such as targeted therapy or chemotherapy; and</w:t>
      </w:r>
    </w:p>
    <w:p>
      <w:pPr>
        <w:spacing w:after="0" w:line="74" w:lineRule="exact"/>
        <w:rPr>
          <w:rFonts w:ascii="Arial" w:cs="Arial" w:eastAsia="Arial" w:hAnsi="Arial"/>
          <w:sz w:val="18"/>
          <w:szCs w:val="18"/>
          <w:color w:val="auto"/>
        </w:rPr>
      </w:pPr>
    </w:p>
    <w:p>
      <w:pPr>
        <w:ind w:left="1860" w:hanging="435"/>
        <w:spacing w:after="0"/>
        <w:tabs>
          <w:tab w:leader="none" w:pos="186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models, including cell derived (CDX) and patient derived (PDX) tumor xenografts.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5"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ecDNA Compendium (ecDC)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163195</wp:posOffset>
            </wp:positionV>
            <wp:extent cx="5151755" cy="2426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51755" cy="242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20" w:right="100" w:hanging="427"/>
        <w:spacing w:after="0" w:line="271"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Analytical Tools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suite of custom-built analytical tools designed to detect, quantify, characterize, monitor, and perturb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ecDNA:</w:t>
      </w:r>
    </w:p>
    <w:p>
      <w:pPr>
        <w:spacing w:after="0" w:line="59" w:lineRule="exact"/>
        <w:rPr>
          <w:rFonts w:ascii="Arial" w:cs="Arial" w:eastAsia="Arial" w:hAnsi="Arial"/>
          <w:sz w:val="18"/>
          <w:szCs w:val="18"/>
          <w:color w:val="auto"/>
        </w:rPr>
      </w:pPr>
    </w:p>
    <w:p>
      <w:pPr>
        <w:ind w:left="1860" w:hanging="435"/>
        <w:spacing w:after="0"/>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proprietary imaging tools for visual detection and monitoring of ecDNA;</w:t>
      </w:r>
    </w:p>
    <w:p>
      <w:pPr>
        <w:spacing w:after="0" w:line="117" w:lineRule="exact"/>
        <w:rPr>
          <w:rFonts w:ascii="Arial" w:cs="Arial" w:eastAsia="Arial" w:hAnsi="Arial"/>
          <w:sz w:val="18"/>
          <w:szCs w:val="18"/>
          <w:color w:val="auto"/>
        </w:rPr>
      </w:pPr>
    </w:p>
    <w:p>
      <w:pPr>
        <w:ind w:left="1860" w:right="380" w:hanging="435"/>
        <w:spacing w:after="0" w:line="271" w:lineRule="auto"/>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off-the-shelf sequencing tools coupled to our proprietary analytical methods to detect, quantify, and characterize ecDNA; and</w:t>
      </w:r>
    </w:p>
    <w:p>
      <w:pPr>
        <w:spacing w:after="0" w:line="59" w:lineRule="exact"/>
        <w:rPr>
          <w:rFonts w:ascii="Arial" w:cs="Arial" w:eastAsia="Arial" w:hAnsi="Arial"/>
          <w:sz w:val="18"/>
          <w:szCs w:val="18"/>
          <w:color w:val="auto"/>
        </w:rPr>
      </w:pPr>
    </w:p>
    <w:p>
      <w:pPr>
        <w:ind w:left="1860" w:hanging="435"/>
        <w:spacing w:after="0" w:line="271" w:lineRule="auto"/>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whole genome and custom built CRISPR libraries and shRNA for perturbation of ecDNA and ecDNA-enabled cancer cells.</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Bioinformatics Data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databases, both clinical and preclinical, to facilitate, substantiate, and contextualize ecDNA-related observations:</w:t>
      </w:r>
    </w:p>
    <w:p>
      <w:pPr>
        <w:spacing w:after="0" w:line="59" w:lineRule="exact"/>
        <w:rPr>
          <w:rFonts w:ascii="Arial" w:cs="Arial" w:eastAsia="Arial" w:hAnsi="Arial"/>
          <w:sz w:val="18"/>
          <w:szCs w:val="18"/>
          <w:color w:val="auto"/>
        </w:rPr>
      </w:pPr>
    </w:p>
    <w:p>
      <w:pPr>
        <w:ind w:left="1860" w:right="200" w:hanging="435"/>
        <w:spacing w:after="0" w:line="253" w:lineRule="auto"/>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We analyze clinical databases of cancer patient genomic and clinical outcome data to support insights into ecDNA prevalence, patient populations, and clinical outcomes. Such analyses help us prioritize which tumor indications represent the largest opportunity and highest unmet need for our novel ecDTx.</w:t>
      </w:r>
    </w:p>
    <w:p>
      <w:pPr>
        <w:spacing w:after="0" w:line="74" w:lineRule="exact"/>
        <w:rPr>
          <w:rFonts w:ascii="Arial" w:cs="Arial" w:eastAsia="Arial" w:hAnsi="Arial"/>
          <w:sz w:val="18"/>
          <w:szCs w:val="18"/>
          <w:color w:val="auto"/>
        </w:rPr>
      </w:pPr>
    </w:p>
    <w:p>
      <w:pPr>
        <w:ind w:left="1860" w:right="500" w:hanging="435"/>
        <w:spacing w:after="0" w:line="271" w:lineRule="auto"/>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Complementary to our use of clinical databases, we also use information from preclinical databases to support target identification, target validation, biological pathway mapping, and model library expansion.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Target Identification and Validation</w:t>
      </w:r>
    </w:p>
    <w:p>
      <w:pPr>
        <w:spacing w:after="0" w:line="10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Through Spyglass, we have developed a sophisticated understanding of ecDNA biology and key cellular mechanisms that facilitate cancer cells’ deployment of ecDNA to enable both tumor growth and development of resistance to therapeutic treatments. This understanding has given us new insight on how to disrupt ecDNA function and cancer cell growth. Through multiple screening methods, we have identified several potential targets that differ not only by class, but also in the role the target plays in the formation and function of ecDNA in cancer cells.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To complement our target identification approach, we have established a robust target validation funnel through which all our candidate ecDNA targets must pass before we declare them as targets suitable for initiation of drug discovery efforts. This target validation funnel consists of:</w:t>
      </w:r>
    </w:p>
    <w:p>
      <w:pPr>
        <w:spacing w:after="0" w:line="74" w:lineRule="exact"/>
        <w:rPr>
          <w:sz w:val="20"/>
          <w:szCs w:val="20"/>
          <w:color w:val="auto"/>
        </w:rPr>
      </w:pPr>
    </w:p>
    <w:p>
      <w:pPr>
        <w:ind w:left="1420" w:right="340" w:hanging="427"/>
        <w:spacing w:after="0" w:line="271"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differential single agent sensitivity in multi cell line panels of matched ecDNA positive and ecDNA negative cancer cell lines;</w:t>
      </w:r>
    </w:p>
    <w:p>
      <w:pPr>
        <w:spacing w:after="0" w:line="59" w:lineRule="exact"/>
        <w:rPr>
          <w:rFonts w:ascii="Arial" w:cs="Arial" w:eastAsia="Arial" w:hAnsi="Arial"/>
          <w:sz w:val="18"/>
          <w:szCs w:val="18"/>
          <w:color w:val="auto"/>
        </w:rPr>
      </w:pPr>
    </w:p>
    <w:p>
      <w:pPr>
        <w:ind w:left="1420" w:right="140" w:hanging="427"/>
        <w:spacing w:after="0" w:line="271"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genetic, such as CRISPR, or pharmacologic inhibition of candidate targets in ecDNA-enabled cancer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and/or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phenotypic assessment of ecDNA function in ecDNA-enabled cancer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and/or </w:t>
      </w:r>
      <w:r>
        <w:rPr>
          <w:rFonts w:ascii="Arial" w:cs="Arial" w:eastAsia="Arial" w:hAnsi="Arial"/>
          <w:sz w:val="18"/>
          <w:szCs w:val="18"/>
          <w:i w:val="1"/>
          <w:iCs w:val="1"/>
          <w:color w:val="auto"/>
        </w:rPr>
        <w:t>in vivo;</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phenotypic assessment of ecDNA location and distribution in cancer cells;</w:t>
      </w:r>
    </w:p>
    <w:p>
      <w:pPr>
        <w:spacing w:after="0" w:line="117" w:lineRule="exact"/>
        <w:rPr>
          <w:rFonts w:ascii="Arial" w:cs="Arial" w:eastAsia="Arial" w:hAnsi="Arial"/>
          <w:sz w:val="18"/>
          <w:szCs w:val="18"/>
          <w:color w:val="auto"/>
        </w:rPr>
      </w:pPr>
    </w:p>
    <w:p>
      <w:pPr>
        <w:ind w:left="1420" w:right="100" w:hanging="427"/>
        <w:spacing w:after="0" w:line="271"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synthetic lethality assessment, in combination with various therapeutic classes, in inducible ecDNA assays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and/or </w:t>
      </w:r>
      <w:r>
        <w:rPr>
          <w:rFonts w:ascii="Arial" w:cs="Arial" w:eastAsia="Arial" w:hAnsi="Arial"/>
          <w:sz w:val="18"/>
          <w:szCs w:val="18"/>
          <w:i w:val="1"/>
          <w:iCs w:val="1"/>
          <w:color w:val="auto"/>
        </w:rPr>
        <w:t>in vivo</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1420" w:right="260" w:hanging="427"/>
        <w:spacing w:after="0" w:line="253"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assessments performed in multiple CDX and PDX xenograft models representing various cancer types,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gastric cancer, sarcoma, colorectal cancer, and various oncodriver amplifications, such as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FGFR2</w:t>
      </w:r>
      <w:r>
        <w:rPr>
          <w:rFonts w:ascii="Arial" w:cs="Arial" w:eastAsia="Arial" w:hAnsi="Arial"/>
          <w:sz w:val="18"/>
          <w:szCs w:val="18"/>
          <w:color w:val="auto"/>
        </w:rPr>
        <w:t xml:space="preserve">, </w:t>
      </w:r>
      <w:r>
        <w:rPr>
          <w:rFonts w:ascii="Arial" w:cs="Arial" w:eastAsia="Arial" w:hAnsi="Arial"/>
          <w:sz w:val="18"/>
          <w:szCs w:val="18"/>
          <w:i w:val="1"/>
          <w:iCs w:val="1"/>
          <w:color w:val="auto"/>
        </w:rPr>
        <w:t>CDK4</w:t>
      </w:r>
      <w:r>
        <w:rPr>
          <w:rFonts w:ascii="Arial" w:cs="Arial" w:eastAsia="Arial" w:hAnsi="Arial"/>
          <w:sz w:val="18"/>
          <w:szCs w:val="18"/>
          <w:color w:val="auto"/>
        </w:rPr>
        <w:t xml:space="preserve">, and </w:t>
      </w:r>
      <w:r>
        <w:rPr>
          <w:rFonts w:ascii="Arial" w:cs="Arial" w:eastAsia="Arial" w:hAnsi="Arial"/>
          <w:sz w:val="18"/>
          <w:szCs w:val="18"/>
          <w:i w:val="1"/>
          <w:iCs w:val="1"/>
          <w:color w:val="auto"/>
        </w:rPr>
        <w:t>MYC</w:t>
      </w:r>
      <w:r>
        <w:rPr>
          <w:rFonts w:ascii="Arial" w:cs="Arial" w:eastAsia="Arial" w:hAnsi="Arial"/>
          <w:sz w:val="18"/>
          <w:szCs w:val="18"/>
          <w:color w:val="auto"/>
        </w:rPr>
        <w:t>.</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Target Identification and Validation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163195</wp:posOffset>
            </wp:positionV>
            <wp:extent cx="4371975" cy="3566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7197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0" w:right="180" w:firstLine="551"/>
        <w:spacing w:after="0" w:line="253" w:lineRule="auto"/>
        <w:rPr>
          <w:sz w:val="20"/>
          <w:szCs w:val="20"/>
          <w:color w:val="auto"/>
        </w:rPr>
      </w:pPr>
      <w:r>
        <w:rPr>
          <w:rFonts w:ascii="Arial" w:cs="Arial" w:eastAsia="Arial" w:hAnsi="Arial"/>
          <w:sz w:val="18"/>
          <w:szCs w:val="18"/>
          <w:color w:val="auto"/>
        </w:rPr>
        <w:t>The ecDNA-essential targets that our platform has identified as suitable for drug discovery efforts consist of targets that are either novel, previously clinically validated but lacking approved drugs, or have approved pharmaceutical agents but nonselective to the target. There appears to be a wide range of potential targets whose inhibition impact distinct aspects of the ecDNA life cycle, including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enzymatic machinery responsible for segregation, replication, transcription, and repair of ecDNA. Each category of targets may have differentiated benefits in terms of optimal treatment setting, efficacy, tolerability, therapeutic index, and single agent versus combination approach. In addition to targets against which we have initiated drug discovery efforts, we also have multiple additional candidate targets for which we are currently pursuing preclinical target validation efforts. We believe that our ability to identify and pursue ecDNA-essential targets represents a unique capability and a sustainable engine for novel target identification, drug discovery, and value creation.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 of ecDNA-Directed Therapeutic Candidates (ecDTx)</w:t>
      </w:r>
    </w:p>
    <w:p>
      <w:pPr>
        <w:spacing w:after="0" w:line="10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are pioneering a new and differentiated approach to precision medicine focused on developing ecDTx. Our ecDTx are novel, small molecules that target specific biological pathways believed to be essential to ecDNA function in cancer cells. Through Spyglass, we are able to better understand the lifecycle of ecDNA, including ecDNA formation, segregation, maintenance, replication, transcription, and degradation. We have identified several vulnerability nodes of ecDNA biology for therapeutic intervention and are developing novel drug candidates to intercept these nodes. Our drug discovery efforts span multiple ecDNA synthetic lethal targets, including:</w:t>
      </w:r>
    </w:p>
    <w:p>
      <w:pPr>
        <w:spacing w:after="0" w:line="82" w:lineRule="exact"/>
        <w:rPr>
          <w:sz w:val="20"/>
          <w:szCs w:val="20"/>
          <w:color w:val="auto"/>
        </w:rPr>
      </w:pPr>
    </w:p>
    <w:p>
      <w:pPr>
        <w:ind w:left="1420" w:right="500" w:hanging="427"/>
        <w:spacing w:after="0" w:line="271"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CHK1: a DNA replication checkpoint kinase target that manages the cellular response to RS arising from oncogene amplification on ecDNA;</w:t>
      </w:r>
    </w:p>
    <w:p>
      <w:pPr>
        <w:spacing w:after="0" w:line="59" w:lineRule="exact"/>
        <w:rPr>
          <w:rFonts w:ascii="Arial" w:cs="Arial" w:eastAsia="Arial" w:hAnsi="Arial"/>
          <w:sz w:val="18"/>
          <w:szCs w:val="18"/>
          <w:color w:val="auto"/>
        </w:rPr>
      </w:pPr>
    </w:p>
    <w:p>
      <w:pPr>
        <w:ind w:left="1420" w:right="380" w:hanging="427"/>
        <w:spacing w:after="0" w:line="271"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RNR: a cellular kinase target involved in the creation of nucleotide building blocks essential for ecDNA assembly and repair; and</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Kinesin: a target essential for ecDNA segregation and inheritance during cell division.</w:t>
      </w:r>
    </w:p>
    <w:p>
      <w:pPr>
        <w:spacing w:after="0" w:line="21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Our diversified ecDTx pipeline currently consists of three small molecule programs against both novel and known cancer targets. In addition, our Spyglass platform continues to yield new candidate targets for potential future drug discovery efforts.</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Pipeline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2768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5"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Lead ecDTx: BBI-355 CHK1 Inhibitor</w:t>
      </w:r>
    </w:p>
    <w:p>
      <w:pPr>
        <w:spacing w:after="0" w:line="104" w:lineRule="exact"/>
        <w:rPr>
          <w:sz w:val="20"/>
          <w:szCs w:val="20"/>
          <w:color w:val="auto"/>
        </w:rPr>
      </w:pPr>
    </w:p>
    <w:p>
      <w:pPr>
        <w:ind w:left="120" w:right="40" w:firstLine="551"/>
        <w:spacing w:after="0" w:line="251" w:lineRule="auto"/>
        <w:rPr>
          <w:sz w:val="20"/>
          <w:szCs w:val="20"/>
          <w:color w:val="auto"/>
        </w:rPr>
      </w:pPr>
      <w:r>
        <w:rPr>
          <w:rFonts w:ascii="Arial" w:cs="Arial" w:eastAsia="Arial" w:hAnsi="Arial"/>
          <w:sz w:val="17"/>
          <w:szCs w:val="17"/>
          <w:color w:val="auto"/>
        </w:rPr>
        <w:t>Our lead ecDTx, BBI-355, is a novel, oral, selective small molecule CHK1 inhibitor being studied in the ongoing first-in-human Phase 1/2 POTENTIATE clinical trial in patients with oncogene amplified cancers agnostic to tumor type. In preclinical models, BBI-355 showed inhibition of CHK1 in a host of tumor cell lines. CHK1 is a master regulator of cells’ response to RS. RS is elevated in ecDNA-enabled oncogene amplified cancer cells and, because of this, represents a key vulnerability of those cells. BBI-355 is designed to exploit this elevated RS in ecDNA-enabled oncogene amplified cancer cells by disrupting proper CHK1 function in regulating RS and thereby facilitating catastrophic RS to preferentially kill cancer cells relative to healthy cells. We expect to have preliminary clinical proof of concept safety and anti-tumor activity data of BBI-355 as a single agent and in combination with targeted therapies from the POTENTIATE trial in</w:t>
      </w:r>
    </w:p>
    <w:p>
      <w:pPr>
        <w:ind w:left="120"/>
        <w:spacing w:after="0"/>
        <w:tabs>
          <w:tab w:leader="none" w:pos="1400" w:val="left"/>
          <w:tab w:leader="none" w:pos="4480" w:val="left"/>
          <w:tab w:leader="none" w:pos="89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 including approximately</w:t>
      </w:r>
      <w:r>
        <w:rPr>
          <w:sz w:val="20"/>
          <w:szCs w:val="20"/>
          <w:color w:val="auto"/>
        </w:rPr>
        <w:tab/>
      </w:r>
      <w:r>
        <w:rPr>
          <w:rFonts w:ascii="Arial" w:cs="Arial" w:eastAsia="Arial" w:hAnsi="Arial"/>
          <w:sz w:val="18"/>
          <w:szCs w:val="18"/>
          <w:color w:val="auto"/>
        </w:rPr>
        <w:t>total enrolled patients (single agent cohorts N=~</w:t>
      </w:r>
      <w:r>
        <w:rPr>
          <w:sz w:val="20"/>
          <w:szCs w:val="20"/>
          <w:color w:val="auto"/>
        </w:rPr>
        <w:tab/>
      </w:r>
      <w:r>
        <w:rPr>
          <w:rFonts w:ascii="Arial" w:cs="Arial" w:eastAsia="Arial" w:hAnsi="Arial"/>
          <w:sz w:val="17"/>
          <w:szCs w:val="17"/>
          <w:color w:val="auto"/>
        </w:rPr>
        <w:t>, combination cohorts N=~</w:t>
      </w:r>
    </w:p>
    <w:p>
      <w:pPr>
        <w:ind w:left="720"/>
        <w:spacing w:after="0"/>
        <w:rPr>
          <w:sz w:val="20"/>
          <w:szCs w:val="20"/>
          <w:color w:val="auto"/>
        </w:rPr>
      </w:pPr>
      <w:r>
        <w:rPr>
          <w:rFonts w:ascii="Arial" w:cs="Arial" w:eastAsia="Arial" w:hAnsi="Arial"/>
          <w:sz w:val="18"/>
          <w:szCs w:val="18"/>
          <w:color w:val="auto"/>
        </w:rPr>
        <w: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CHK1 Synthetic Lethality in Oncogene Amplified Cancer</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With every mammalian cell division, chromosomes comprised of billions of nucleotides must be precisely copied in coordination with the cell cycle to avoid dysregulated DNA replication or RS, which can lead to DNA damage, mis-segregation of genetic material, and, if unregulated, cell death. RS is characterized by uncoupling of the replicative helicase and DNA polymerase, slowdown of DNA synthesis, and/or replication fork stalling. These result in long stretches of fragile single stranded DNA (ssDNA) that is protected temporarily by binding to phosphorylated RPA protein (pRPA) to allow time for the rest of the cellular RS response to resolve any DNA damage. Low level RS is tolerated by cancer cells through an increased reliance on specific cellular machinery responsible for RS mitigation. In contrast, excessive RS can result in extensive DNA damage and cell death through replication and/or cell division catastrophe. Results from multiple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suggest that cancer cells with gene amplifications on ecDNA exhibited elevated intrinsic levels of RS and were hypersensitive to further increases in RS, thus providing the rationale to leverage this liability as a therapeutic strategy to treat oncogene amplified cancers.</w:t>
      </w:r>
    </w:p>
    <w:p>
      <w:pPr>
        <w:spacing w:after="0" w:line="180"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Circular ecDNA creates abnormally high accessibility of the DNA encoded on the circle, and those DNA remain accessible throughout the cell cycle. Open, accessible DNA is available to the cellular machinery for DNA replication and for RNA transcription. In healthy cells, these two processes are tightly coordinated so that cells do not replicate and transcribe the same regions of DNA at the same time. When transcription and replication do occur at the same time and place, transcription-replication collisions occur, resulting in stalled replication forks and RS. Consequently, tumor cells that have ecDNA also have colliding transcription and replication and are therefore under a great deal of RS, as detected by high pRPA levels. This elevated RS creates a unique, druggable, cancer-specific vulnerability.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ecDNA-enabled Cancer Cells Demonstrate Elevated Intrinsic Levels of 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163195</wp:posOffset>
            </wp:positionV>
            <wp:extent cx="5194935" cy="2314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9493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We are seeking to exploit this synthetic lethal relationship to identify druggable targets essential for survival of cells harboring ecDNA. To this end, as seen in the figure below, we conducted a CRISPR kinome screen in cancer cells resistant to the cancer drug methotrexate via amplification of the gene </w:t>
      </w:r>
      <w:r>
        <w:rPr>
          <w:rFonts w:ascii="Arial" w:cs="Arial" w:eastAsia="Arial" w:hAnsi="Arial"/>
          <w:sz w:val="18"/>
          <w:szCs w:val="18"/>
          <w:i w:val="1"/>
          <w:iCs w:val="1"/>
          <w:color w:val="auto"/>
        </w:rPr>
        <w:t>DHFR</w:t>
      </w:r>
      <w:r>
        <w:rPr>
          <w:rFonts w:ascii="Arial" w:cs="Arial" w:eastAsia="Arial" w:hAnsi="Arial"/>
          <w:sz w:val="18"/>
          <w:szCs w:val="18"/>
          <w:color w:val="auto"/>
        </w:rPr>
        <w:t xml:space="preserve"> on ecDNA. In this ecDNA model system, genetic inactivation of the kinase CHK1 (encoded by </w:t>
      </w:r>
      <w:r>
        <w:rPr>
          <w:rFonts w:ascii="Arial" w:cs="Arial" w:eastAsia="Arial" w:hAnsi="Arial"/>
          <w:sz w:val="18"/>
          <w:szCs w:val="18"/>
          <w:i w:val="1"/>
          <w:iCs w:val="1"/>
          <w:color w:val="auto"/>
        </w:rPr>
        <w:t>CHEK1</w:t>
      </w:r>
      <w:r>
        <w:rPr>
          <w:rFonts w:ascii="Arial" w:cs="Arial" w:eastAsia="Arial" w:hAnsi="Arial"/>
          <w:sz w:val="18"/>
          <w:szCs w:val="18"/>
          <w:color w:val="auto"/>
        </w:rPr>
        <w:t>) resulted in enhanced cytotoxicity in ecDNA-enabled cells as compared to ecDNA negative cells, providing evidence of CHK1 as a potential drug target for ecDNA-enabled tumors.</w:t>
      </w:r>
    </w:p>
    <w:p>
      <w:pPr>
        <w:spacing w:after="0" w:line="284" w:lineRule="exact"/>
        <w:rPr>
          <w:sz w:val="20"/>
          <w:szCs w:val="20"/>
          <w:color w:val="auto"/>
        </w:rPr>
      </w:pPr>
    </w:p>
    <w:p>
      <w:pPr>
        <w:jc w:val="center"/>
        <w:ind w:left="540" w:right="140"/>
        <w:spacing w:after="0" w:line="281" w:lineRule="auto"/>
        <w:rPr>
          <w:sz w:val="20"/>
          <w:szCs w:val="20"/>
          <w:color w:val="auto"/>
        </w:rPr>
      </w:pPr>
      <w:r>
        <w:rPr>
          <w:rFonts w:ascii="Arial" w:cs="Arial" w:eastAsia="Arial" w:hAnsi="Arial"/>
          <w:sz w:val="18"/>
          <w:szCs w:val="18"/>
          <w:b w:val="1"/>
          <w:bCs w:val="1"/>
          <w:color w:val="auto"/>
        </w:rPr>
        <w:t>CRISPR Kinome Screen Identified CHK1 (</w:t>
      </w:r>
      <w:r>
        <w:rPr>
          <w:rFonts w:ascii="Arial" w:cs="Arial" w:eastAsia="Arial" w:hAnsi="Arial"/>
          <w:sz w:val="18"/>
          <w:szCs w:val="18"/>
          <w:b w:val="1"/>
          <w:bCs w:val="1"/>
          <w:i w:val="1"/>
          <w:iCs w:val="1"/>
          <w:color w:val="auto"/>
        </w:rPr>
        <w:t>CHEK1</w:t>
      </w:r>
      <w:r>
        <w:rPr>
          <w:rFonts w:ascii="Arial" w:cs="Arial" w:eastAsia="Arial" w:hAnsi="Arial"/>
          <w:sz w:val="18"/>
          <w:szCs w:val="18"/>
          <w:b w:val="1"/>
          <w:bCs w:val="1"/>
          <w:color w:val="auto"/>
        </w:rPr>
        <w:t>) Inhibition as a Top Synthetic Lethality Hit in ecDNA-enabled Methotrexate Resistant (MTX-R)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115570</wp:posOffset>
            </wp:positionV>
            <wp:extent cx="3660140" cy="2254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601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CHK1 is cells’ master regulator of the RS response. CHK1 protects stalled DNA forks, manages DNA replication origin firing, temporarily arrests the cell cycle to allow time for DNA repair, and orchestrates repair through homologous recombination. As such, as seen in the figure below, CHK1 serves an essential role in managing RS, making it a potential therapeutic target for cancer therapy in tumors with high RS, such as those with ecDNA-enabled oncogene amplifications.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5"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CHK1 is the Cellular Master Regulator of the Response to ecDNA-Induced 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163195</wp:posOffset>
            </wp:positionV>
            <wp:extent cx="2871470" cy="2211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7147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 xml:space="preserve">In our research, both genetic inactivation and pharmacological inhibition of CHK1 using structurally distinct inhibitors resulted in enhanced cytotoxicity to ecDNA-enabled cells compared to cells lacking ecDNA. This synthetic lethal relationship was observed across multiple preclinical models spanning different cancer indications and oncogene amplifications, such as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FGFR2, CDK4, MYC,</w:t>
      </w:r>
      <w:r>
        <w:rPr>
          <w:rFonts w:ascii="Arial" w:cs="Arial" w:eastAsia="Arial" w:hAnsi="Arial"/>
          <w:sz w:val="18"/>
          <w:szCs w:val="18"/>
          <w:color w:val="auto"/>
        </w:rPr>
        <w:t xml:space="preserve"> and </w:t>
      </w:r>
      <w:r>
        <w:rPr>
          <w:rFonts w:ascii="Arial" w:cs="Arial" w:eastAsia="Arial" w:hAnsi="Arial"/>
          <w:sz w:val="18"/>
          <w:szCs w:val="18"/>
          <w:i w:val="1"/>
          <w:iCs w:val="1"/>
          <w:color w:val="auto"/>
        </w:rPr>
        <w:t>MET</w:t>
      </w:r>
      <w:r>
        <w:rPr>
          <w:rFonts w:ascii="Arial" w:cs="Arial" w:eastAsia="Arial" w:hAnsi="Arial"/>
          <w:sz w:val="18"/>
          <w:szCs w:val="18"/>
          <w:color w:val="auto"/>
        </w:rPr>
        <w:t>. CHK1 inhibition, both as a single agent and in combination with targeted therapy, resulted in tumor growth inhibition and tumor</w:t>
      </w:r>
      <w:r>
        <w:rPr>
          <w:rFonts w:ascii="Arial" w:cs="Arial" w:eastAsia="Arial" w:hAnsi="Arial"/>
          <w:sz w:val="18"/>
          <w:szCs w:val="18"/>
          <w:i w:val="1"/>
          <w:iCs w:val="1"/>
          <w:color w:val="auto"/>
        </w:rPr>
        <w:t xml:space="preserve"> </w:t>
      </w:r>
      <w:r>
        <w:rPr>
          <w:rFonts w:ascii="Arial" w:cs="Arial" w:eastAsia="Arial" w:hAnsi="Arial"/>
          <w:sz w:val="18"/>
          <w:szCs w:val="18"/>
          <w:color w:val="auto"/>
        </w:rPr>
        <w:t>regressions, which correlated with reduced levels of ecDNA-based gene amplification in ecDNA-enabled xenograft models.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Challenges with CHK1 Inhibitor Development</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CHK1 has been considered a cancer target for many years, and several biopharmaceutical companies have attempted to develop CHK1 inhibitors for cancer. In the past, a major challenge to developing CHK1 inhibitors to treat cancer was difficulty in accurately identifying tumors with high RS or other vulnerabilities that would respond well to this therapeutic approach. Despite strong preclinical data and preliminary evidence of clinical activity for CHK1 inhibition, including single agent responses in a small percentage of patients, no development programs have advanced to registration, which we believe is due to lack of adequate predictive biomarker(s) and optimal clinical development strategies. In addition, a range of other challenges have stalled the clinical advancement of prior CHK1 inhibitors. These challenges included suboptimal drug properties, potential compound scaffold-specific safety liabilities, such as potential cardiotoxicities and drug-drug interactions, as well as weak potency or selectivity. Furthermore, IV administered CHK1 inhibitors make continuous or chronic intermittent dosing, which we believe is critical for targeting ecDNA biology, more challenging.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Differentiated Approach</w:t>
      </w:r>
    </w:p>
    <w:p>
      <w:pPr>
        <w:spacing w:after="0" w:line="102" w:lineRule="exact"/>
        <w:rPr>
          <w:sz w:val="20"/>
          <w:szCs w:val="20"/>
          <w:color w:val="auto"/>
        </w:rPr>
      </w:pPr>
    </w:p>
    <w:p>
      <w:pPr>
        <w:ind w:left="120" w:right="120" w:firstLine="551"/>
        <w:spacing w:after="0" w:line="259" w:lineRule="auto"/>
        <w:rPr>
          <w:sz w:val="20"/>
          <w:szCs w:val="20"/>
          <w:color w:val="auto"/>
        </w:rPr>
      </w:pPr>
      <w:r>
        <w:rPr>
          <w:rFonts w:ascii="Arial" w:cs="Arial" w:eastAsia="Arial" w:hAnsi="Arial"/>
          <w:sz w:val="17"/>
          <w:szCs w:val="17"/>
          <w:color w:val="auto"/>
        </w:rPr>
        <w:t>Through extensive preclinical studies in ecDNA-enabled oncogene amplified cancer models, we determined what we consider the optimal CHK1 inhibitor profile for targeting ecDNA-enabled tumors and designed our lead ecDTx, BBI-355, accordingly. We believe that with the optimized biochemical profile of BBI-355, alongside our differentiated precision oncology development strategy, coupled with our approach to identify patients with oncogene amplifications on ecDNA using our ecDNA diagnostic, we can overcome the challenges encountered with prior CHK1 inhibitors. BBI-355 showed picomolar biochemical inhibition of CHK1, low nanomolar activity in a host of tumor cell lines, and substantial anti-tumor activity in multiple ecDNA-enabled xenograft models representing several tumor types and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various driver oncogene amplifications. We are developing BBI-355 for the treatment of oncogene amplified solid tumors, including those with amplifications on ecDNA as detected by our proprietary ecDNA diagnostic.</w:t>
      </w:r>
    </w:p>
    <w:p>
      <w:pPr>
        <w:spacing w:after="0" w:line="154"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 xml:space="preserve">Properties of BBI-355 observed in preclinical studies are shown below. BBI-355 is a novel, oral, selective small molecule inhibitor of CHK1, and we believe has a predicted low risk of drug-drug interaction and cardiovascular liabilities based 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CYP and hERG/cardiomyocyte study results, respectively.</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Preclinical Properties of BBI-355 CHK1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163195</wp:posOffset>
            </wp:positionV>
            <wp:extent cx="4054475" cy="2425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5447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BBI-355 In Vitro Preclinical Data</w:t>
      </w:r>
    </w:p>
    <w:p>
      <w:pPr>
        <w:spacing w:after="0" w:line="10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 xml:space="preserve">BBI-355 was first characterized extensively </w:t>
      </w:r>
      <w:r>
        <w:rPr>
          <w:rFonts w:ascii="Arial" w:cs="Arial" w:eastAsia="Arial" w:hAnsi="Arial"/>
          <w:sz w:val="18"/>
          <w:szCs w:val="18"/>
          <w:i w:val="1"/>
          <w:iCs w:val="1"/>
          <w:color w:val="auto"/>
        </w:rPr>
        <w:t>in vitro</w:t>
      </w:r>
      <w:r>
        <w:rPr>
          <w:rFonts w:ascii="Arial" w:cs="Arial" w:eastAsia="Arial" w:hAnsi="Arial"/>
          <w:sz w:val="18"/>
          <w:szCs w:val="18"/>
          <w:color w:val="auto"/>
        </w:rPr>
        <w:t>. As seen in the figure below, the kinase selectivity of BBI-355 was evaluated in a broad screen, displaying minimal off-target activity and with high selectivity across the kinome.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Kinase Selectivity of BBI-355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33604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firstLine="551"/>
        <w:spacing w:after="0" w:line="259" w:lineRule="auto"/>
        <w:rPr>
          <w:sz w:val="20"/>
          <w:szCs w:val="20"/>
          <w:color w:val="auto"/>
        </w:rPr>
      </w:pPr>
      <w:r>
        <w:rPr>
          <w:rFonts w:ascii="Arial" w:cs="Arial" w:eastAsia="Arial" w:hAnsi="Arial"/>
          <w:sz w:val="17"/>
          <w:szCs w:val="17"/>
          <w:color w:val="auto"/>
        </w:rPr>
        <w:t>As seen in the figure below, BBI-355 demonstrated broad cytotoxicity against a host of tumor cell lines, with IC</w:t>
      </w:r>
      <w:r>
        <w:rPr>
          <w:rFonts w:ascii="Arial" w:cs="Arial" w:eastAsia="Arial" w:hAnsi="Arial"/>
          <w:sz w:val="12"/>
          <w:szCs w:val="12"/>
          <w:color w:val="auto"/>
        </w:rPr>
        <w:t>50</w:t>
      </w:r>
      <w:r>
        <w:rPr>
          <w:rFonts w:ascii="Arial" w:cs="Arial" w:eastAsia="Arial" w:hAnsi="Arial"/>
          <w:sz w:val="17"/>
          <w:szCs w:val="17"/>
          <w:color w:val="auto"/>
        </w:rPr>
        <w:t xml:space="preserve"> ranges from ~5 nM – 200 nM. Consistent with the enhanced reliance that ecDNA-enabled oncogene amplified cancer cells have on CHK1 due to their intrinsic elevated RS, we have observed increased sensitivity in ecDNA-enabled cancer cell lines over ecDNA negative cancer cell lines. This observation was exemplified using a near isogenic matched cell line pair of colorectal cancer cell lines (COLO320 ecDNA-enabled (+) versus COLO320 ecDNA (-)), wherein BBI-355 was approximately 10-fold more cytotoxic in ecDNA-enabled cells. Importantly, the potency of cytotoxicity in the ecDNA-enabled cancer cells paralleled the IC</w:t>
      </w:r>
      <w:r>
        <w:rPr>
          <w:rFonts w:ascii="Arial" w:cs="Arial" w:eastAsia="Arial" w:hAnsi="Arial"/>
          <w:sz w:val="12"/>
          <w:szCs w:val="12"/>
          <w:color w:val="auto"/>
        </w:rPr>
        <w:t>50</w:t>
      </w:r>
      <w:r>
        <w:rPr>
          <w:rFonts w:ascii="Arial" w:cs="Arial" w:eastAsia="Arial" w:hAnsi="Arial"/>
          <w:sz w:val="17"/>
          <w:szCs w:val="17"/>
          <w:color w:val="auto"/>
        </w:rPr>
        <w:t xml:space="preserve"> for cellular biomarkers of RS, including pRPA, pCHK1, and gH2AX.</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BBI-355 Demonstrated Increased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Activity in ecDNA+ Versus ecDNA-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163195</wp:posOffset>
            </wp:positionV>
            <wp:extent cx="4243070" cy="2272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4307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BBI-355 Preferentially Increased RS in ecDNA+ Oncogene Amplified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163195</wp:posOffset>
            </wp:positionV>
            <wp:extent cx="2708910" cy="19716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0891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BBI-355 Single Agent In Vivo Preclinical Data</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As seen in the figure below, the anti-tumor activity of BBI-355 was further exemplified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multiple ecDNA-enabled xenograft models representing several tumor types and various driver oncogene amplifications. Orally administered BBI-355 demonstrated single agent activity, including regressions in several cases, in an ecDNA-enabled </w:t>
      </w:r>
      <w:r>
        <w:rPr>
          <w:rFonts w:ascii="Arial" w:cs="Arial" w:eastAsia="Arial" w:hAnsi="Arial"/>
          <w:sz w:val="18"/>
          <w:szCs w:val="18"/>
          <w:i w:val="1"/>
          <w:iCs w:val="1"/>
          <w:color w:val="auto"/>
        </w:rPr>
        <w:t>CDK4</w:t>
      </w:r>
      <w:r>
        <w:rPr>
          <w:rFonts w:ascii="Arial" w:cs="Arial" w:eastAsia="Arial" w:hAnsi="Arial"/>
          <w:sz w:val="18"/>
          <w:szCs w:val="18"/>
          <w:color w:val="auto"/>
        </w:rPr>
        <w:t xml:space="preserve"> amplified osteosarcoma CDX model, ecDNA-enabled </w:t>
      </w:r>
      <w:r>
        <w:rPr>
          <w:rFonts w:ascii="Arial" w:cs="Arial" w:eastAsia="Arial" w:hAnsi="Arial"/>
          <w:sz w:val="18"/>
          <w:szCs w:val="18"/>
          <w:i w:val="1"/>
          <w:iCs w:val="1"/>
          <w:color w:val="auto"/>
        </w:rPr>
        <w:t xml:space="preserve">EGFR &amp; MET </w:t>
      </w:r>
      <w:r>
        <w:rPr>
          <w:rFonts w:ascii="Arial" w:cs="Arial" w:eastAsia="Arial" w:hAnsi="Arial"/>
          <w:sz w:val="18"/>
          <w:szCs w:val="18"/>
          <w:color w:val="auto"/>
        </w:rPr>
        <w:t>amplified NSCLC PDX model, ecDNA-enabled</w:t>
      </w:r>
      <w:r>
        <w:rPr>
          <w:rFonts w:ascii="Arial" w:cs="Arial" w:eastAsia="Arial" w:hAnsi="Arial"/>
          <w:sz w:val="18"/>
          <w:szCs w:val="18"/>
          <w:i w:val="1"/>
          <w:iCs w:val="1"/>
          <w:color w:val="auto"/>
        </w:rPr>
        <w:t xml:space="preserve"> MYCN </w:t>
      </w:r>
      <w:r>
        <w:rPr>
          <w:rFonts w:ascii="Arial" w:cs="Arial" w:eastAsia="Arial" w:hAnsi="Arial"/>
          <w:sz w:val="18"/>
          <w:szCs w:val="18"/>
          <w:color w:val="auto"/>
        </w:rPr>
        <w:t>amplified neuroblastoma CDX model, and ecDNA-enabled</w:t>
      </w:r>
      <w:r>
        <w:rPr>
          <w:rFonts w:ascii="Arial" w:cs="Arial" w:eastAsia="Arial" w:hAnsi="Arial"/>
          <w:sz w:val="18"/>
          <w:szCs w:val="18"/>
          <w:i w:val="1"/>
          <w:iCs w:val="1"/>
          <w:color w:val="auto"/>
        </w:rPr>
        <w:t xml:space="preserve"> FGFR2 </w:t>
      </w:r>
      <w:r>
        <w:rPr>
          <w:rFonts w:ascii="Arial" w:cs="Arial" w:eastAsia="Arial" w:hAnsi="Arial"/>
          <w:sz w:val="18"/>
          <w:szCs w:val="18"/>
          <w:color w:val="auto"/>
        </w:rPr>
        <w:t>amplified gastric cancer PDX model.</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0"/>
          </w:cols>
          <w:pgMar w:left="320" w:top="455" w:right="6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BBI-355 Demonstrated Single Agent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Activity Across Multiple ecDNA+ Oncogene Amplified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163195</wp:posOffset>
            </wp:positionV>
            <wp:extent cx="4620260" cy="3669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2026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Another CHK1 inhibitor currently in clinical development is prexasertib, which is administered IV every 14 days to patients with cancer. In order to assess the utility of oral administration of a CHK1 inhibitor, BBI-355 administered orally daily or every other day was compared to prexasertib administered subcutaneously (SC) every 14 days to mimic clinical IV administration, in a head-to-head study in a </w:t>
      </w:r>
      <w:r>
        <w:rPr>
          <w:rFonts w:ascii="Arial" w:cs="Arial" w:eastAsia="Arial" w:hAnsi="Arial"/>
          <w:sz w:val="18"/>
          <w:szCs w:val="18"/>
          <w:i w:val="1"/>
          <w:iCs w:val="1"/>
          <w:color w:val="auto"/>
        </w:rPr>
        <w:t xml:space="preserve">MYCN </w:t>
      </w:r>
      <w:r>
        <w:rPr>
          <w:rFonts w:ascii="Arial" w:cs="Arial" w:eastAsia="Arial" w:hAnsi="Arial"/>
          <w:sz w:val="18"/>
          <w:szCs w:val="18"/>
          <w:color w:val="auto"/>
        </w:rPr>
        <w:t>amplified mouse xenograft neuroblastoma model. In this preclinical study, as seen in the figure below, the more frequent oral</w:t>
      </w:r>
      <w:r>
        <w:rPr>
          <w:rFonts w:ascii="Arial" w:cs="Arial" w:eastAsia="Arial" w:hAnsi="Arial"/>
          <w:sz w:val="18"/>
          <w:szCs w:val="18"/>
          <w:i w:val="1"/>
          <w:iCs w:val="1"/>
          <w:color w:val="auto"/>
        </w:rPr>
        <w:t xml:space="preserve"> </w:t>
      </w:r>
      <w:r>
        <w:rPr>
          <w:rFonts w:ascii="Arial" w:cs="Arial" w:eastAsia="Arial" w:hAnsi="Arial"/>
          <w:sz w:val="18"/>
          <w:szCs w:val="18"/>
          <w:color w:val="auto"/>
        </w:rPr>
        <w:t>dosing strategy of BBI-355 demonstrated statistically significant superior anti-tumor activity compared to both the vehicle and prexasertib, as measured by tumor growth inhibition, without increased toxicity, as measured by body weight gain. Notably, the prexasertib dose of 15 mg/kg SC every 14 days in this mouse study delivered equivalent therapeutic exposure, with matching area under the curve (AUC), to the reported clinical exposure at the human recommended Phase 2 dose of 105 mg/m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IV every 14 days.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5"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460"/>
        <w:spacing w:after="0" w:line="281" w:lineRule="auto"/>
        <w:rPr>
          <w:sz w:val="20"/>
          <w:szCs w:val="20"/>
          <w:color w:val="auto"/>
        </w:rPr>
      </w:pPr>
      <w:r>
        <w:rPr>
          <w:rFonts w:ascii="Arial" w:cs="Arial" w:eastAsia="Arial" w:hAnsi="Arial"/>
          <w:sz w:val="18"/>
          <w:szCs w:val="18"/>
          <w:b w:val="1"/>
          <w:bCs w:val="1"/>
          <w:color w:val="auto"/>
        </w:rPr>
        <w:t xml:space="preserve">Head-to-Head Comparison of BBI-355 and Prexasertib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Tolerability, and Pharmacokinetics as a Single Agent in a </w:t>
      </w:r>
      <w:r>
        <w:rPr>
          <w:rFonts w:ascii="Arial" w:cs="Arial" w:eastAsia="Arial" w:hAnsi="Arial"/>
          <w:sz w:val="18"/>
          <w:szCs w:val="18"/>
          <w:b w:val="1"/>
          <w:bCs w:val="1"/>
          <w:i w:val="1"/>
          <w:iCs w:val="1"/>
          <w:color w:val="auto"/>
        </w:rPr>
        <w:t>MYCN</w:t>
      </w:r>
      <w:r>
        <w:rPr>
          <w:rFonts w:ascii="Arial" w:cs="Arial" w:eastAsia="Arial" w:hAnsi="Arial"/>
          <w:sz w:val="18"/>
          <w:szCs w:val="18"/>
          <w:b w:val="1"/>
          <w:bCs w:val="1"/>
          <w:color w:val="auto"/>
        </w:rPr>
        <w:t xml:space="preserve"> Amplified Neuroblastoma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115570</wp:posOffset>
            </wp:positionV>
            <wp:extent cx="4774565" cy="3720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74565"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BBI-355 Combination In Vivo Preclinical Data</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Cancers that harbor amplified oncogenes, such as </w:t>
      </w:r>
      <w:r>
        <w:rPr>
          <w:rFonts w:ascii="Arial" w:cs="Arial" w:eastAsia="Arial" w:hAnsi="Arial"/>
          <w:sz w:val="18"/>
          <w:szCs w:val="18"/>
          <w:i w:val="1"/>
          <w:iCs w:val="1"/>
          <w:color w:val="auto"/>
        </w:rPr>
        <w:t>EGFR, FGFR, or CDK4</w:t>
      </w:r>
      <w:r>
        <w:rPr>
          <w:rFonts w:ascii="Arial" w:cs="Arial" w:eastAsia="Arial" w:hAnsi="Arial"/>
          <w:sz w:val="18"/>
          <w:szCs w:val="18"/>
          <w:color w:val="auto"/>
        </w:rPr>
        <w:t>, typically do not respond well to single agent targeted therapies. We believe this is because ecDNA can facilitate rapid genomic plasticity, leading to resistance to selective therapeutic pressure. We believe this ecDNA-enabled resistance to targeted therapies can be overcome by combining our ecDTx, such as BBI-355, with targeted agents to interrupt the potential for ecDNA to facilitate resistance. We believe that this ecDTx and targeted therapy combination strategy may be effective across multiple different oncogene cargos encoded on the ecDNA and may lead to higher response rates, deeper regressions, and longer duration of responses as compared to single agent targeted therapies.</w:t>
      </w:r>
    </w:p>
    <w:p>
      <w:pPr>
        <w:spacing w:after="0" w:line="179"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color w:val="auto"/>
        </w:rPr>
        <w:t>Preclinically, we have observed that applying targeted therapy pressure to tumors with ecDNA-enabled oncogene amplification induced tumor cells to evade such pressure via ecDNA-based resistance mechanisms, further increasing RS and reliance on CHK1. Accordingly, and consistent with the vice grip analogy described above, BBI-355 demonstrated combination activity when administered alongside targeted therapies in ecDNA-enabled oncogene amplified xenograft models that are generally resistant to treatment with targeted therapies alone.</w:t>
      </w:r>
    </w:p>
    <w:p>
      <w:pPr>
        <w:spacing w:after="0" w:line="176" w:lineRule="exact"/>
        <w:rPr>
          <w:sz w:val="20"/>
          <w:szCs w:val="20"/>
          <w:color w:val="auto"/>
        </w:rPr>
      </w:pPr>
    </w:p>
    <w:p>
      <w:pPr>
        <w:jc w:val="both"/>
        <w:ind w:left="120" w:right="260" w:firstLine="551"/>
        <w:spacing w:after="0" w:line="253" w:lineRule="auto"/>
        <w:rPr>
          <w:sz w:val="20"/>
          <w:szCs w:val="20"/>
          <w:color w:val="auto"/>
        </w:rPr>
      </w:pPr>
      <w:r>
        <w:rPr>
          <w:rFonts w:ascii="Arial" w:cs="Arial" w:eastAsia="Arial" w:hAnsi="Arial"/>
          <w:sz w:val="18"/>
          <w:szCs w:val="18"/>
          <w:color w:val="auto"/>
        </w:rPr>
        <w:t xml:space="preserve">As an example, in the figure below, oral administration of BBI-355 led to tumor regressions when dosed in combination with the FGFR inhibitor infigratinib in an ecDNA-enabled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amplified gastric cancer CDX model. In this model, treatment with single agent infigratinib led to rapid resistance via</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ecDNA-enabled amplification of </w:t>
      </w:r>
      <w:r>
        <w:rPr>
          <w:rFonts w:ascii="Arial" w:cs="Arial" w:eastAsia="Arial" w:hAnsi="Arial"/>
          <w:sz w:val="18"/>
          <w:szCs w:val="18"/>
          <w:i w:val="1"/>
          <w:iCs w:val="1"/>
          <w:color w:val="auto"/>
        </w:rPr>
        <w:t>FGFR2</w:t>
      </w:r>
      <w:r>
        <w:rPr>
          <w:rFonts w:ascii="Arial" w:cs="Arial" w:eastAsia="Arial" w:hAnsi="Arial"/>
          <w:sz w:val="18"/>
          <w:szCs w:val="18"/>
          <w:color w:val="auto"/>
        </w:rPr>
        <w:t xml:space="preserve">. Combining BBI-355 with infigratinib inhibited this resistance and induced tumor regressions. Pharmacodynamic (PD) analysis demonstrated that BBI-355 inhibited the expected increase in </w:t>
      </w:r>
      <w:r>
        <w:rPr>
          <w:rFonts w:ascii="Arial" w:cs="Arial" w:eastAsia="Arial" w:hAnsi="Arial"/>
          <w:sz w:val="18"/>
          <w:szCs w:val="18"/>
          <w:i w:val="1"/>
          <w:iCs w:val="1"/>
          <w:color w:val="auto"/>
        </w:rPr>
        <w:t>FGFR2</w:t>
      </w:r>
      <w:r>
        <w:rPr>
          <w:rFonts w:ascii="Arial" w:cs="Arial" w:eastAsia="Arial" w:hAnsi="Arial"/>
          <w:sz w:val="18"/>
          <w:szCs w:val="18"/>
          <w:color w:val="auto"/>
        </w:rPr>
        <w:t xml:space="preserve"> copy number that would otherwise be caused by single agent infigratinib to confer resistance to infigratinib.</w:t>
      </w:r>
    </w:p>
    <w:p>
      <w:pPr>
        <w:spacing w:after="0" w:line="277" w:lineRule="exact"/>
        <w:rPr>
          <w:sz w:val="20"/>
          <w:szCs w:val="20"/>
          <w:color w:val="auto"/>
        </w:rPr>
      </w:pPr>
    </w:p>
    <w:p>
      <w:pPr>
        <w:jc w:val="center"/>
        <w:ind w:left="500"/>
        <w:spacing w:after="0" w:line="281" w:lineRule="auto"/>
        <w:rPr>
          <w:sz w:val="20"/>
          <w:szCs w:val="20"/>
          <w:color w:val="auto"/>
        </w:rPr>
      </w:pPr>
      <w:r>
        <w:rPr>
          <w:rFonts w:ascii="Arial" w:cs="Arial" w:eastAsia="Arial" w:hAnsi="Arial"/>
          <w:sz w:val="18"/>
          <w:szCs w:val="18"/>
          <w:b w:val="1"/>
          <w:bCs w:val="1"/>
          <w:color w:val="auto"/>
        </w:rPr>
        <w:t xml:space="preserve">BBI-355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in Combination with Infigratinib in an ecDNA-enabled </w:t>
      </w:r>
      <w:r>
        <w:rPr>
          <w:rFonts w:ascii="Arial" w:cs="Arial" w:eastAsia="Arial" w:hAnsi="Arial"/>
          <w:sz w:val="18"/>
          <w:szCs w:val="18"/>
          <w:b w:val="1"/>
          <w:bCs w:val="1"/>
          <w:i w:val="1"/>
          <w:iCs w:val="1"/>
          <w:color w:val="auto"/>
        </w:rPr>
        <w:t>FGFR2</w:t>
      </w:r>
      <w:r>
        <w:rPr>
          <w:rFonts w:ascii="Arial" w:cs="Arial" w:eastAsia="Arial" w:hAnsi="Arial"/>
          <w:sz w:val="18"/>
          <w:szCs w:val="18"/>
          <w:b w:val="1"/>
          <w:bCs w:val="1"/>
          <w:color w:val="auto"/>
        </w:rPr>
        <w:t xml:space="preserve"> Amplified Gastric Cancer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115570</wp:posOffset>
            </wp:positionV>
            <wp:extent cx="5186045" cy="27603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 xml:space="preserve">The oncogene cargo-agnostic nature of this combination approach is reflected in a second ecDNA-enabled </w:t>
      </w:r>
      <w:r>
        <w:rPr>
          <w:rFonts w:ascii="Arial" w:cs="Arial" w:eastAsia="Arial" w:hAnsi="Arial"/>
          <w:sz w:val="18"/>
          <w:szCs w:val="18"/>
          <w:i w:val="1"/>
          <w:iCs w:val="1"/>
          <w:color w:val="auto"/>
        </w:rPr>
        <w:t>EGFR</w:t>
      </w:r>
      <w:r>
        <w:rPr>
          <w:rFonts w:ascii="Arial" w:cs="Arial" w:eastAsia="Arial" w:hAnsi="Arial"/>
          <w:sz w:val="18"/>
          <w:szCs w:val="18"/>
          <w:color w:val="auto"/>
        </w:rPr>
        <w:t xml:space="preserve"> amplified patient-derived gastric cancer xenograft model. In this model, monotherapy treatment with the EGFR inhibitor erlotinib resulted in limited anti-tumor activity, as seen in the figure below. However, combination with orally administered BBI-355 resulted in statistically significant greater and longer tumor growth inhibition, including regressions in some cases.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660"/>
        <w:spacing w:after="0" w:line="281" w:lineRule="auto"/>
        <w:rPr>
          <w:sz w:val="20"/>
          <w:szCs w:val="20"/>
          <w:color w:val="auto"/>
        </w:rPr>
      </w:pPr>
      <w:r>
        <w:rPr>
          <w:rFonts w:ascii="Arial" w:cs="Arial" w:eastAsia="Arial" w:hAnsi="Arial"/>
          <w:sz w:val="18"/>
          <w:szCs w:val="18"/>
          <w:b w:val="1"/>
          <w:bCs w:val="1"/>
          <w:color w:val="auto"/>
        </w:rPr>
        <w:t xml:space="preserve">BBI-355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in Combination with Erlotinib in an ecDNA-enabled </w:t>
      </w:r>
      <w:r>
        <w:rPr>
          <w:rFonts w:ascii="Arial" w:cs="Arial" w:eastAsia="Arial" w:hAnsi="Arial"/>
          <w:sz w:val="18"/>
          <w:szCs w:val="18"/>
          <w:b w:val="1"/>
          <w:bCs w:val="1"/>
          <w:i w:val="1"/>
          <w:iCs w:val="1"/>
          <w:color w:val="auto"/>
        </w:rPr>
        <w:t>EGFR</w:t>
      </w:r>
      <w:r>
        <w:rPr>
          <w:rFonts w:ascii="Arial" w:cs="Arial" w:eastAsia="Arial" w:hAnsi="Arial"/>
          <w:sz w:val="18"/>
          <w:szCs w:val="18"/>
          <w:b w:val="1"/>
          <w:bCs w:val="1"/>
          <w:color w:val="auto"/>
        </w:rPr>
        <w:t xml:space="preserve"> Amplified Gastric Cancer PDX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107315</wp:posOffset>
            </wp:positionV>
            <wp:extent cx="5177790" cy="29921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77790"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20"/>
          </w:cols>
          <w:pgMar w:left="320" w:top="455" w:right="6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 xml:space="preserve">As seen in the figure below, oral administration of BBI-355 similarly led to tumor regressions when dosed in combination with the CDK4/6 inhibitor palbociclib in an ecDNA-enabled </w:t>
      </w:r>
      <w:r>
        <w:rPr>
          <w:rFonts w:ascii="Arial" w:cs="Arial" w:eastAsia="Arial" w:hAnsi="Arial"/>
          <w:sz w:val="18"/>
          <w:szCs w:val="18"/>
          <w:i w:val="1"/>
          <w:iCs w:val="1"/>
          <w:color w:val="auto"/>
        </w:rPr>
        <w:t>CDK4</w:t>
      </w:r>
      <w:r>
        <w:rPr>
          <w:rFonts w:ascii="Arial" w:cs="Arial" w:eastAsia="Arial" w:hAnsi="Arial"/>
          <w:sz w:val="18"/>
          <w:szCs w:val="18"/>
          <w:color w:val="auto"/>
        </w:rPr>
        <w:t xml:space="preserve"> amplified osteosarcoma CDX model. In this model, treatment with single agent palbociclib led to rapid resistance. Combining BBI-355 with palbociclib inhibited this resistance and induced tumor regressions.</w:t>
      </w:r>
    </w:p>
    <w:p>
      <w:pPr>
        <w:spacing w:after="0" w:line="277" w:lineRule="exact"/>
        <w:rPr>
          <w:sz w:val="20"/>
          <w:szCs w:val="20"/>
          <w:color w:val="auto"/>
        </w:rPr>
      </w:pPr>
    </w:p>
    <w:p>
      <w:pPr>
        <w:jc w:val="center"/>
        <w:ind w:left="460" w:right="100"/>
        <w:spacing w:after="0" w:line="281" w:lineRule="auto"/>
        <w:rPr>
          <w:sz w:val="20"/>
          <w:szCs w:val="20"/>
          <w:color w:val="auto"/>
        </w:rPr>
      </w:pPr>
      <w:r>
        <w:rPr>
          <w:rFonts w:ascii="Arial" w:cs="Arial" w:eastAsia="Arial" w:hAnsi="Arial"/>
          <w:sz w:val="18"/>
          <w:szCs w:val="18"/>
          <w:b w:val="1"/>
          <w:bCs w:val="1"/>
          <w:color w:val="auto"/>
        </w:rPr>
        <w:t xml:space="preserve">BBI-355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in Combination with Palbociclib in an ecDNA-enabled </w:t>
      </w:r>
      <w:r>
        <w:rPr>
          <w:rFonts w:ascii="Arial" w:cs="Arial" w:eastAsia="Arial" w:hAnsi="Arial"/>
          <w:sz w:val="18"/>
          <w:szCs w:val="18"/>
          <w:b w:val="1"/>
          <w:bCs w:val="1"/>
          <w:i w:val="1"/>
          <w:iCs w:val="1"/>
          <w:color w:val="auto"/>
        </w:rPr>
        <w:t>CDK4</w:t>
      </w:r>
      <w:r>
        <w:rPr>
          <w:rFonts w:ascii="Arial" w:cs="Arial" w:eastAsia="Arial" w:hAnsi="Arial"/>
          <w:sz w:val="18"/>
          <w:szCs w:val="18"/>
          <w:b w:val="1"/>
          <w:bCs w:val="1"/>
          <w:color w:val="auto"/>
        </w:rPr>
        <w:t xml:space="preserve"> Amplified Osteosarcoma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115570</wp:posOffset>
            </wp:positionV>
            <wp:extent cx="3334385" cy="2802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3438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BBI-355 Clinical Development Plan</w:t>
      </w:r>
    </w:p>
    <w:p>
      <w:pPr>
        <w:spacing w:after="0" w:line="102"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 xml:space="preserve">Through a comprehensive analysis of the prevalence of ecDNA-enabled gene amplifications alongside clinical outcomes associated with the use of targeted therapies, we have identified specific high unmet need patient populations with oncogene amplified cancers. For our first targeted indications, we are initially prioritizing cancers with wildtype </w:t>
      </w:r>
      <w:r>
        <w:rPr>
          <w:rFonts w:ascii="Arial" w:cs="Arial" w:eastAsia="Arial" w:hAnsi="Arial"/>
          <w:sz w:val="18"/>
          <w:szCs w:val="18"/>
          <w:i w:val="1"/>
          <w:iCs w:val="1"/>
          <w:color w:val="auto"/>
        </w:rPr>
        <w:t>EGFR</w:t>
      </w:r>
      <w:r>
        <w:rPr>
          <w:rFonts w:ascii="Arial" w:cs="Arial" w:eastAsia="Arial" w:hAnsi="Arial"/>
          <w:sz w:val="18"/>
          <w:szCs w:val="18"/>
          <w:color w:val="auto"/>
        </w:rPr>
        <w:t xml:space="preserve"> amplifications, </w:t>
      </w:r>
      <w:r>
        <w:rPr>
          <w:rFonts w:ascii="Arial" w:cs="Arial" w:eastAsia="Arial" w:hAnsi="Arial"/>
          <w:sz w:val="18"/>
          <w:szCs w:val="18"/>
          <w:i w:val="1"/>
          <w:iCs w:val="1"/>
          <w:color w:val="auto"/>
        </w:rPr>
        <w:t>FGFR1-4</w:t>
      </w:r>
      <w:r>
        <w:rPr>
          <w:rFonts w:ascii="Arial" w:cs="Arial" w:eastAsia="Arial" w:hAnsi="Arial"/>
          <w:sz w:val="18"/>
          <w:szCs w:val="18"/>
          <w:color w:val="auto"/>
        </w:rPr>
        <w:t xml:space="preserve"> amplifications, or </w:t>
      </w:r>
      <w:r>
        <w:rPr>
          <w:rFonts w:ascii="Arial" w:cs="Arial" w:eastAsia="Arial" w:hAnsi="Arial"/>
          <w:sz w:val="18"/>
          <w:szCs w:val="18"/>
          <w:i w:val="1"/>
          <w:iCs w:val="1"/>
          <w:color w:val="auto"/>
        </w:rPr>
        <w:t>CDK4/6</w:t>
      </w:r>
      <w:r>
        <w:rPr>
          <w:rFonts w:ascii="Arial" w:cs="Arial" w:eastAsia="Arial" w:hAnsi="Arial"/>
          <w:sz w:val="18"/>
          <w:szCs w:val="18"/>
          <w:color w:val="auto"/>
        </w:rPr>
        <w:t xml:space="preserve"> amplifications.</w:t>
      </w:r>
    </w:p>
    <w:p>
      <w:pPr>
        <w:spacing w:after="0" w:line="174"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 xml:space="preserve">In May 2023, we enrolled the first patient in our Phase 1/2 clinical trial of BBI-355 in patients with oncogene amplified cancers. The title of the trial (NCT05827614) is: “An Open-Label, Multicenter, First-in-Human, Dose-Escalation and Dose-Expansion, Phase 1/2 Study of BBI-355 and BBI-355 in Combination with Select Targeted Therapies in Subjects with Locally Advanced or Metastatic Solid Tumors with Oncogene Amplifications.” We also call the trial POTENTIATE, for </w:t>
      </w:r>
      <w:r>
        <w:rPr>
          <w:rFonts w:ascii="Arial" w:cs="Arial" w:eastAsia="Arial" w:hAnsi="Arial"/>
          <w:sz w:val="17"/>
          <w:szCs w:val="17"/>
          <w:u w:val="single" w:color="auto"/>
          <w:color w:val="auto"/>
        </w:rPr>
        <w:t>P</w:t>
      </w:r>
      <w:r>
        <w:rPr>
          <w:rFonts w:ascii="Arial" w:cs="Arial" w:eastAsia="Arial" w:hAnsi="Arial"/>
          <w:sz w:val="17"/>
          <w:szCs w:val="17"/>
          <w:color w:val="auto"/>
        </w:rPr>
        <w:t xml:space="preserve">recision </w:t>
      </w:r>
      <w:r>
        <w:rPr>
          <w:rFonts w:ascii="Arial" w:cs="Arial" w:eastAsia="Arial" w:hAnsi="Arial"/>
          <w:sz w:val="17"/>
          <w:szCs w:val="17"/>
          <w:u w:val="single" w:color="auto"/>
          <w:color w:val="auto"/>
        </w:rPr>
        <w:t>O</w:t>
      </w:r>
      <w:r>
        <w:rPr>
          <w:rFonts w:ascii="Arial" w:cs="Arial" w:eastAsia="Arial" w:hAnsi="Arial"/>
          <w:sz w:val="17"/>
          <w:szCs w:val="17"/>
          <w:color w:val="auto"/>
        </w:rPr>
        <w:t xml:space="preserve">ncology </w:t>
      </w:r>
      <w:r>
        <w:rPr>
          <w:rFonts w:ascii="Arial" w:cs="Arial" w:eastAsia="Arial" w:hAnsi="Arial"/>
          <w:sz w:val="17"/>
          <w:szCs w:val="17"/>
          <w:u w:val="single" w:color="auto"/>
          <w:color w:val="auto"/>
        </w:rPr>
        <w:t>T</w:t>
      </w:r>
      <w:r>
        <w:rPr>
          <w:rFonts w:ascii="Arial" w:cs="Arial" w:eastAsia="Arial" w:hAnsi="Arial"/>
          <w:sz w:val="17"/>
          <w:szCs w:val="17"/>
          <w:color w:val="auto"/>
        </w:rPr>
        <w:t xml:space="preserve">rial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valuating </w:t>
      </w:r>
      <w:r>
        <w:rPr>
          <w:rFonts w:ascii="Arial" w:cs="Arial" w:eastAsia="Arial" w:hAnsi="Arial"/>
          <w:sz w:val="17"/>
          <w:szCs w:val="17"/>
          <w:u w:val="single" w:color="auto"/>
          <w:color w:val="auto"/>
        </w:rPr>
        <w:t>N</w:t>
      </w:r>
      <w:r>
        <w:rPr>
          <w:rFonts w:ascii="Arial" w:cs="Arial" w:eastAsia="Arial" w:hAnsi="Arial"/>
          <w:sz w:val="17"/>
          <w:szCs w:val="17"/>
          <w:color w:val="auto"/>
        </w:rPr>
        <w:t xml:space="preserve">ovel </w:t>
      </w:r>
      <w:r>
        <w:rPr>
          <w:rFonts w:ascii="Arial" w:cs="Arial" w:eastAsia="Arial" w:hAnsi="Arial"/>
          <w:sz w:val="17"/>
          <w:szCs w:val="17"/>
          <w:u w:val="single" w:color="auto"/>
          <w:color w:val="auto"/>
        </w:rPr>
        <w:t>T</w:t>
      </w:r>
      <w:r>
        <w:rPr>
          <w:rFonts w:ascii="Arial" w:cs="Arial" w:eastAsia="Arial" w:hAnsi="Arial"/>
          <w:sz w:val="17"/>
          <w:szCs w:val="17"/>
          <w:color w:val="auto"/>
        </w:rPr>
        <w:t xml:space="preserve">herapeutic </w:t>
      </w:r>
      <w:r>
        <w:rPr>
          <w:rFonts w:ascii="Arial" w:cs="Arial" w:eastAsia="Arial" w:hAnsi="Arial"/>
          <w:sz w:val="17"/>
          <w:szCs w:val="17"/>
          <w:u w:val="single" w:color="auto"/>
          <w:color w:val="auto"/>
        </w:rPr>
        <w:t>I</w:t>
      </w:r>
      <w:r>
        <w:rPr>
          <w:rFonts w:ascii="Arial" w:cs="Arial" w:eastAsia="Arial" w:hAnsi="Arial"/>
          <w:sz w:val="17"/>
          <w:szCs w:val="17"/>
          <w:color w:val="auto"/>
        </w:rPr>
        <w:t>nterrupting Amplifications Tied to ecDNA. We expect to have preliminary proof of concept safety and anti-tumor activity data of BBI-355 as a single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1"/>
        </w:trPr>
        <w:tc>
          <w:tcPr>
            <w:tcW w:w="7200" w:type="dxa"/>
            <w:vAlign w:val="bottom"/>
            <w:gridSpan w:val="7"/>
          </w:tcPr>
          <w:p>
            <w:pPr>
              <w:spacing w:after="0" w:line="170" w:lineRule="exact"/>
              <w:rPr>
                <w:sz w:val="20"/>
                <w:szCs w:val="20"/>
                <w:color w:val="auto"/>
              </w:rPr>
            </w:pPr>
            <w:r>
              <w:rPr>
                <w:rFonts w:ascii="Arial" w:cs="Arial" w:eastAsia="Arial" w:hAnsi="Arial"/>
                <w:sz w:val="18"/>
                <w:szCs w:val="18"/>
                <w:color w:val="auto"/>
                <w:w w:val="99"/>
              </w:rPr>
              <w:t>agent and in combination with targeted therapies from the POTENTIATE clinical trial in the</w:t>
            </w:r>
          </w:p>
        </w:tc>
        <w:tc>
          <w:tcPr>
            <w:tcW w:w="2600" w:type="dxa"/>
            <w:vAlign w:val="bottom"/>
          </w:tcPr>
          <w:p>
            <w:pPr>
              <w:jc w:val="right"/>
              <w:spacing w:after="0" w:line="170" w:lineRule="exact"/>
              <w:rPr>
                <w:sz w:val="20"/>
                <w:szCs w:val="20"/>
                <w:color w:val="auto"/>
              </w:rPr>
            </w:pPr>
            <w:r>
              <w:rPr>
                <w:rFonts w:ascii="Arial" w:cs="Arial" w:eastAsia="Arial" w:hAnsi="Arial"/>
                <w:sz w:val="18"/>
                <w:szCs w:val="18"/>
                <w:color w:val="auto"/>
              </w:rPr>
              <w:t>, including approximately</w:t>
            </w:r>
          </w:p>
        </w:tc>
      </w:tr>
      <w:tr>
        <w:trPr>
          <w:trHeight w:val="239"/>
        </w:trPr>
        <w:tc>
          <w:tcPr>
            <w:tcW w:w="4140" w:type="dxa"/>
            <w:vAlign w:val="bottom"/>
            <w:gridSpan w:val="6"/>
          </w:tcPr>
          <w:p>
            <w:pPr>
              <w:spacing w:after="0"/>
              <w:rPr>
                <w:sz w:val="20"/>
                <w:szCs w:val="20"/>
                <w:color w:val="auto"/>
              </w:rPr>
            </w:pPr>
            <w:r>
              <w:rPr>
                <w:rFonts w:ascii="Arial" w:cs="Arial" w:eastAsia="Arial" w:hAnsi="Arial"/>
                <w:sz w:val="18"/>
                <w:szCs w:val="18"/>
                <w:color w:val="auto"/>
              </w:rPr>
              <w:t>total enrolled patients (single agent cohorts N=~</w:t>
            </w:r>
          </w:p>
        </w:tc>
        <w:tc>
          <w:tcPr>
            <w:tcW w:w="3060" w:type="dxa"/>
            <w:vAlign w:val="bottom"/>
          </w:tcPr>
          <w:p>
            <w:pPr>
              <w:ind w:left="320"/>
              <w:spacing w:after="0"/>
              <w:rPr>
                <w:sz w:val="20"/>
                <w:szCs w:val="20"/>
                <w:color w:val="auto"/>
              </w:rPr>
            </w:pPr>
            <w:r>
              <w:rPr>
                <w:rFonts w:ascii="Arial" w:cs="Arial" w:eastAsia="Arial" w:hAnsi="Arial"/>
                <w:sz w:val="18"/>
                <w:szCs w:val="18"/>
                <w:color w:val="auto"/>
              </w:rPr>
              <w:t>, combination cohorts N=~</w:t>
            </w:r>
          </w:p>
        </w:tc>
        <w:tc>
          <w:tcPr>
            <w:tcW w:w="2600" w:type="dxa"/>
            <w:vAlign w:val="bottom"/>
          </w:tcPr>
          <w:p>
            <w:pPr>
              <w:jc w:val="right"/>
              <w:ind w:right="2390"/>
              <w:spacing w:after="0"/>
              <w:rPr>
                <w:sz w:val="20"/>
                <w:szCs w:val="20"/>
                <w:color w:val="auto"/>
              </w:rPr>
            </w:pPr>
            <w:r>
              <w:rPr>
                <w:rFonts w:ascii="Arial" w:cs="Arial" w:eastAsia="Arial" w:hAnsi="Arial"/>
                <w:sz w:val="18"/>
                <w:szCs w:val="18"/>
                <w:color w:val="auto"/>
                <w:w w:val="90"/>
              </w:rPr>
              <w:t>).</w:t>
            </w:r>
          </w:p>
        </w:tc>
      </w:tr>
    </w:tbl>
    <w:p>
      <w:pPr>
        <w:spacing w:after="0" w:line="180"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The design of the trial is an open-label, non-randomized, three-part, Phase 1/2 clinical trial to evaluate the safety and identify the maximum tolerated dose and recommended Phase 2 dose of</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BBI-355 administered as a single agent or in combination with select targeted therapies. In the trial, BBI-355 is administered orally every other day or on a less frequent dosing schedule to patients with locally advanced or metastatic non-resectable solid tumors harboring oncogene amplifications, agnostic of tumor type, whose disease has progressed despite all standard therapies or for whom no further standard or clinically acceptable therapy exists. The trial has three parts: Part 1 is a dose escalation of BBI-355 as a monotherapy and will include a dose expansion cohort at the recommended Phase 2 dose, while Parts 2 and 3 of this trial will be conducted in 3 separate modules, each module testing the combination of BBI-355 with one of the selected targeted therapies, EGFR (module 1), pan-FGFR (module 2), or CDK4/6 (module 3) inhibitors, in patients with cancers harboring amplification of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FGFR1-4</w:t>
      </w:r>
      <w:r>
        <w:rPr>
          <w:rFonts w:ascii="Arial" w:cs="Arial" w:eastAsia="Arial" w:hAnsi="Arial"/>
          <w:sz w:val="18"/>
          <w:szCs w:val="18"/>
          <w:color w:val="auto"/>
        </w:rPr>
        <w:t xml:space="preserve">, or </w:t>
      </w:r>
      <w:r>
        <w:rPr>
          <w:rFonts w:ascii="Arial" w:cs="Arial" w:eastAsia="Arial" w:hAnsi="Arial"/>
          <w:sz w:val="18"/>
          <w:szCs w:val="18"/>
          <w:i w:val="1"/>
          <w:iCs w:val="1"/>
          <w:color w:val="auto"/>
        </w:rPr>
        <w:t>CDK4/6</w:t>
      </w:r>
      <w:r>
        <w:rPr>
          <w:rFonts w:ascii="Arial" w:cs="Arial" w:eastAsia="Arial" w:hAnsi="Arial"/>
          <w:sz w:val="18"/>
          <w:szCs w:val="18"/>
          <w:color w:val="auto"/>
        </w:rPr>
        <w:t xml:space="preserve">, respectively. Notably, patients will be excluded from enrollment in any part of the trial if they harbor other addressable pathogenic driver oncogene alterations, for example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FGFR3</w:t>
      </w:r>
      <w:r>
        <w:rPr>
          <w:rFonts w:ascii="Arial" w:cs="Arial" w:eastAsia="Arial" w:hAnsi="Arial"/>
          <w:sz w:val="18"/>
          <w:szCs w:val="18"/>
          <w:color w:val="auto"/>
        </w:rPr>
        <w:t xml:space="preserve">, </w:t>
      </w:r>
      <w:r>
        <w:rPr>
          <w:rFonts w:ascii="Arial" w:cs="Arial" w:eastAsia="Arial" w:hAnsi="Arial"/>
          <w:sz w:val="18"/>
          <w:szCs w:val="18"/>
          <w:i w:val="1"/>
          <w:iCs w:val="1"/>
          <w:color w:val="auto"/>
        </w:rPr>
        <w:t>KRAS</w:t>
      </w:r>
      <w:r>
        <w:rPr>
          <w:rFonts w:ascii="Arial" w:cs="Arial" w:eastAsia="Arial" w:hAnsi="Arial"/>
          <w:sz w:val="18"/>
          <w:szCs w:val="18"/>
          <w:color w:val="auto"/>
        </w:rPr>
        <w:t xml:space="preserve">, </w:t>
      </w:r>
      <w:r>
        <w:rPr>
          <w:rFonts w:ascii="Arial" w:cs="Arial" w:eastAsia="Arial" w:hAnsi="Arial"/>
          <w:sz w:val="18"/>
          <w:szCs w:val="18"/>
          <w:i w:val="1"/>
          <w:iCs w:val="1"/>
          <w:color w:val="auto"/>
        </w:rPr>
        <w:t>BRAF</w:t>
      </w:r>
      <w:r>
        <w:rPr>
          <w:rFonts w:ascii="Arial" w:cs="Arial" w:eastAsia="Arial" w:hAnsi="Arial"/>
          <w:sz w:val="18"/>
          <w:szCs w:val="18"/>
          <w:color w:val="auto"/>
        </w:rPr>
        <w:t xml:space="preserve"> mutations or </w:t>
      </w:r>
      <w:r>
        <w:rPr>
          <w:rFonts w:ascii="Arial" w:cs="Arial" w:eastAsia="Arial" w:hAnsi="Arial"/>
          <w:sz w:val="18"/>
          <w:szCs w:val="18"/>
          <w:i w:val="1"/>
          <w:iCs w:val="1"/>
          <w:color w:val="auto"/>
        </w:rPr>
        <w:t>ALK</w:t>
      </w:r>
      <w:r>
        <w:rPr>
          <w:rFonts w:ascii="Arial" w:cs="Arial" w:eastAsia="Arial" w:hAnsi="Arial"/>
          <w:sz w:val="18"/>
          <w:szCs w:val="18"/>
          <w:color w:val="auto"/>
        </w:rPr>
        <w:t xml:space="preserve">, </w:t>
      </w:r>
      <w:r>
        <w:rPr>
          <w:rFonts w:ascii="Arial" w:cs="Arial" w:eastAsia="Arial" w:hAnsi="Arial"/>
          <w:sz w:val="18"/>
          <w:szCs w:val="18"/>
          <w:i w:val="1"/>
          <w:iCs w:val="1"/>
          <w:color w:val="auto"/>
        </w:rPr>
        <w:t>NTRK</w:t>
      </w:r>
      <w:r>
        <w:rPr>
          <w:rFonts w:ascii="Arial" w:cs="Arial" w:eastAsia="Arial" w:hAnsi="Arial"/>
          <w:sz w:val="18"/>
          <w:szCs w:val="18"/>
          <w:color w:val="auto"/>
        </w:rPr>
        <w:t xml:space="preserve">, </w:t>
      </w:r>
      <w:r>
        <w:rPr>
          <w:rFonts w:ascii="Arial" w:cs="Arial" w:eastAsia="Arial" w:hAnsi="Arial"/>
          <w:sz w:val="18"/>
          <w:szCs w:val="18"/>
          <w:i w:val="1"/>
          <w:iCs w:val="1"/>
          <w:color w:val="auto"/>
        </w:rPr>
        <w:t>FGFR2, RET, ROS1</w:t>
      </w:r>
      <w:r>
        <w:rPr>
          <w:rFonts w:ascii="Arial" w:cs="Arial" w:eastAsia="Arial" w:hAnsi="Arial"/>
          <w:sz w:val="18"/>
          <w:szCs w:val="18"/>
          <w:color w:val="auto"/>
        </w:rPr>
        <w:t xml:space="preserve"> fusions.</w:t>
      </w:r>
    </w:p>
    <w:p>
      <w:pPr>
        <w:spacing w:after="0" w:line="18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Part 1 of the trial, patients with amplification of driver oncogenes, as determined by standard NGS testing, are eligible for enrollment. The goal of Part 1 is to identify the single agent recommended Phase 2 dose and maximum tolerated dose of BBI-355 and to evaluate preliminary single agent anti-tumor activity in patients with oncogene amplifications. Single agent BBI-355 will be further tested in a dose expansion cohort at the recommended Phase 2 dose in platinum-resistant high-grade serous ovarian cancer or endometrial cancer patients with oncogene amplifications.</w:t>
      </w:r>
    </w:p>
    <w:p>
      <w:pPr>
        <w:spacing w:after="0" w:line="176"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 xml:space="preserve">In Part 2 of the trial, patients with amplification of driver oncogenes of interest,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FGFR1-4</w:t>
      </w:r>
      <w:r>
        <w:rPr>
          <w:rFonts w:ascii="Arial" w:cs="Arial" w:eastAsia="Arial" w:hAnsi="Arial"/>
          <w:sz w:val="18"/>
          <w:szCs w:val="18"/>
          <w:color w:val="auto"/>
        </w:rPr>
        <w:t xml:space="preserve">, or </w:t>
      </w:r>
      <w:r>
        <w:rPr>
          <w:rFonts w:ascii="Arial" w:cs="Arial" w:eastAsia="Arial" w:hAnsi="Arial"/>
          <w:sz w:val="18"/>
          <w:szCs w:val="18"/>
          <w:i w:val="1"/>
          <w:iCs w:val="1"/>
          <w:color w:val="auto"/>
        </w:rPr>
        <w:t>CDK4/CDK6</w:t>
      </w:r>
      <w:r>
        <w:rPr>
          <w:rFonts w:ascii="Arial" w:cs="Arial" w:eastAsia="Arial" w:hAnsi="Arial"/>
          <w:sz w:val="18"/>
          <w:szCs w:val="18"/>
          <w:color w:val="auto"/>
        </w:rPr>
        <w:t>, as determined by standard NGS testing, will be enrolled in the corresponding module. The goal of Part 2 is to identify the recommended Phase 2 dose and maximum tolerated dose of BBI-355 in combination with the respective targeted therapy inhibitor studied in each module, that is the EGFR inhibitor erlotinib (module 1), pan-FGFR inhibitor futibatinib (module 2), or CDK4/CDK6 inhibitor abemaciclib (module 3).</w:t>
      </w:r>
    </w:p>
    <w:p>
      <w:pPr>
        <w:spacing w:after="0" w:line="17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 xml:space="preserve">In Part 3 of the trial, patients with amplification of oncogenes of interest,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FGFR1-4</w:t>
      </w:r>
      <w:r>
        <w:rPr>
          <w:rFonts w:ascii="Arial" w:cs="Arial" w:eastAsia="Arial" w:hAnsi="Arial"/>
          <w:sz w:val="18"/>
          <w:szCs w:val="18"/>
          <w:color w:val="auto"/>
        </w:rPr>
        <w:t xml:space="preserve">, or </w:t>
      </w:r>
      <w:r>
        <w:rPr>
          <w:rFonts w:ascii="Arial" w:cs="Arial" w:eastAsia="Arial" w:hAnsi="Arial"/>
          <w:sz w:val="18"/>
          <w:szCs w:val="18"/>
          <w:i w:val="1"/>
          <w:iCs w:val="1"/>
          <w:color w:val="auto"/>
        </w:rPr>
        <w:t>CDK4/CDK6</w:t>
      </w:r>
      <w:r>
        <w:rPr>
          <w:rFonts w:ascii="Arial" w:cs="Arial" w:eastAsia="Arial" w:hAnsi="Arial"/>
          <w:sz w:val="18"/>
          <w:szCs w:val="18"/>
          <w:color w:val="auto"/>
        </w:rPr>
        <w:t>, enabled by ecDNA as determined by testing with our ecDNA diagnostic clinical trial assay (see “Our Precision Medicine Approach” below), will be enrolled. The goal of Part 3 is to evaluate preliminary combination anti-tumor activity at the combination recommended Phase 2 dose. We have entered into clinical trial collaboration and supply agreements with each of Eli Lilly and Taiho Oncology providing for no-cost supply of abemaciclib and futibatinib, respectively, for use in the applicable modules of Parts 2 and 3 of this trial (which agreements also provide for the sharing of certain clinical trial data but have no financial obligations and terminate upon conclusion of the trial). It is anticipated that approximately 200 to 300 patients will be enrolled in total in this trial. Should any cohort of the trial demonstrate compelling signs of clinical anti-tumor activity, along with acceptable safety and tolerability, we would seek to engage with the FDA and other global regulatory bodies to discuss potential registrational paths, including the designs of any additional clinical trials we may need to conduct to support potential registrations for BBI-355. We may also consider expanding this trial with additional matched targeted agent and oncogene amplification cohorts based on our ongoing research and the dynamic clinical therapeutic landscape.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Design of BBI-355 Phase 1/2 POTENTIATE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5186045" cy="2443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Results from Part 1 of the POTENTIATE trial</w:t>
      </w:r>
    </w:p>
    <w:p>
      <w:pPr>
        <w:spacing w:after="0" w:line="10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Preliminary results of the POTENTIATE trial as of a cut-off date of January 10, 2024, have been obtained from the 19 subjects enrolled across five dosing cohorts in Part 1 of the trial. Subjects have been treated on an oral every-other-day dosing regimen (Q2D) in escalating dose cohorts of 20 mg, 40 mg, 60 mg, and 80 mg, and on an oral 2 days on-5 days off dosing regimen (2ON/5OFF) at 80 mg. Preliminary clinical safety data showed that, as of the cut-off date, BBI-355 has been generally well-tolerated at the first three dose levels (20 mg, 40 mg, 60 mg) administered Q2D, without any dose-limiting toxicities (DLTs) or drug-related serious adverse events (SAEs). At the 80 mg Q2D dose level, DLTs, specifically Grade 4 platelet count decreased and neutrophil count decreased, occurred in two of four subjects, and this dose level was determined to exceed the target toxicity rate. Therefore, 60 mg was determined to be the maximum tolerated dose with the Q2D dosing regimen. BBI-355 is also being evaluated on a dosing regimen of 2ON/5OFF. With this dosing regimen, we are currently evaluating patients at an 80 mg dose level; at this dose level, one DLT, specifically, administration of less than 70% of the intended dose in the DLT evaluation period due to an adverse event, occurred in one out of five subjects.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of January 10, 2024, the most common reported drug-related adverse events (i.e., number of subjects with a specific adverse event) and across all dosing cohorts were fatigue (N=4), neutrophil count decreased (N=3), lymphocyte count decreased (N=3), white blood cell count decreased (N=3), diarrhea (N=3), platelet count decreased (N=2), vomiting (N=2), nausea (N=2), urinary frequency (N=2), anorexia or loss of appetite (N=2), and dry skin (N=2). Two subjects experienced drug-related SAEs; a Grade 4 platelet count decreased and Grade 4 neutrophil count decreased in one subject, while the other subject experienced Grade 3 anemia leading to hospitalization. The observed hematologic toxicities were asymptomatic, are considered an on-target class effect for CHK1 inhibitors, and have been reported for several other clinical stage CHK1/2 inhibitors.</w:t>
      </w:r>
    </w:p>
    <w:p>
      <w:pPr>
        <w:spacing w:after="0" w:line="185"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Preliminary human pharmacokinetic (PK) data analysis revealed across the dosing range a dose proportional increase of Cmax and AUC values, with an average half-life of approximately 40 hours and an average drug accumulation of 2 to 3-fold from day 1 to steady state. A clinical PD assay measuring pCHK1 by immunohistochemistry (IHC) in skin punch biopsies showed CHK1 target engagement at all dose levels. The best observed clinical anti-tumor activity as of the cut-off date was stable disease (per RECIST 1.1 criteria) in five of seventeen evaluable subjects, including shrinkage of</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target lesions by approximately 20% in a patient with metastatic breast cancer harboring oncogene amplifications.</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Based on the totality of the safety, PK, PD, and anti-tumor activity observed, the POTENTIATE trial is now advancing into Part 2 with BBI-355 40 mg Q2D to be administered with the respective combination therapies, with the intention to escalate to the BBI-355 60 mg Q2D to be administered with the respective combination therapies. Based on our preclinical pharmacology data and human PK data, we believe 60 mg Q2D to be in the therapeutically active range. We intend to complete dose escalation with the 2ON/5OFF regimen before determining the optimal single agent dose and schedule with which to initiate the Part 1 dose expansion in ovarian cancer and endometrial cancer.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Addressable Patient Populations for BBI-355</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We estimate that BBI-355, if approved for the combination indications we are targeting in the POTENTIATE trial, could address an initial potential U.S. patient population of approximately 30,000 new patients per year with </w:t>
      </w:r>
      <w:r>
        <w:rPr>
          <w:rFonts w:ascii="Arial" w:cs="Arial" w:eastAsia="Arial" w:hAnsi="Arial"/>
          <w:sz w:val="18"/>
          <w:szCs w:val="18"/>
          <w:i w:val="1"/>
          <w:iCs w:val="1"/>
          <w:color w:val="auto"/>
        </w:rPr>
        <w:t>EGFR</w:t>
      </w:r>
      <w:r>
        <w:rPr>
          <w:rFonts w:ascii="Arial" w:cs="Arial" w:eastAsia="Arial" w:hAnsi="Arial"/>
          <w:sz w:val="18"/>
          <w:szCs w:val="18"/>
          <w:color w:val="auto"/>
        </w:rPr>
        <w:t xml:space="preserve">, </w:t>
      </w:r>
      <w:r>
        <w:rPr>
          <w:rFonts w:ascii="Arial" w:cs="Arial" w:eastAsia="Arial" w:hAnsi="Arial"/>
          <w:sz w:val="18"/>
          <w:szCs w:val="18"/>
          <w:i w:val="1"/>
          <w:iCs w:val="1"/>
          <w:color w:val="auto"/>
        </w:rPr>
        <w:t>FGFR1-4</w:t>
      </w:r>
      <w:r>
        <w:rPr>
          <w:rFonts w:ascii="Arial" w:cs="Arial" w:eastAsia="Arial" w:hAnsi="Arial"/>
          <w:sz w:val="18"/>
          <w:szCs w:val="18"/>
          <w:color w:val="auto"/>
        </w:rPr>
        <w:t xml:space="preserve">, or </w:t>
      </w:r>
      <w:r>
        <w:rPr>
          <w:rFonts w:ascii="Arial" w:cs="Arial" w:eastAsia="Arial" w:hAnsi="Arial"/>
          <w:sz w:val="18"/>
          <w:szCs w:val="18"/>
          <w:i w:val="1"/>
          <w:iCs w:val="1"/>
          <w:color w:val="auto"/>
        </w:rPr>
        <w:t>CDK4/6</w:t>
      </w:r>
      <w:r>
        <w:rPr>
          <w:rFonts w:ascii="Arial" w:cs="Arial" w:eastAsia="Arial" w:hAnsi="Arial"/>
          <w:sz w:val="18"/>
          <w:szCs w:val="18"/>
          <w:color w:val="auto"/>
        </w:rPr>
        <w:t xml:space="preserve"> amplifications on ecDNA across a broad range of tumor types. Beyond the United States, we estimate that BBI-355, if approved for such indications, could address approximately 40,000 such patients in the European Union and over 10,000 such patients in Japan, representing a total potential addressable patient population of 80,000 new patients annually in the United States, European Union, and Japan. Our goal is to achieve a tumor agnostic label for BBI-355 in combination with targeted therapies (e.g., an EGFR inhibitor, a pan-FGFR inhibitor, and a CDK4/6 inhibitor) for each of these settings. Guided by our ecDNA diagnostic test, we are evaluating basket trial cohorts of each of these indications and treatment settings.</w:t>
      </w:r>
    </w:p>
    <w:p>
      <w:pPr>
        <w:spacing w:after="0" w:line="86" w:lineRule="exact"/>
        <w:rPr>
          <w:sz w:val="20"/>
          <w:szCs w:val="20"/>
          <w:color w:val="auto"/>
        </w:rPr>
      </w:pPr>
    </w:p>
    <w:p>
      <w:pPr>
        <w:ind w:left="1420" w:right="20" w:hanging="427"/>
        <w:spacing w:after="0" w:line="244"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EGFR Amplified Tumor Types </w:t>
      </w:r>
      <w:r>
        <w:rPr>
          <w:rFonts w:ascii="Arial" w:cs="Arial" w:eastAsia="Arial" w:hAnsi="Arial"/>
          <w:sz w:val="18"/>
          <w:szCs w:val="18"/>
          <w:color w:val="auto"/>
        </w:rPr>
        <w:t>– Using U.S. SEER incidence data by tumor type and adjusting for ecDNA prevalence,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we estimate a potential patient population of approximately 5,000 new patients annually in the United States alone for </w:t>
      </w:r>
      <w:r>
        <w:rPr>
          <w:rFonts w:ascii="Arial" w:cs="Arial" w:eastAsia="Arial" w:hAnsi="Arial"/>
          <w:sz w:val="18"/>
          <w:szCs w:val="18"/>
          <w:i w:val="1"/>
          <w:iCs w:val="1"/>
          <w:color w:val="auto"/>
        </w:rPr>
        <w:t xml:space="preserve">EGFR </w:t>
      </w:r>
      <w:r>
        <w:rPr>
          <w:rFonts w:ascii="Arial" w:cs="Arial" w:eastAsia="Arial" w:hAnsi="Arial"/>
          <w:sz w:val="18"/>
          <w:szCs w:val="18"/>
          <w:color w:val="auto"/>
        </w:rPr>
        <w:t>amplifications. This estimate includes patients with esophageal and gastric cancer, head and neck squamous cell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carcinoma, NSCLC squamous cell carcinoma, and other tumor types that exhibit </w:t>
      </w:r>
      <w:r>
        <w:rPr>
          <w:rFonts w:ascii="Arial" w:cs="Arial" w:eastAsia="Arial" w:hAnsi="Arial"/>
          <w:sz w:val="18"/>
          <w:szCs w:val="18"/>
          <w:i w:val="1"/>
          <w:iCs w:val="1"/>
          <w:color w:val="auto"/>
        </w:rPr>
        <w:t>EGFR</w:t>
      </w:r>
      <w:r>
        <w:rPr>
          <w:rFonts w:ascii="Arial" w:cs="Arial" w:eastAsia="Arial" w:hAnsi="Arial"/>
          <w:sz w:val="18"/>
          <w:szCs w:val="18"/>
          <w:color w:val="auto"/>
        </w:rPr>
        <w:t xml:space="preserve"> driver oncogene amplifications on ecDNA, with the potential to expand to glioblastoma, which has high ecDNA prevalence.</w:t>
      </w:r>
    </w:p>
    <w:p>
      <w:pPr>
        <w:spacing w:after="0" w:line="81" w:lineRule="exact"/>
        <w:rPr>
          <w:rFonts w:ascii="Arial" w:cs="Arial" w:eastAsia="Arial" w:hAnsi="Arial"/>
          <w:sz w:val="18"/>
          <w:szCs w:val="18"/>
          <w:color w:val="auto"/>
        </w:rPr>
      </w:pPr>
    </w:p>
    <w:p>
      <w:pPr>
        <w:ind w:left="1420" w:right="200" w:hanging="427"/>
        <w:spacing w:after="0" w:line="24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FGFR1-4 Amplified Tumor Types </w:t>
      </w:r>
      <w:r>
        <w:rPr>
          <w:rFonts w:ascii="Arial" w:cs="Arial" w:eastAsia="Arial" w:hAnsi="Arial"/>
          <w:sz w:val="18"/>
          <w:szCs w:val="18"/>
          <w:color w:val="auto"/>
        </w:rPr>
        <w:t>–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FGFR1-4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amplified patient population, including early and late stage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metastatic, represents up to approximately 18,000 new patients annually in the United States alone. This population includes patients with breast cancer, NSCLC squamous cell carcinoma, esophageal and gastric cancer, bladder cancer, and other tumor types that exhibit </w:t>
      </w:r>
      <w:r>
        <w:rPr>
          <w:rFonts w:ascii="Arial" w:cs="Arial" w:eastAsia="Arial" w:hAnsi="Arial"/>
          <w:sz w:val="18"/>
          <w:szCs w:val="18"/>
          <w:i w:val="1"/>
          <w:iCs w:val="1"/>
          <w:color w:val="auto"/>
        </w:rPr>
        <w:t>FGFR1-4</w:t>
      </w:r>
      <w:r>
        <w:rPr>
          <w:rFonts w:ascii="Arial" w:cs="Arial" w:eastAsia="Arial" w:hAnsi="Arial"/>
          <w:sz w:val="18"/>
          <w:szCs w:val="18"/>
          <w:color w:val="auto"/>
        </w:rPr>
        <w:t xml:space="preserve"> driver oncogene amplifications on ecDNA.</w:t>
      </w:r>
    </w:p>
    <w:p>
      <w:pPr>
        <w:spacing w:after="0" w:line="79" w:lineRule="exact"/>
        <w:rPr>
          <w:rFonts w:ascii="Arial" w:cs="Arial" w:eastAsia="Arial" w:hAnsi="Arial"/>
          <w:sz w:val="18"/>
          <w:szCs w:val="18"/>
          <w:color w:val="auto"/>
        </w:rPr>
      </w:pPr>
    </w:p>
    <w:p>
      <w:pPr>
        <w:ind w:left="1420" w:right="140" w:hanging="427"/>
        <w:spacing w:after="0" w:line="24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CDK4/6 Amplified Tumor Types </w:t>
      </w:r>
      <w:r>
        <w:rPr>
          <w:rFonts w:ascii="Arial" w:cs="Arial" w:eastAsia="Arial" w:hAnsi="Arial"/>
          <w:sz w:val="18"/>
          <w:szCs w:val="18"/>
          <w:color w:val="auto"/>
        </w:rPr>
        <w:t>–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CDK4/6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amplified patient population, including early and late stage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metastatic, represents approximately 6,000 new patients annually in the United States alone. This population includes patients with liposarcoma, NSCLC squamous cell carcinoma, esophageal and gastric cancer, and other tumor types that exhibit </w:t>
      </w:r>
      <w:r>
        <w:rPr>
          <w:rFonts w:ascii="Arial" w:cs="Arial" w:eastAsia="Arial" w:hAnsi="Arial"/>
          <w:sz w:val="18"/>
          <w:szCs w:val="18"/>
          <w:i w:val="1"/>
          <w:iCs w:val="1"/>
          <w:color w:val="auto"/>
        </w:rPr>
        <w:t>CDK4/6</w:t>
      </w:r>
      <w:r>
        <w:rPr>
          <w:rFonts w:ascii="Arial" w:cs="Arial" w:eastAsia="Arial" w:hAnsi="Arial"/>
          <w:sz w:val="18"/>
          <w:szCs w:val="18"/>
          <w:color w:val="auto"/>
        </w:rPr>
        <w:t xml:space="preserve"> driver oncogene amplifications on ecDNA, with the potential to expand to glioblastoma.</w:t>
      </w:r>
    </w:p>
    <w:p>
      <w:pPr>
        <w:spacing w:after="0" w:line="174" w:lineRule="exact"/>
        <w:rPr>
          <w:sz w:val="20"/>
          <w:szCs w:val="20"/>
          <w:color w:val="auto"/>
        </w:rPr>
      </w:pPr>
    </w:p>
    <w:p>
      <w:pPr>
        <w:jc w:val="both"/>
        <w:ind w:left="120" w:right="580" w:firstLine="551"/>
        <w:spacing w:after="0" w:line="253" w:lineRule="auto"/>
        <w:rPr>
          <w:sz w:val="20"/>
          <w:szCs w:val="20"/>
          <w:color w:val="auto"/>
        </w:rPr>
      </w:pPr>
      <w:r>
        <w:rPr>
          <w:rFonts w:ascii="Arial" w:cs="Arial" w:eastAsia="Arial" w:hAnsi="Arial"/>
          <w:sz w:val="18"/>
          <w:szCs w:val="18"/>
          <w:color w:val="auto"/>
        </w:rPr>
        <w:t>We also estimate that BBI-355, if approved for the monotherapy indications we are targeting in the POTENTIATE trial, could address a total potential patient population of approximately 65,000 new patients per year with high-grade serous ovarian cancer or endometrial cancer, each with oncogene amplification, in the United States, European Union, and Japan.</w:t>
      </w:r>
    </w:p>
    <w:p>
      <w:pPr>
        <w:spacing w:after="0" w:line="169" w:lineRule="exact"/>
        <w:rPr>
          <w:sz w:val="20"/>
          <w:szCs w:val="20"/>
          <w:color w:val="auto"/>
        </w:rPr>
      </w:pPr>
    </w:p>
    <w:p>
      <w:pPr>
        <w:jc w:val="both"/>
        <w:ind w:left="120" w:right="20" w:firstLine="551"/>
        <w:spacing w:after="0" w:line="275" w:lineRule="auto"/>
        <w:rPr>
          <w:sz w:val="20"/>
          <w:szCs w:val="20"/>
          <w:color w:val="auto"/>
        </w:rPr>
      </w:pPr>
      <w:r>
        <w:rPr>
          <w:rFonts w:ascii="Arial" w:cs="Arial" w:eastAsia="Arial" w:hAnsi="Arial"/>
          <w:sz w:val="17"/>
          <w:szCs w:val="17"/>
          <w:color w:val="auto"/>
        </w:rPr>
        <w:t xml:space="preserve">In addition to the gene amplified cancer types described above, we are currently conducting preclinical studies of BBI-355 in </w:t>
      </w:r>
      <w:r>
        <w:rPr>
          <w:rFonts w:ascii="Arial" w:cs="Arial" w:eastAsia="Arial" w:hAnsi="Arial"/>
          <w:sz w:val="17"/>
          <w:szCs w:val="17"/>
          <w:i w:val="1"/>
          <w:iCs w:val="1"/>
          <w:color w:val="auto"/>
        </w:rPr>
        <w:t>MDM2</w:t>
      </w:r>
      <w:r>
        <w:rPr>
          <w:rFonts w:ascii="Arial" w:cs="Arial" w:eastAsia="Arial" w:hAnsi="Arial"/>
          <w:sz w:val="17"/>
          <w:szCs w:val="17"/>
          <w:color w:val="auto"/>
        </w:rPr>
        <w:t xml:space="preserve"> amplified cancers and non-mutated </w:t>
      </w:r>
      <w:r>
        <w:rPr>
          <w:rFonts w:ascii="Arial" w:cs="Arial" w:eastAsia="Arial" w:hAnsi="Arial"/>
          <w:sz w:val="17"/>
          <w:szCs w:val="17"/>
          <w:i w:val="1"/>
          <w:iCs w:val="1"/>
          <w:color w:val="auto"/>
        </w:rPr>
        <w:t>KRAS</w:t>
      </w:r>
      <w:r>
        <w:rPr>
          <w:rFonts w:ascii="Arial" w:cs="Arial" w:eastAsia="Arial" w:hAnsi="Arial"/>
          <w:sz w:val="17"/>
          <w:szCs w:val="17"/>
          <w:color w:val="auto"/>
        </w:rPr>
        <w:t xml:space="preserve"> amplified cancers; in the future, we intend to pursue additional gene amplified tumor settings as well. Clinical success in one or more of these indications could expand the potential addressable patient population for BBI-355.</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640"/>
        <w:spacing w:after="0" w:line="281" w:lineRule="auto"/>
        <w:rPr>
          <w:sz w:val="20"/>
          <w:szCs w:val="20"/>
          <w:color w:val="auto"/>
        </w:rPr>
      </w:pPr>
      <w:r>
        <w:rPr>
          <w:rFonts w:ascii="Arial" w:cs="Arial" w:eastAsia="Arial" w:hAnsi="Arial"/>
          <w:sz w:val="18"/>
          <w:szCs w:val="18"/>
          <w:b w:val="1"/>
          <w:bCs w:val="1"/>
          <w:color w:val="auto"/>
        </w:rPr>
        <w:t>Initial Indications for BBI-355 May Represent a Total Addressable Population of 80,000 New Patients in the United States, the European Union, and Japan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115570</wp:posOffset>
            </wp:positionV>
            <wp:extent cx="3634740" cy="23660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347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Central Nervous System (CNS) Penetrant CHK1 Inhibitor Program: BBI-098</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In addition to BBI-355, we have also identified a second CHK1 inhibitor candidate with a differentiated profile from BBI-355. This novel ecDTx compound, BBI-098, is orally available, selective, has shown picomolar biochemical inhibition of CHK1, and has demonstrated CNS penetrance in preclinical models. We have nominated BBI-098 as a development candidate and have completed non-Good Laboratory Practice (GLP) dose range finding toxicology studies. We are currently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multiple glioblastoma pharmacology models. If those studies are successful and we are able to demonstrate clinical activity of CHK1 inhibition in ecDNA-bearing cancers with our BBI-355 ecDTx, then we intend to advance BBI-098 into GLP toxicology studies and formulation development to pursue ecDNA-bearing oncology CNS indications such as glioblastoma or brain metastases. Properties of BBI-098 observed in preclinical studies are shown below.</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40"/>
          </w:cols>
          <w:pgMar w:left="320" w:top="455" w:right="6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Preclinical Properties of BBI-098 CNS Penetrant CHK1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163195</wp:posOffset>
            </wp:positionV>
            <wp:extent cx="4389120" cy="3437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8912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Second ecDTx: BBI-825 RNR Inhibitor</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second ecDTx, BBI-825, is a novel, selective, oral small molecule inhibitor of RNR. In January 2024, we received allowance from the FDA to initiate the first-in-human, Phase 1/2 STARMAP clinical trial in patients with resistance gene amplifications. RNR is a rate-limiting enzyme responsible for cellular production of dNTPs, the building blocks of DNA, and is essential to the assembly and repair of ecDNA. We have demonstrated that inhibition of RNR with BBI-825 starved ecDNA-reliant cancer cells of dNTPs, depleted ecDNA, and was synthetic lethal in multiple ecDNA-bearing cancers, including both driver oncogene and resistance settings. We expect to initiate the</w:t>
      </w:r>
    </w:p>
    <w:p>
      <w:pPr>
        <w:spacing w:after="0" w:line="4"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color w:val="auto"/>
        </w:rPr>
        <w:t>STARMAP trial in and have preliminary clinical proof of concept safety and anti-tumor activity data of BBI-825 in combination with targeted therapies from the STARMAP trial in the .</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RNR Synthetic Lethality in ecDNA-enabled Cancer</w:t>
      </w:r>
    </w:p>
    <w:p>
      <w:pPr>
        <w:spacing w:after="0" w:line="102"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RNR is a rate-limiting enzyme responsible for cellular production of dNTPs and is essential to the assembly and repair of ecDNA. The premise for this ecDTx program is based on the preclinical observation that RNR inhibition starved ecDNA-reliant cancer cells of dNTPs, depleted ecDNA, and was synthetic lethal in amplification-bearing cancer cells.</w:t>
      </w:r>
    </w:p>
    <w:p>
      <w:pPr>
        <w:spacing w:after="0" w:line="169" w:lineRule="exact"/>
        <w:rPr>
          <w:sz w:val="20"/>
          <w:szCs w:val="20"/>
          <w:color w:val="auto"/>
        </w:rPr>
      </w:pPr>
    </w:p>
    <w:p>
      <w:pPr>
        <w:ind w:left="120" w:right="400" w:firstLine="551"/>
        <w:spacing w:after="0" w:line="232" w:lineRule="auto"/>
        <w:rPr>
          <w:sz w:val="20"/>
          <w:szCs w:val="20"/>
          <w:color w:val="auto"/>
        </w:rPr>
      </w:pPr>
      <w:r>
        <w:rPr>
          <w:rFonts w:ascii="Arial" w:cs="Arial" w:eastAsia="Arial" w:hAnsi="Arial"/>
          <w:sz w:val="17"/>
          <w:szCs w:val="17"/>
          <w:color w:val="auto"/>
        </w:rPr>
        <w:t xml:space="preserve">We have observed particular sensitivity to RNR inhibition in cancer cells harboring certain oncodriver mutations, for instance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BRAF</w:t>
      </w:r>
      <w:r>
        <w:rPr>
          <w:rFonts w:ascii="Arial" w:cs="Arial" w:eastAsia="Arial" w:hAnsi="Arial"/>
          <w:sz w:val="25"/>
          <w:szCs w:val="25"/>
          <w:i w:val="1"/>
          <w:iCs w:val="1"/>
          <w:color w:val="auto"/>
          <w:vertAlign w:val="superscript"/>
        </w:rPr>
        <w:t>V600</w:t>
      </w:r>
      <w:r>
        <w:rPr>
          <w:rFonts w:ascii="Arial" w:cs="Arial" w:eastAsia="Arial" w:hAnsi="Arial"/>
          <w:sz w:val="17"/>
          <w:szCs w:val="17"/>
          <w:color w:val="auto"/>
        </w:rPr>
        <w:t>, previously shown to have hyperactive dNTP synthesis that promotes the activity of key</w:t>
      </w:r>
      <w:r>
        <w:rPr>
          <w:rFonts w:ascii="Arial" w:cs="Arial" w:eastAsia="Arial" w:hAnsi="Arial"/>
          <w:sz w:val="17"/>
          <w:szCs w:val="17"/>
          <w:i w:val="1"/>
          <w:iCs w:val="1"/>
          <w:color w:val="auto"/>
        </w:rPr>
        <w:t xml:space="preserve"> de novo </w:t>
      </w:r>
      <w:r>
        <w:rPr>
          <w:rFonts w:ascii="Arial" w:cs="Arial" w:eastAsia="Arial" w:hAnsi="Arial"/>
          <w:sz w:val="17"/>
          <w:szCs w:val="17"/>
          <w:color w:val="auto"/>
        </w:rPr>
        <w:t>nucleotide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biosynthesis pathway enzymes, including RNR. Critically, </w:t>
      </w:r>
      <w:r>
        <w:rPr>
          <w:rFonts w:ascii="Arial" w:cs="Arial" w:eastAsia="Arial" w:hAnsi="Arial"/>
          <w:sz w:val="17"/>
          <w:szCs w:val="17"/>
          <w:i w:val="1"/>
          <w:iCs w:val="1"/>
          <w:color w:val="auto"/>
        </w:rPr>
        <w:t>KRAS</w:t>
      </w:r>
      <w:r>
        <w:rPr>
          <w:rFonts w:ascii="Arial" w:cs="Arial" w:eastAsia="Arial" w:hAnsi="Arial"/>
          <w:sz w:val="17"/>
          <w:szCs w:val="17"/>
          <w:color w:val="auto"/>
        </w:rPr>
        <w:t xml:space="preserve">, </w:t>
      </w:r>
      <w:r>
        <w:rPr>
          <w:rFonts w:ascii="Arial" w:cs="Arial" w:eastAsia="Arial" w:hAnsi="Arial"/>
          <w:sz w:val="17"/>
          <w:szCs w:val="17"/>
          <w:i w:val="1"/>
          <w:iCs w:val="1"/>
          <w:color w:val="auto"/>
        </w:rPr>
        <w:t>BRAF</w:t>
      </w:r>
      <w:r>
        <w:rPr>
          <w:rFonts w:ascii="Arial" w:cs="Arial" w:eastAsia="Arial" w:hAnsi="Arial"/>
          <w:sz w:val="17"/>
          <w:szCs w:val="17"/>
          <w:color w:val="auto"/>
        </w:rPr>
        <w:t>, and other genes involved in MAPK pathway signaling are frequently amplified on ecDNA, potentially further compounding the demand for dNTPs and reliance on RNR for tumor cell survival.</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with Prior RNR Inhibitors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RNR inhibition as a pharmacological strategy for treating cancer has been clinically validated by approved drugs with RNR inhibitory activity, such as gemcitabine and hydroxyurea. These drugs, however, are not selective for RNR and were not originally intended for, nor optimized for, RNR inhibitor properties. They have several shortcomings, including poor PK properties, IV delivery (gemcitabine), weak potency (hydroxyurea), polypharmacology, and other metabolic liabilities. Despite these limitations, drugs with RNR inhibitory activity have shown clinical activity in multiple settings, with anecdotal evidence supporting synthetic lethality for gemcitabine in high-RS tumors with oncogene amplification. To date, no selective RNR inhibitor has either been approved, nor to our knowledge is being actively developed. Additionally, no compounds with RNR inhibitory properties have been previously approved with a biomarker for patient selection. Therefore, we believe there is a significant opportunity for a precision medicine approach to pursuing this clinically validated cancer target via an intentionally designed, selective, oral RNR inhibitor, with a biomarker-enabled approach for selection of patients with cancers most likely to benefit from this therapeutic strategy.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Differentiated Approach</w:t>
      </w:r>
    </w:p>
    <w:p>
      <w:pPr>
        <w:spacing w:after="0" w:line="102" w:lineRule="exact"/>
        <w:rPr>
          <w:sz w:val="20"/>
          <w:szCs w:val="20"/>
          <w:color w:val="auto"/>
        </w:rPr>
      </w:pPr>
    </w:p>
    <w:p>
      <w:pPr>
        <w:ind w:left="120" w:right="160" w:firstLine="551"/>
        <w:spacing w:after="0" w:line="220" w:lineRule="auto"/>
        <w:rPr>
          <w:sz w:val="20"/>
          <w:szCs w:val="20"/>
          <w:color w:val="auto"/>
        </w:rPr>
      </w:pPr>
      <w:r>
        <w:rPr>
          <w:rFonts w:ascii="Arial" w:cs="Arial" w:eastAsia="Arial" w:hAnsi="Arial"/>
          <w:sz w:val="18"/>
          <w:szCs w:val="18"/>
          <w:color w:val="auto"/>
        </w:rPr>
        <w:t xml:space="preserve">To this end, we have designed BBI-825, a novel, RNR-selective inhibitor optimized for ecDNA-enabled cancers, including those with MAPK pathway activation (e.g.,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and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mutations). BBI-825 is orally available and has demonstrated selective, low double digit nanomolar biochemical inhibition of RNR, encouraging PK properties in higher species, and a favorable profile for hERG interaction. Properties of BBI-825 observed in preclinical studies are shown below.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Preclinical Properties of BBI-825 Selective RNR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8890</wp:posOffset>
            </wp:positionV>
            <wp:extent cx="4114800" cy="1945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1480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BBI-825 In Vitro Preclinical Data</w:t>
      </w:r>
    </w:p>
    <w:p>
      <w:pPr>
        <w:spacing w:after="0" w:line="10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color w:val="auto"/>
        </w:rPr>
        <w:t xml:space="preserve">BBI-825 was first characterized extensively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 seen in the figure below, dysregulation of cellular dNTP levels in ecDNA-enabled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amplified gastric cancer cells treated with BBI-825 resulted in a substantial reduction of ecDNA compared to untreated cells. Reduction in ecDNA levels correlated directly with tumor cell cytotoxicity in both a concentration and temporal-dependent manner. Similar effects on ecDNA levels and cell viability were observed in other tumor cell lines irrespective of the specific ecDNA amplified oncogene, consistent with RNR representing an ecDNA-essential drug target.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480" w:right="120"/>
        <w:spacing w:after="0" w:line="281" w:lineRule="auto"/>
        <w:rPr>
          <w:sz w:val="20"/>
          <w:szCs w:val="20"/>
          <w:color w:val="auto"/>
        </w:rPr>
      </w:pPr>
      <w:r>
        <w:rPr>
          <w:rFonts w:ascii="Arial" w:cs="Arial" w:eastAsia="Arial" w:hAnsi="Arial"/>
          <w:sz w:val="18"/>
          <w:szCs w:val="18"/>
          <w:b w:val="1"/>
          <w:bCs w:val="1"/>
          <w:color w:val="auto"/>
        </w:rPr>
        <w:t>Selective Inhibition of RNR with BBI-825 Resulted in dNTP Depletion, ecDNA Reduction, and Cytotoxicity in ecDNA Amplified Colorectal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-38100</wp:posOffset>
            </wp:positionV>
            <wp:extent cx="5126355" cy="2048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2635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firstLine="551"/>
        <w:spacing w:after="0" w:line="197" w:lineRule="auto"/>
        <w:rPr>
          <w:sz w:val="20"/>
          <w:szCs w:val="20"/>
          <w:color w:val="auto"/>
        </w:rPr>
      </w:pPr>
      <w:r>
        <w:rPr>
          <w:rFonts w:ascii="Arial" w:cs="Arial" w:eastAsia="Arial" w:hAnsi="Arial"/>
          <w:sz w:val="18"/>
          <w:szCs w:val="18"/>
          <w:color w:val="auto"/>
        </w:rPr>
        <w:t xml:space="preserve">As seen in the figure below, similar to the results observed in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mutant models, BBI-825 also demonstrated anti-tumor activity in WiDr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mutant colorectal cancer cells. In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WiDr cells were initially sensitive to the combination of the BRAF inhibitor vemurafenib and the EGFR inhibitor cetuximab, but cells developed resistance through amplification and subsequent overexpression of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w:t>
      </w:r>
      <w:r>
        <w:rPr>
          <w:rFonts w:ascii="Arial" w:cs="Arial" w:eastAsia="Arial" w:hAnsi="Arial"/>
          <w:sz w:val="18"/>
          <w:szCs w:val="18"/>
          <w:color w:val="auto"/>
        </w:rPr>
        <w:t>. Consistent with the results observed in the mutant KRAS setting, the addition of BBI-825 to the vemurafenib and cetuximab therapy resulted in complete inhibition of WiDr tumor cell growth. In contrast, cells treated with either BBI-825 alone, or vemurafenib and cetuximab alone, eventually resumed growth after several weeks in culture.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BBI-825 Overcame Combination BRAF Inhibition and EGFR Inhibition in </w:t>
      </w:r>
      <w:r>
        <w:rPr>
          <w:rFonts w:ascii="Arial" w:cs="Arial" w:eastAsia="Arial" w:hAnsi="Arial"/>
          <w:sz w:val="18"/>
          <w:szCs w:val="18"/>
          <w:b w:val="1"/>
          <w:bCs w:val="1"/>
          <w:i w:val="1"/>
          <w:iCs w:val="1"/>
          <w:color w:val="auto"/>
        </w:rPr>
        <w:t>BRAF</w:t>
      </w:r>
      <w:r>
        <w:rPr>
          <w:rFonts w:ascii="Arial" w:cs="Arial" w:eastAsia="Arial" w:hAnsi="Arial"/>
          <w:sz w:val="26"/>
          <w:szCs w:val="26"/>
          <w:b w:val="1"/>
          <w:bCs w:val="1"/>
          <w:i w:val="1"/>
          <w:iCs w:val="1"/>
          <w:color w:val="auto"/>
          <w:vertAlign w:val="superscript"/>
        </w:rPr>
        <w:t>V600E</w:t>
      </w:r>
      <w:r>
        <w:rPr>
          <w:rFonts w:ascii="Arial" w:cs="Arial" w:eastAsia="Arial" w:hAnsi="Arial"/>
          <w:sz w:val="18"/>
          <w:szCs w:val="18"/>
          <w:b w:val="1"/>
          <w:bCs w:val="1"/>
          <w:color w:val="auto"/>
        </w:rPr>
        <w:t xml:space="preserve"> Amplification-based Resistance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5194935" cy="27260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9493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BBI-825 In Vivo Preclinical Data</w:t>
      </w:r>
    </w:p>
    <w:p>
      <w:pPr>
        <w:spacing w:after="0" w:line="102" w:lineRule="exact"/>
        <w:rPr>
          <w:sz w:val="20"/>
          <w:szCs w:val="20"/>
          <w:color w:val="auto"/>
        </w:rPr>
      </w:pPr>
    </w:p>
    <w:p>
      <w:pPr>
        <w:ind w:left="120" w:right="60" w:firstLine="551"/>
        <w:spacing w:after="0" w:line="231" w:lineRule="auto"/>
        <w:rPr>
          <w:sz w:val="20"/>
          <w:szCs w:val="20"/>
          <w:color w:val="auto"/>
        </w:rPr>
      </w:pPr>
      <w:r>
        <w:rPr>
          <w:rFonts w:ascii="Arial" w:cs="Arial" w:eastAsia="Arial" w:hAnsi="Arial"/>
          <w:sz w:val="18"/>
          <w:szCs w:val="18"/>
          <w:color w:val="auto"/>
        </w:rPr>
        <w:t>Pharmacological inhibition of RNR using BBI-825 in tumor xenograft models reinforces the potential of this ecDTx to treat amplification-enabled oncogene-dependent cancers. BBI-825 demonstrated anti-tumor activity in models that have driver oncogene amplifications and models that developed resistance amplifications in response to MAPK pathway targeting therapies such as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inhibitors.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of BBI-825 has been demonstrated in an ecDNA-enabled </w:t>
      </w:r>
      <w:r>
        <w:rPr>
          <w:rFonts w:ascii="Arial" w:cs="Arial" w:eastAsia="Arial" w:hAnsi="Arial"/>
          <w:sz w:val="18"/>
          <w:szCs w:val="18"/>
          <w:i w:val="1"/>
          <w:iCs w:val="1"/>
          <w:color w:val="auto"/>
        </w:rPr>
        <w:t>FGFR2</w:t>
      </w:r>
      <w:r>
        <w:rPr>
          <w:rFonts w:ascii="Arial" w:cs="Arial" w:eastAsia="Arial" w:hAnsi="Arial"/>
          <w:sz w:val="18"/>
          <w:szCs w:val="18"/>
          <w:color w:val="auto"/>
        </w:rPr>
        <w:t xml:space="preserve"> amplified gastric cancer xenograft model and an ecDNA-enabled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addicted syngeneic colorectal cancer xenograft model.</w:t>
      </w:r>
    </w:p>
    <w:p>
      <w:pPr>
        <w:spacing w:after="0" w:line="55" w:lineRule="exact"/>
        <w:rPr>
          <w:sz w:val="20"/>
          <w:szCs w:val="20"/>
          <w:color w:val="auto"/>
        </w:rPr>
      </w:pPr>
    </w:p>
    <w:p>
      <w:pPr>
        <w:ind w:left="120" w:right="400" w:firstLine="551"/>
        <w:spacing w:after="0" w:line="301" w:lineRule="auto"/>
        <w:rPr>
          <w:sz w:val="20"/>
          <w:szCs w:val="20"/>
          <w:color w:val="auto"/>
        </w:rPr>
      </w:pPr>
      <w:r>
        <w:rPr>
          <w:rFonts w:ascii="Arial" w:cs="Arial" w:eastAsia="Arial" w:hAnsi="Arial"/>
          <w:sz w:val="17"/>
          <w:szCs w:val="17"/>
          <w:color w:val="auto"/>
        </w:rPr>
        <w:t xml:space="preserve">As seen in the figure below, in the </w:t>
      </w:r>
      <w:r>
        <w:rPr>
          <w:rFonts w:ascii="Arial" w:cs="Arial" w:eastAsia="Arial" w:hAnsi="Arial"/>
          <w:sz w:val="17"/>
          <w:szCs w:val="17"/>
          <w:i w:val="1"/>
          <w:iCs w:val="1"/>
          <w:color w:val="auto"/>
        </w:rPr>
        <w:t>FGFR2</w:t>
      </w:r>
      <w:r>
        <w:rPr>
          <w:rFonts w:ascii="Arial" w:cs="Arial" w:eastAsia="Arial" w:hAnsi="Arial"/>
          <w:sz w:val="17"/>
          <w:szCs w:val="17"/>
          <w:color w:val="auto"/>
        </w:rPr>
        <w:t xml:space="preserve"> amplified gastric cancer xenograft model, BBI-825 showed single agent anti-tumor activity, and the combination of BBI-825 and infigratinib yielded significantly deeper tumor regressions than either single agent alone.</w:t>
      </w:r>
    </w:p>
    <w:p>
      <w:pPr>
        <w:spacing w:after="0" w:line="239" w:lineRule="exact"/>
        <w:rPr>
          <w:sz w:val="20"/>
          <w:szCs w:val="20"/>
          <w:color w:val="auto"/>
        </w:rPr>
      </w:pPr>
    </w:p>
    <w:p>
      <w:pPr>
        <w:jc w:val="center"/>
        <w:ind w:left="500" w:right="360"/>
        <w:spacing w:after="0" w:line="281" w:lineRule="auto"/>
        <w:rPr>
          <w:sz w:val="20"/>
          <w:szCs w:val="20"/>
          <w:color w:val="auto"/>
        </w:rPr>
      </w:pPr>
      <w:r>
        <w:rPr>
          <w:rFonts w:ascii="Arial" w:cs="Arial" w:eastAsia="Arial" w:hAnsi="Arial"/>
          <w:sz w:val="18"/>
          <w:szCs w:val="18"/>
          <w:b w:val="1"/>
          <w:bCs w:val="1"/>
          <w:color w:val="auto"/>
        </w:rPr>
        <w:t xml:space="preserve">BBI-825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as a Single Agent and in Combination with Infigratinib in an ecDNA-enabled </w:t>
      </w:r>
      <w:r>
        <w:rPr>
          <w:rFonts w:ascii="Arial" w:cs="Arial" w:eastAsia="Arial" w:hAnsi="Arial"/>
          <w:sz w:val="18"/>
          <w:szCs w:val="18"/>
          <w:b w:val="1"/>
          <w:bCs w:val="1"/>
          <w:i w:val="1"/>
          <w:iCs w:val="1"/>
          <w:color w:val="auto"/>
        </w:rPr>
        <w:t>FGFR2</w:t>
      </w:r>
      <w:r>
        <w:rPr>
          <w:rFonts w:ascii="Arial" w:cs="Arial" w:eastAsia="Arial" w:hAnsi="Arial"/>
          <w:sz w:val="18"/>
          <w:szCs w:val="18"/>
          <w:b w:val="1"/>
          <w:bCs w:val="1"/>
          <w:color w:val="auto"/>
        </w:rPr>
        <w:t xml:space="preserve"> Amplified Gastric Cancer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115570</wp:posOffset>
            </wp:positionV>
            <wp:extent cx="5194935" cy="28460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9493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Prevention of Amplification-Mediated Resistance in MAPK Pathway-Activated Tumors</w:t>
      </w:r>
    </w:p>
    <w:p>
      <w:pPr>
        <w:spacing w:after="0" w:line="102" w:lineRule="exact"/>
        <w:rPr>
          <w:sz w:val="20"/>
          <w:szCs w:val="20"/>
          <w:color w:val="auto"/>
        </w:rPr>
      </w:pPr>
    </w:p>
    <w:p>
      <w:pPr>
        <w:ind w:left="120" w:firstLine="551"/>
        <w:spacing w:after="0" w:line="186" w:lineRule="auto"/>
        <w:rPr>
          <w:sz w:val="20"/>
          <w:szCs w:val="20"/>
          <w:color w:val="auto"/>
        </w:rPr>
      </w:pPr>
      <w:r>
        <w:rPr>
          <w:rFonts w:ascii="Arial" w:cs="Arial" w:eastAsia="Arial" w:hAnsi="Arial"/>
          <w:sz w:val="18"/>
          <w:szCs w:val="18"/>
          <w:color w:val="auto"/>
        </w:rPr>
        <w:t>As seen in the figure below, in an ecDNA-enabled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 induced resistance colorectal cancer xenograft model,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inhibition by adagrasib induced ecDNA amplification harboring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concurrent with development of drug resistance and tumor regrowth. This resistance mechanism was consistent with recurrent clinical observations where </w:t>
      </w:r>
      <w:r>
        <w:rPr>
          <w:rFonts w:ascii="Arial" w:cs="Arial" w:eastAsia="Arial" w:hAnsi="Arial"/>
          <w:sz w:val="18"/>
          <w:szCs w:val="18"/>
          <w:i w:val="1"/>
          <w:iCs w:val="1"/>
          <w:color w:val="auto"/>
        </w:rPr>
        <w:t>KRAS</w:t>
      </w:r>
      <w:r>
        <w:rPr>
          <w:rFonts w:ascii="Arial" w:cs="Arial" w:eastAsia="Arial" w:hAnsi="Arial"/>
          <w:sz w:val="18"/>
          <w:szCs w:val="18"/>
          <w:color w:val="auto"/>
        </w:rPr>
        <w:t xml:space="preserve"> amplification was associated with disease progression in patients following treatment with the combination of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inhibition by adagrasib and EGFR inhibition by cetuximab. The combination of BBI-825 with adagrasib in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colorectal cancer xenograft models led to robust tumor regressions and inhibited the development of amplification-mediated resistance to adagrasib.</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5" w:right="5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BBI-825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in Combination with Adagrasib in </w:t>
      </w:r>
      <w:r>
        <w:rPr>
          <w:rFonts w:ascii="Arial" w:cs="Arial" w:eastAsia="Arial" w:hAnsi="Arial"/>
          <w:sz w:val="18"/>
          <w:szCs w:val="18"/>
          <w:b w:val="1"/>
          <w:bCs w:val="1"/>
          <w:i w:val="1"/>
          <w:iCs w:val="1"/>
          <w:color w:val="auto"/>
        </w:rPr>
        <w:t>KRAS</w:t>
      </w:r>
      <w:r>
        <w:rPr>
          <w:rFonts w:ascii="Arial" w:cs="Arial" w:eastAsia="Arial" w:hAnsi="Arial"/>
          <w:sz w:val="26"/>
          <w:szCs w:val="26"/>
          <w:b w:val="1"/>
          <w:bCs w:val="1"/>
          <w:i w:val="1"/>
          <w:iCs w:val="1"/>
          <w:color w:val="auto"/>
          <w:vertAlign w:val="superscript"/>
        </w:rPr>
        <w:t>G12C</w:t>
      </w:r>
      <w:r>
        <w:rPr>
          <w:rFonts w:ascii="Arial" w:cs="Arial" w:eastAsia="Arial" w:hAnsi="Arial"/>
          <w:sz w:val="18"/>
          <w:szCs w:val="18"/>
          <w:b w:val="1"/>
          <w:bCs w:val="1"/>
          <w:color w:val="auto"/>
        </w:rPr>
        <w:t xml:space="preserve"> Mutated Colorectal Cancer CDX Model:</w:t>
      </w:r>
    </w:p>
    <w:p>
      <w:pPr>
        <w:jc w:val="center"/>
        <w:ind w:right="-119"/>
        <w:spacing w:after="0"/>
        <w:rPr>
          <w:sz w:val="20"/>
          <w:szCs w:val="20"/>
          <w:color w:val="auto"/>
        </w:rPr>
      </w:pPr>
      <w:r>
        <w:rPr>
          <w:rFonts w:ascii="Arial" w:cs="Arial" w:eastAsia="Arial" w:hAnsi="Arial"/>
          <w:sz w:val="18"/>
          <w:szCs w:val="18"/>
          <w:b w:val="1"/>
          <w:bCs w:val="1"/>
          <w:color w:val="auto"/>
        </w:rPr>
        <w:t>Prevention of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151765</wp:posOffset>
            </wp:positionV>
            <wp:extent cx="4989195" cy="28206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89195"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Amplification-Mediated Resistance in MAPK Pathway-Activated Tumors</w:t>
      </w:r>
    </w:p>
    <w:p>
      <w:pPr>
        <w:spacing w:after="0" w:line="102" w:lineRule="exact"/>
        <w:rPr>
          <w:sz w:val="20"/>
          <w:szCs w:val="20"/>
          <w:color w:val="auto"/>
        </w:rPr>
      </w:pPr>
    </w:p>
    <w:p>
      <w:pPr>
        <w:ind w:left="120" w:firstLine="551"/>
        <w:spacing w:after="0" w:line="200" w:lineRule="auto"/>
        <w:rPr>
          <w:sz w:val="20"/>
          <w:szCs w:val="20"/>
          <w:color w:val="auto"/>
        </w:rPr>
      </w:pPr>
      <w:r>
        <w:rPr>
          <w:rFonts w:ascii="Arial" w:cs="Arial" w:eastAsia="Arial" w:hAnsi="Arial"/>
          <w:sz w:val="18"/>
          <w:szCs w:val="18"/>
          <w:color w:val="auto"/>
        </w:rPr>
        <w:t xml:space="preserve">As seen in the figure below, BBI-825 also demonstrated significant anti-tumor activity in an </w:t>
      </w:r>
      <w:r>
        <w:rPr>
          <w:rFonts w:ascii="Arial" w:cs="Arial" w:eastAsia="Arial" w:hAnsi="Arial"/>
          <w:sz w:val="18"/>
          <w:szCs w:val="18"/>
          <w:i w:val="1"/>
          <w:iCs w:val="1"/>
          <w:color w:val="auto"/>
        </w:rPr>
        <w:t>in vivo 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colorectal cancer CDX model that had already developed amplification-mediated resistance to adagrasib. In this model where amplification-mediated resistance to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inhibitor treatment was already established, BBI-825 significantly inhibited tumor growth as monotherapy, showing 92% tumor growth inhibition compared to vehicle or adagrasib alone, including tumor regressions in multiple animals.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left="480" w:right="280"/>
        <w:spacing w:after="0" w:line="213" w:lineRule="auto"/>
        <w:rPr>
          <w:sz w:val="20"/>
          <w:szCs w:val="20"/>
          <w:color w:val="auto"/>
        </w:rPr>
      </w:pPr>
      <w:r>
        <w:rPr>
          <w:rFonts w:ascii="Arial" w:cs="Arial" w:eastAsia="Arial" w:hAnsi="Arial"/>
          <w:sz w:val="18"/>
          <w:szCs w:val="18"/>
          <w:b w:val="1"/>
          <w:bCs w:val="1"/>
          <w:color w:val="auto"/>
        </w:rPr>
        <w:t xml:space="preserve">BBI-825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as a Single Agent in Adagrasib-Resistant </w:t>
      </w:r>
      <w:r>
        <w:rPr>
          <w:rFonts w:ascii="Arial" w:cs="Arial" w:eastAsia="Arial" w:hAnsi="Arial"/>
          <w:sz w:val="18"/>
          <w:szCs w:val="18"/>
          <w:b w:val="1"/>
          <w:bCs w:val="1"/>
          <w:i w:val="1"/>
          <w:iCs w:val="1"/>
          <w:color w:val="auto"/>
        </w:rPr>
        <w:t>KRAS</w:t>
      </w:r>
      <w:r>
        <w:rPr>
          <w:rFonts w:ascii="Arial" w:cs="Arial" w:eastAsia="Arial" w:hAnsi="Arial"/>
          <w:sz w:val="26"/>
          <w:szCs w:val="26"/>
          <w:b w:val="1"/>
          <w:bCs w:val="1"/>
          <w:i w:val="1"/>
          <w:iCs w:val="1"/>
          <w:color w:val="auto"/>
          <w:vertAlign w:val="superscript"/>
        </w:rPr>
        <w:t>G12C</w:t>
      </w:r>
      <w:r>
        <w:rPr>
          <w:rFonts w:ascii="Arial" w:cs="Arial" w:eastAsia="Arial" w:hAnsi="Arial"/>
          <w:sz w:val="18"/>
          <w:szCs w:val="18"/>
          <w:b w:val="1"/>
          <w:bCs w:val="1"/>
          <w:color w:val="auto"/>
        </w:rPr>
        <w:t xml:space="preserve"> Mutated and Amplified Colorectal Cancer CDX Model: Treatment of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138430</wp:posOffset>
            </wp:positionV>
            <wp:extent cx="5194935" cy="25203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9493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BBI-825 Clinical Development Plan</w:t>
      </w:r>
    </w:p>
    <w:p>
      <w:pPr>
        <w:spacing w:after="0" w:line="102" w:lineRule="exact"/>
        <w:rPr>
          <w:sz w:val="20"/>
          <w:szCs w:val="20"/>
          <w:color w:val="auto"/>
        </w:rPr>
      </w:pPr>
    </w:p>
    <w:p>
      <w:pPr>
        <w:ind w:left="120" w:right="60" w:firstLine="551"/>
        <w:spacing w:after="0" w:line="224" w:lineRule="auto"/>
        <w:rPr>
          <w:sz w:val="20"/>
          <w:szCs w:val="20"/>
          <w:color w:val="auto"/>
        </w:rPr>
      </w:pPr>
      <w:r>
        <w:rPr>
          <w:rFonts w:ascii="Arial" w:cs="Arial" w:eastAsia="Arial" w:hAnsi="Arial"/>
          <w:sz w:val="17"/>
          <w:szCs w:val="17"/>
          <w:color w:val="auto"/>
        </w:rPr>
        <w:t>For the initial clinical development of BBI-825, we prioritized indications based on the preclinical anti-tumor activity we have observed for BBI-825 to date and our understanding of the evolving unmet medical need in cancer. BRAF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have shown the capacity to drive deeper and more durable responses than conventional chemotherapy regimens while minimizing unwanted side effects and damage to normal healthy tissues in patients with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mutated cancers. Unfortunately, resistance to BRAF and KRAS</w:t>
      </w:r>
      <w:r>
        <w:rPr>
          <w:rFonts w:ascii="Arial" w:cs="Arial" w:eastAsia="Arial" w:hAnsi="Arial"/>
          <w:sz w:val="25"/>
          <w:szCs w:val="25"/>
          <w:color w:val="auto"/>
          <w:vertAlign w:val="superscript"/>
        </w:rPr>
        <w:t>G12C</w:t>
      </w:r>
      <w:r>
        <w:rPr>
          <w:rFonts w:ascii="Arial" w:cs="Arial" w:eastAsia="Arial" w:hAnsi="Arial"/>
          <w:sz w:val="17"/>
          <w:szCs w:val="17"/>
          <w:color w:val="auto"/>
        </w:rPr>
        <w:t xml:space="preserve"> inhibitors is almost always inevitable. The predominant resistance mechanisms to these targeted therapies, including when administered in combination with EGFR inhibitors in colorectal cancer, are secondary mutations of the oncodriver targets (</w:t>
      </w:r>
      <w:r>
        <w:rPr>
          <w:rFonts w:ascii="Arial" w:cs="Arial" w:eastAsia="Arial" w:hAnsi="Arial"/>
          <w:sz w:val="17"/>
          <w:szCs w:val="17"/>
          <w:i w:val="1"/>
          <w:iCs w:val="1"/>
          <w:color w:val="auto"/>
        </w:rPr>
        <w:t>BRAFV600E</w:t>
      </w:r>
      <w:r>
        <w:rPr>
          <w:rFonts w:ascii="Arial" w:cs="Arial" w:eastAsia="Arial" w:hAnsi="Arial"/>
          <w:sz w:val="17"/>
          <w:szCs w:val="17"/>
          <w:color w:val="auto"/>
        </w:rPr>
        <w:t xml:space="preserve"> or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other MAPK pathway activation, and resistance gene amplifications. Thus, we initially intend to explore the anti-tumor activity of BBI-825 in patients with locally advanced or metastatic non-resectable colorectal cancer with MAPK pathway alterations, specifically </w:t>
      </w:r>
      <w:r>
        <w:rPr>
          <w:rFonts w:ascii="Arial" w:cs="Arial" w:eastAsia="Arial" w:hAnsi="Arial"/>
          <w:sz w:val="17"/>
          <w:szCs w:val="17"/>
          <w:i w:val="1"/>
          <w:iCs w:val="1"/>
          <w:color w:val="auto"/>
        </w:rPr>
        <w:t>BRAF</w:t>
      </w:r>
      <w:r>
        <w:rPr>
          <w:rFonts w:ascii="Arial" w:cs="Arial" w:eastAsia="Arial" w:hAnsi="Arial"/>
          <w:sz w:val="25"/>
          <w:szCs w:val="25"/>
          <w:i w:val="1"/>
          <w:iCs w:val="1"/>
          <w:color w:val="auto"/>
          <w:vertAlign w:val="superscript"/>
        </w:rPr>
        <w:t>V600E</w:t>
      </w:r>
      <w:r>
        <w:rPr>
          <w:rFonts w:ascii="Arial" w:cs="Arial" w:eastAsia="Arial" w:hAnsi="Arial"/>
          <w:sz w:val="17"/>
          <w:szCs w:val="17"/>
          <w:color w:val="auto"/>
        </w:rPr>
        <w:t xml:space="preserve"> and </w:t>
      </w:r>
      <w:r>
        <w:rPr>
          <w:rFonts w:ascii="Arial" w:cs="Arial" w:eastAsia="Arial" w:hAnsi="Arial"/>
          <w:sz w:val="17"/>
          <w:szCs w:val="17"/>
          <w:i w:val="1"/>
          <w:iCs w:val="1"/>
          <w:color w:val="auto"/>
        </w:rPr>
        <w:t>KRAS</w:t>
      </w:r>
      <w:r>
        <w:rPr>
          <w:rFonts w:ascii="Arial" w:cs="Arial" w:eastAsia="Arial" w:hAnsi="Arial"/>
          <w:sz w:val="25"/>
          <w:szCs w:val="25"/>
          <w:i w:val="1"/>
          <w:iCs w:val="1"/>
          <w:color w:val="auto"/>
          <w:vertAlign w:val="superscript"/>
        </w:rPr>
        <w:t>G12C</w:t>
      </w:r>
      <w:r>
        <w:rPr>
          <w:rFonts w:ascii="Arial" w:cs="Arial" w:eastAsia="Arial" w:hAnsi="Arial"/>
          <w:sz w:val="17"/>
          <w:szCs w:val="17"/>
          <w:color w:val="auto"/>
        </w:rPr>
        <w:t xml:space="preserve"> mutations, and co-occurring resistance gene amplifications.</w:t>
      </w:r>
    </w:p>
    <w:p>
      <w:pPr>
        <w:spacing w:after="0" w:line="53"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In January 2024, we received allowance from the FDA to initiate a first in human, Phase 1/2 clinical trial of BBI-825 and BBI-825 in combination with select targeted therapies in subjects with locally advanced or metastatic solid tumors with resistance gene amplifications. The title of the trial (NCT pending) is: “An open-label, multicenter, first-in-human, dose-escalation and dose expansion, Phase 1/2 study of BBI-825 and BBI-825 in combination with select targeted therapies in subjects with locally advanced or metastatic solid tumors with resistance gene amplifications.” We also call the trial STARMAP, for “Study Treating Acquired Resistance: MAPK Amplifications”. We</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71"/>
        </w:trPr>
        <w:tc>
          <w:tcPr>
            <w:tcW w:w="3460" w:type="dxa"/>
            <w:vAlign w:val="bottom"/>
          </w:tcPr>
          <w:p>
            <w:pPr>
              <w:spacing w:after="0" w:line="170" w:lineRule="exact"/>
              <w:rPr>
                <w:sz w:val="20"/>
                <w:szCs w:val="20"/>
                <w:color w:val="auto"/>
              </w:rPr>
            </w:pPr>
            <w:r>
              <w:rPr>
                <w:rFonts w:ascii="Arial" w:cs="Arial" w:eastAsia="Arial" w:hAnsi="Arial"/>
                <w:sz w:val="18"/>
                <w:szCs w:val="18"/>
                <w:color w:val="auto"/>
              </w:rPr>
              <w:t>expect to initiate the STARMAP trial in</w:t>
            </w:r>
          </w:p>
        </w:tc>
        <w:tc>
          <w:tcPr>
            <w:tcW w:w="7460" w:type="dxa"/>
            <w:vAlign w:val="bottom"/>
            <w:gridSpan w:val="11"/>
          </w:tcPr>
          <w:p>
            <w:pPr>
              <w:ind w:left="420"/>
              <w:spacing w:after="0" w:line="170" w:lineRule="exact"/>
              <w:rPr>
                <w:sz w:val="20"/>
                <w:szCs w:val="20"/>
                <w:color w:val="auto"/>
              </w:rPr>
            </w:pPr>
            <w:r>
              <w:rPr>
                <w:rFonts w:ascii="Arial" w:cs="Arial" w:eastAsia="Arial" w:hAnsi="Arial"/>
                <w:sz w:val="18"/>
                <w:szCs w:val="18"/>
                <w:color w:val="auto"/>
                <w:w w:val="99"/>
              </w:rPr>
              <w:t>and to have preliminary proof of concept safety and anti-tumor activity data of BBI-825 in</w:t>
            </w:r>
          </w:p>
        </w:tc>
      </w:tr>
      <w:tr>
        <w:trPr>
          <w:trHeight w:val="239"/>
        </w:trPr>
        <w:tc>
          <w:tcPr>
            <w:tcW w:w="5480" w:type="dxa"/>
            <w:vAlign w:val="bottom"/>
            <w:gridSpan w:val="2"/>
          </w:tcPr>
          <w:p>
            <w:pPr>
              <w:spacing w:after="0"/>
              <w:rPr>
                <w:sz w:val="20"/>
                <w:szCs w:val="20"/>
                <w:color w:val="auto"/>
              </w:rPr>
            </w:pPr>
            <w:r>
              <w:rPr>
                <w:rFonts w:ascii="Arial" w:cs="Arial" w:eastAsia="Arial" w:hAnsi="Arial"/>
                <w:sz w:val="18"/>
                <w:szCs w:val="18"/>
                <w:color w:val="auto"/>
              </w:rPr>
              <w:t>combination with targeted therapies from the STARMAP trial in the</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180"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The design of the trial is an open-label, non-randomized, three-part Phase 1/2 clinical trial to evaluate the safety and identify the maximum tolerated dose and recommended phase 2 dose of BBI-825 administered as a single agent or in combination with select targeted therapies. The trial has three parts: Part 1 is a dose escalation of BBI-825 as a monotherapy, while Parts 2 and 3 of this trial will be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spacing w:after="0" w:line="229" w:lineRule="auto"/>
        <w:rPr>
          <w:sz w:val="20"/>
          <w:szCs w:val="20"/>
          <w:color w:val="auto"/>
        </w:rPr>
      </w:pPr>
      <w:r>
        <w:rPr>
          <w:rFonts w:ascii="Arial" w:cs="Arial" w:eastAsia="Arial" w:hAnsi="Arial"/>
          <w:sz w:val="18"/>
          <w:szCs w:val="18"/>
          <w:color w:val="auto"/>
        </w:rPr>
        <w:t xml:space="preserve">conducted in two separate modules, each module testing the combination of BBI-825 with two targeted therapies, encorafenib and cetuximab (module 1), or adagrasib and cetuximab (module 2), in patients with amplification-based resistance in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mutant colorectal cancer or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mutant colorectal cancer, respectively.</w:t>
      </w:r>
    </w:p>
    <w:p>
      <w:pPr>
        <w:spacing w:after="0" w:line="55" w:lineRule="exact"/>
        <w:rPr>
          <w:sz w:val="20"/>
          <w:szCs w:val="20"/>
          <w:color w:val="auto"/>
        </w:rPr>
      </w:pPr>
    </w:p>
    <w:p>
      <w:pPr>
        <w:jc w:val="both"/>
        <w:ind w:left="120" w:right="520" w:firstLine="551"/>
        <w:spacing w:after="0" w:line="301" w:lineRule="auto"/>
        <w:rPr>
          <w:sz w:val="20"/>
          <w:szCs w:val="20"/>
          <w:color w:val="auto"/>
        </w:rPr>
      </w:pPr>
      <w:r>
        <w:rPr>
          <w:rFonts w:ascii="Arial" w:cs="Arial" w:eastAsia="Arial" w:hAnsi="Arial"/>
          <w:sz w:val="17"/>
          <w:szCs w:val="17"/>
          <w:color w:val="auto"/>
        </w:rPr>
        <w:t>In Part 1 of the trial, patients with solid tumors will be eligible for enrollment. The goal of Part 1 is to identify the single agent recommended Phase 2 dose and maximum tolerated dose of BBI-825 and to evaluate preliminary single agent anti-tumor activity.</w:t>
      </w:r>
    </w:p>
    <w:p>
      <w:pPr>
        <w:spacing w:after="0" w:line="131" w:lineRule="exact"/>
        <w:rPr>
          <w:sz w:val="20"/>
          <w:szCs w:val="20"/>
          <w:color w:val="auto"/>
        </w:rPr>
      </w:pPr>
    </w:p>
    <w:p>
      <w:pPr>
        <w:ind w:left="120" w:firstLine="551"/>
        <w:spacing w:after="0" w:line="231" w:lineRule="auto"/>
        <w:rPr>
          <w:sz w:val="20"/>
          <w:szCs w:val="20"/>
          <w:color w:val="auto"/>
        </w:rPr>
      </w:pPr>
      <w:r>
        <w:rPr>
          <w:rFonts w:ascii="Arial" w:cs="Arial" w:eastAsia="Arial" w:hAnsi="Arial"/>
          <w:sz w:val="18"/>
          <w:szCs w:val="18"/>
          <w:color w:val="auto"/>
        </w:rPr>
        <w:t xml:space="preserve">In Part 2 of the trial, patients with locally advanced or metastatic non-resectable colorectal cancer with MAPK pathway alterations, specifically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and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mutations, and co-occurring resistance gene amplifications, as determined by standard NGS testing, will be enrolled in the corresponding module. The goal of Part 2 is to identify the recommended Phase 2 dose and maximum tolerated dose of BBI-825, as well as initial anti-tumor activity, in combination with the respective targeted therapies studied in each module, that is encorafenib and cetuximab (module 1), or adagrasib and cetuximab (module 2), in patients with amplification-based resistance in BRAF</w:t>
      </w:r>
      <w:r>
        <w:rPr>
          <w:rFonts w:ascii="Arial" w:cs="Arial" w:eastAsia="Arial" w:hAnsi="Arial"/>
          <w:sz w:val="26"/>
          <w:szCs w:val="26"/>
          <w:color w:val="auto"/>
          <w:vertAlign w:val="superscript"/>
        </w:rPr>
        <w:t>V600E</w:t>
      </w:r>
      <w:r>
        <w:rPr>
          <w:rFonts w:ascii="Arial" w:cs="Arial" w:eastAsia="Arial" w:hAnsi="Arial"/>
          <w:sz w:val="18"/>
          <w:szCs w:val="18"/>
          <w:color w:val="auto"/>
        </w:rPr>
        <w:t xml:space="preserve"> mutant colorectal cancer or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mutant colorectal cancer, respectively.</w:t>
      </w:r>
    </w:p>
    <w:p>
      <w:pPr>
        <w:spacing w:after="0" w:line="59" w:lineRule="exact"/>
        <w:rPr>
          <w:sz w:val="20"/>
          <w:szCs w:val="20"/>
          <w:color w:val="auto"/>
        </w:rPr>
      </w:pPr>
    </w:p>
    <w:p>
      <w:pPr>
        <w:ind w:left="120" w:firstLine="551"/>
        <w:spacing w:after="0" w:line="220" w:lineRule="auto"/>
        <w:rPr>
          <w:sz w:val="20"/>
          <w:szCs w:val="20"/>
          <w:color w:val="auto"/>
        </w:rPr>
      </w:pPr>
      <w:r>
        <w:rPr>
          <w:rFonts w:ascii="Arial" w:cs="Arial" w:eastAsia="Arial" w:hAnsi="Arial"/>
          <w:sz w:val="18"/>
          <w:szCs w:val="18"/>
          <w:color w:val="auto"/>
        </w:rPr>
        <w:t>In Part 3 of the trial, patients with locally advanced or metastatic non-resectable colorectal cancer with MAPK pathway alterations, specifically BRAF</w:t>
      </w:r>
      <w:r>
        <w:rPr>
          <w:rFonts w:ascii="Arial" w:cs="Arial" w:eastAsia="Arial" w:hAnsi="Arial"/>
          <w:sz w:val="26"/>
          <w:szCs w:val="26"/>
          <w:color w:val="auto"/>
          <w:vertAlign w:val="superscript"/>
        </w:rPr>
        <w:t>V600E</w:t>
      </w:r>
      <w:r>
        <w:rPr>
          <w:rFonts w:ascii="Arial" w:cs="Arial" w:eastAsia="Arial" w:hAnsi="Arial"/>
          <w:sz w:val="18"/>
          <w:szCs w:val="18"/>
          <w:color w:val="auto"/>
        </w:rPr>
        <w:t xml:space="preserve"> and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mutations, and co-occurring resistance gene amplifications, as determined by standard NGS testing, will be enrolled in the corresponding module. The goal of Part 3 is to evaluate preliminary combination anti-tumor activity at the combination recommended Phase 2 doses.</w:t>
      </w:r>
    </w:p>
    <w:p>
      <w:pPr>
        <w:spacing w:after="0" w:line="18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expect to enroll a total of approximately 140 to 190 patients in this trial. Should any cohort of the trial demonstrate compelling signs of clinical anti-tumor activity, along with acceptable safety and tolerability results, we would seek to engage with the FDA and other global regulatory bodies to discuss potential registrational paths, including the designs of any additional clinical trials we may need to conduct to support potential registrations for BBI-825. Based on ongoing preclinical studies as well as the future clinical data for BBI-825, we may also consider expanding this trial to pan-tumor, pan-RAS, and/or pan-RAF evaluation.</w:t>
      </w: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Design of BBI-825 Phase 1/2 STARMAP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5186045" cy="2425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320" w:top="455" w:right="5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Addressable Patient Populations for BBI-825</w:t>
      </w:r>
    </w:p>
    <w:p>
      <w:pPr>
        <w:spacing w:after="0" w:line="102" w:lineRule="exact"/>
        <w:rPr>
          <w:sz w:val="20"/>
          <w:szCs w:val="20"/>
          <w:color w:val="auto"/>
        </w:rPr>
      </w:pPr>
    </w:p>
    <w:p>
      <w:pPr>
        <w:ind w:left="120" w:right="60" w:firstLine="551"/>
        <w:spacing w:after="0" w:line="225" w:lineRule="auto"/>
        <w:rPr>
          <w:sz w:val="20"/>
          <w:szCs w:val="20"/>
          <w:color w:val="auto"/>
        </w:rPr>
      </w:pPr>
      <w:r>
        <w:rPr>
          <w:rFonts w:ascii="Arial" w:cs="Arial" w:eastAsia="Arial" w:hAnsi="Arial"/>
          <w:sz w:val="18"/>
          <w:szCs w:val="18"/>
          <w:color w:val="auto"/>
        </w:rPr>
        <w:t xml:space="preserve">We estimate that BBI-825, if approved for the indications we are targeting in the STARMAP trial, could address an initial U.S. patient population of approximately 7,000 new metastatic colorectal cancer patients per year with </w:t>
      </w:r>
      <w:r>
        <w:rPr>
          <w:rFonts w:ascii="Arial" w:cs="Arial" w:eastAsia="Arial" w:hAnsi="Arial"/>
          <w:sz w:val="18"/>
          <w:szCs w:val="18"/>
          <w:i w:val="1"/>
          <w:iCs w:val="1"/>
          <w:color w:val="auto"/>
        </w:rPr>
        <w:t>BRAF</w:t>
      </w:r>
      <w:r>
        <w:rPr>
          <w:rFonts w:ascii="Arial" w:cs="Arial" w:eastAsia="Arial" w:hAnsi="Arial"/>
          <w:sz w:val="26"/>
          <w:szCs w:val="26"/>
          <w:i w:val="1"/>
          <w:iCs w:val="1"/>
          <w:color w:val="auto"/>
          <w:vertAlign w:val="superscript"/>
        </w:rPr>
        <w:t>V600E</w:t>
      </w:r>
      <w:r>
        <w:rPr>
          <w:rFonts w:ascii="Arial" w:cs="Arial" w:eastAsia="Arial" w:hAnsi="Arial"/>
          <w:sz w:val="18"/>
          <w:szCs w:val="18"/>
          <w:color w:val="auto"/>
        </w:rPr>
        <w:t xml:space="preserve"> or </w:t>
      </w:r>
      <w:r>
        <w:rPr>
          <w:rFonts w:ascii="Arial" w:cs="Arial" w:eastAsia="Arial" w:hAnsi="Arial"/>
          <w:sz w:val="18"/>
          <w:szCs w:val="18"/>
          <w:i w:val="1"/>
          <w:iCs w:val="1"/>
          <w:color w:val="auto"/>
        </w:rPr>
        <w:t>KRAS</w:t>
      </w:r>
      <w:r>
        <w:rPr>
          <w:rFonts w:ascii="Arial" w:cs="Arial" w:eastAsia="Arial" w:hAnsi="Arial"/>
          <w:sz w:val="26"/>
          <w:szCs w:val="26"/>
          <w:i w:val="1"/>
          <w:iCs w:val="1"/>
          <w:color w:val="auto"/>
          <w:vertAlign w:val="superscript"/>
        </w:rPr>
        <w:t>G12C</w:t>
      </w:r>
      <w:r>
        <w:rPr>
          <w:rFonts w:ascii="Arial" w:cs="Arial" w:eastAsia="Arial" w:hAnsi="Arial"/>
          <w:sz w:val="18"/>
          <w:szCs w:val="18"/>
          <w:color w:val="auto"/>
        </w:rPr>
        <w:t xml:space="preserve"> mutations, in addition to over 9,000 new patients in the European Union and 3,000 new patients in Japan, representing a total potential addressable patient population of nearly 20,000 new patients per year in the United States, European Union, and Japan; although at this early juncture it is difficult to know how many patients eventually develop resistance to targeted therapy treatment via resistance gene amplification on ecDNA.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indications currently being evaluated in the STARMAP trial described above, we are also currently conducting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studies to evaluate BBI-825 in additional MAPK pathway activated cancer indications, including resistance associated with</w:t>
      </w:r>
    </w:p>
    <w:p>
      <w:pPr>
        <w:ind w:left="120"/>
        <w:spacing w:after="0" w:line="183" w:lineRule="auto"/>
        <w:rPr>
          <w:sz w:val="20"/>
          <w:szCs w:val="20"/>
          <w:color w:val="auto"/>
        </w:rPr>
      </w:pPr>
      <w:r>
        <w:rPr>
          <w:rFonts w:ascii="Arial" w:cs="Arial" w:eastAsia="Arial" w:hAnsi="Arial"/>
          <w:sz w:val="16"/>
          <w:szCs w:val="16"/>
          <w:color w:val="auto"/>
        </w:rPr>
        <w:t xml:space="preserve">other KRAS activations (e.g., </w:t>
      </w:r>
      <w:r>
        <w:rPr>
          <w:rFonts w:ascii="Arial" w:cs="Arial" w:eastAsia="Arial" w:hAnsi="Arial"/>
          <w:sz w:val="16"/>
          <w:szCs w:val="16"/>
          <w:i w:val="1"/>
          <w:iCs w:val="1"/>
          <w:color w:val="auto"/>
        </w:rPr>
        <w:t>KRAS</w:t>
      </w:r>
      <w:r>
        <w:rPr>
          <w:rFonts w:ascii="Arial" w:cs="Arial" w:eastAsia="Arial" w:hAnsi="Arial"/>
          <w:sz w:val="23"/>
          <w:szCs w:val="23"/>
          <w:i w:val="1"/>
          <w:iCs w:val="1"/>
          <w:color w:val="auto"/>
          <w:vertAlign w:val="superscript"/>
        </w:rPr>
        <w:t>G12C</w:t>
      </w:r>
      <w:r>
        <w:rPr>
          <w:rFonts w:ascii="Arial" w:cs="Arial" w:eastAsia="Arial" w:hAnsi="Arial"/>
          <w:sz w:val="16"/>
          <w:szCs w:val="16"/>
          <w:color w:val="auto"/>
        </w:rPr>
        <w:t xml:space="preserve"> non-colorectal cancers and </w:t>
      </w:r>
      <w:r>
        <w:rPr>
          <w:rFonts w:ascii="Arial" w:cs="Arial" w:eastAsia="Arial" w:hAnsi="Arial"/>
          <w:sz w:val="16"/>
          <w:szCs w:val="16"/>
          <w:i w:val="1"/>
          <w:iCs w:val="1"/>
          <w:color w:val="auto"/>
        </w:rPr>
        <w:t>KRAS</w:t>
      </w:r>
      <w:r>
        <w:rPr>
          <w:rFonts w:ascii="Arial" w:cs="Arial" w:eastAsia="Arial" w:hAnsi="Arial"/>
          <w:sz w:val="23"/>
          <w:szCs w:val="23"/>
          <w:i w:val="1"/>
          <w:iCs w:val="1"/>
          <w:color w:val="auto"/>
          <w:vertAlign w:val="superscript"/>
        </w:rPr>
        <w:t>G12D</w:t>
      </w:r>
      <w:r>
        <w:rPr>
          <w:rFonts w:ascii="Arial" w:cs="Arial" w:eastAsia="Arial" w:hAnsi="Arial"/>
          <w:sz w:val="16"/>
          <w:szCs w:val="16"/>
          <w:color w:val="auto"/>
        </w:rPr>
        <w:t xml:space="preserve"> colorectal cancer), </w:t>
      </w:r>
      <w:r>
        <w:rPr>
          <w:rFonts w:ascii="Arial" w:cs="Arial" w:eastAsia="Arial" w:hAnsi="Arial"/>
          <w:sz w:val="16"/>
          <w:szCs w:val="16"/>
          <w:i w:val="1"/>
          <w:iCs w:val="1"/>
          <w:color w:val="auto"/>
        </w:rPr>
        <w:t>BRAF</w:t>
      </w:r>
      <w:r>
        <w:rPr>
          <w:rFonts w:ascii="Arial" w:cs="Arial" w:eastAsia="Arial" w:hAnsi="Arial"/>
          <w:sz w:val="23"/>
          <w:szCs w:val="23"/>
          <w:i w:val="1"/>
          <w:iCs w:val="1"/>
          <w:color w:val="auto"/>
          <w:vertAlign w:val="superscript"/>
        </w:rPr>
        <w:t>V600E</w:t>
      </w:r>
      <w:r>
        <w:rPr>
          <w:rFonts w:ascii="Arial" w:cs="Arial" w:eastAsia="Arial" w:hAnsi="Arial"/>
          <w:sz w:val="16"/>
          <w:szCs w:val="16"/>
          <w:color w:val="auto"/>
        </w:rPr>
        <w:t xml:space="preserve"> non-colorectal cancers,</w:t>
      </w:r>
    </w:p>
    <w:p>
      <w:pPr>
        <w:ind w:left="120"/>
        <w:spacing w:after="0" w:line="235" w:lineRule="auto"/>
        <w:rPr>
          <w:sz w:val="20"/>
          <w:szCs w:val="20"/>
          <w:color w:val="auto"/>
        </w:rPr>
      </w:pPr>
      <w:r>
        <w:rPr>
          <w:rFonts w:ascii="Arial" w:cs="Arial" w:eastAsia="Arial" w:hAnsi="Arial"/>
          <w:sz w:val="18"/>
          <w:szCs w:val="18"/>
          <w:color w:val="auto"/>
        </w:rPr>
        <w:t>and others. Clinical success in one or more of these indications could expand the potential addressable patient population for BBI-825. In</w:t>
      </w:r>
    </w:p>
    <w:p>
      <w:pPr>
        <w:ind w:left="120"/>
        <w:spacing w:after="0" w:line="184" w:lineRule="auto"/>
        <w:rPr>
          <w:sz w:val="20"/>
          <w:szCs w:val="20"/>
          <w:color w:val="auto"/>
        </w:rPr>
      </w:pPr>
      <w:r>
        <w:rPr>
          <w:rFonts w:ascii="Arial" w:cs="Arial" w:eastAsia="Arial" w:hAnsi="Arial"/>
          <w:sz w:val="16"/>
          <w:szCs w:val="16"/>
          <w:color w:val="auto"/>
        </w:rPr>
        <w:t>the future, we estimate that expansion into additional non-colorectal metastatic KRAS and BRAF solid tumors (e.g., KRAS</w:t>
      </w:r>
      <w:r>
        <w:rPr>
          <w:rFonts w:ascii="Arial" w:cs="Arial" w:eastAsia="Arial" w:hAnsi="Arial"/>
          <w:sz w:val="23"/>
          <w:szCs w:val="23"/>
          <w:color w:val="auto"/>
          <w:vertAlign w:val="superscript"/>
        </w:rPr>
        <w:t>G12C</w:t>
      </w:r>
      <w:r>
        <w:rPr>
          <w:rFonts w:ascii="Arial" w:cs="Arial" w:eastAsia="Arial" w:hAnsi="Arial"/>
          <w:sz w:val="16"/>
          <w:szCs w:val="16"/>
          <w:color w:val="auto"/>
        </w:rPr>
        <w:t>,</w:t>
      </w:r>
    </w:p>
    <w:p>
      <w:pPr>
        <w:ind w:left="120"/>
        <w:spacing w:after="0" w:line="184" w:lineRule="auto"/>
        <w:rPr>
          <w:sz w:val="20"/>
          <w:szCs w:val="20"/>
          <w:color w:val="auto"/>
        </w:rPr>
      </w:pPr>
      <w:r>
        <w:rPr>
          <w:rFonts w:ascii="Arial" w:cs="Arial" w:eastAsia="Arial" w:hAnsi="Arial"/>
          <w:sz w:val="16"/>
          <w:szCs w:val="16"/>
          <w:color w:val="auto"/>
        </w:rPr>
        <w:t>KRAS</w:t>
      </w:r>
      <w:r>
        <w:rPr>
          <w:rFonts w:ascii="Arial" w:cs="Arial" w:eastAsia="Arial" w:hAnsi="Arial"/>
          <w:sz w:val="23"/>
          <w:szCs w:val="23"/>
          <w:color w:val="auto"/>
          <w:vertAlign w:val="superscript"/>
        </w:rPr>
        <w:t>G12D</w:t>
      </w:r>
      <w:r>
        <w:rPr>
          <w:rFonts w:ascii="Arial" w:cs="Arial" w:eastAsia="Arial" w:hAnsi="Arial"/>
          <w:sz w:val="16"/>
          <w:szCs w:val="16"/>
          <w:color w:val="auto"/>
        </w:rPr>
        <w:t>, KRAS</w:t>
      </w:r>
      <w:r>
        <w:rPr>
          <w:rFonts w:ascii="Arial" w:cs="Arial" w:eastAsia="Arial" w:hAnsi="Arial"/>
          <w:sz w:val="23"/>
          <w:szCs w:val="23"/>
          <w:color w:val="auto"/>
          <w:vertAlign w:val="superscript"/>
        </w:rPr>
        <w:t>G12V</w:t>
      </w:r>
      <w:r>
        <w:rPr>
          <w:rFonts w:ascii="Arial" w:cs="Arial" w:eastAsia="Arial" w:hAnsi="Arial"/>
          <w:sz w:val="16"/>
          <w:szCs w:val="16"/>
          <w:color w:val="auto"/>
        </w:rPr>
        <w:t>, KRAS</w:t>
      </w:r>
      <w:r>
        <w:rPr>
          <w:rFonts w:ascii="Arial" w:cs="Arial" w:eastAsia="Arial" w:hAnsi="Arial"/>
          <w:sz w:val="23"/>
          <w:szCs w:val="23"/>
          <w:color w:val="auto"/>
          <w:vertAlign w:val="superscript"/>
        </w:rPr>
        <w:t>G12A</w:t>
      </w:r>
      <w:r>
        <w:rPr>
          <w:rFonts w:ascii="Arial" w:cs="Arial" w:eastAsia="Arial" w:hAnsi="Arial"/>
          <w:sz w:val="16"/>
          <w:szCs w:val="16"/>
          <w:color w:val="auto"/>
        </w:rPr>
        <w:t>, KRAS</w:t>
      </w:r>
      <w:r>
        <w:rPr>
          <w:rFonts w:ascii="Arial" w:cs="Arial" w:eastAsia="Arial" w:hAnsi="Arial"/>
          <w:sz w:val="23"/>
          <w:szCs w:val="23"/>
          <w:color w:val="auto"/>
          <w:vertAlign w:val="superscript"/>
        </w:rPr>
        <w:t>G12R</w:t>
      </w:r>
      <w:r>
        <w:rPr>
          <w:rFonts w:ascii="Arial" w:cs="Arial" w:eastAsia="Arial" w:hAnsi="Arial"/>
          <w:sz w:val="16"/>
          <w:szCs w:val="16"/>
          <w:color w:val="auto"/>
        </w:rPr>
        <w:t>, BRAF</w:t>
      </w:r>
      <w:r>
        <w:rPr>
          <w:rFonts w:ascii="Arial" w:cs="Arial" w:eastAsia="Arial" w:hAnsi="Arial"/>
          <w:sz w:val="23"/>
          <w:szCs w:val="23"/>
          <w:color w:val="auto"/>
          <w:vertAlign w:val="superscript"/>
        </w:rPr>
        <w:t>V600E</w:t>
      </w:r>
      <w:r>
        <w:rPr>
          <w:rFonts w:ascii="Arial" w:cs="Arial" w:eastAsia="Arial" w:hAnsi="Arial"/>
          <w:sz w:val="16"/>
          <w:szCs w:val="16"/>
          <w:color w:val="auto"/>
        </w:rPr>
        <w:t>, and BRAF</w:t>
      </w:r>
      <w:r>
        <w:rPr>
          <w:rFonts w:ascii="Arial" w:cs="Arial" w:eastAsia="Arial" w:hAnsi="Arial"/>
          <w:sz w:val="23"/>
          <w:szCs w:val="23"/>
          <w:color w:val="auto"/>
          <w:vertAlign w:val="superscript"/>
        </w:rPr>
        <w:t>V600K</w:t>
      </w:r>
      <w:r>
        <w:rPr>
          <w:rFonts w:ascii="Arial" w:cs="Arial" w:eastAsia="Arial" w:hAnsi="Arial"/>
          <w:sz w:val="16"/>
          <w:szCs w:val="16"/>
          <w:color w:val="auto"/>
        </w:rPr>
        <w:t xml:space="preserve"> mutations) could further expand the total potential addressable</w:t>
      </w:r>
    </w:p>
    <w:p>
      <w:pPr>
        <w:ind w:left="120"/>
        <w:spacing w:after="0"/>
        <w:rPr>
          <w:sz w:val="20"/>
          <w:szCs w:val="20"/>
          <w:color w:val="auto"/>
        </w:rPr>
      </w:pPr>
      <w:r>
        <w:rPr>
          <w:rFonts w:ascii="Arial" w:cs="Arial" w:eastAsia="Arial" w:hAnsi="Arial"/>
          <w:sz w:val="18"/>
          <w:szCs w:val="18"/>
          <w:color w:val="auto"/>
        </w:rPr>
        <w:t>patient population by approximately 335,000 new patients per year in the United States, European Union, and Japan.</w:t>
      </w:r>
    </w:p>
    <w:p>
      <w:pPr>
        <w:spacing w:after="0" w:line="302" w:lineRule="exact"/>
        <w:rPr>
          <w:sz w:val="20"/>
          <w:szCs w:val="20"/>
          <w:color w:val="auto"/>
        </w:rPr>
      </w:pPr>
    </w:p>
    <w:p>
      <w:pPr>
        <w:jc w:val="center"/>
        <w:ind w:left="460" w:right="40"/>
        <w:spacing w:after="0" w:line="281" w:lineRule="auto"/>
        <w:rPr>
          <w:sz w:val="20"/>
          <w:szCs w:val="20"/>
          <w:color w:val="auto"/>
        </w:rPr>
      </w:pPr>
      <w:r>
        <w:rPr>
          <w:rFonts w:ascii="Arial" w:cs="Arial" w:eastAsia="Arial" w:hAnsi="Arial"/>
          <w:sz w:val="18"/>
          <w:szCs w:val="18"/>
          <w:b w:val="1"/>
          <w:bCs w:val="1"/>
          <w:color w:val="auto"/>
        </w:rPr>
        <w:t>Initial Indications for BBI-825 May Represent a Total Addressable Population of Nearly 20,000 New Patients in the United States, the European Union, and Japan Each Year, with Indication Expansion Possibility of 30,000 Additional New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-38100</wp:posOffset>
            </wp:positionV>
            <wp:extent cx="4603115" cy="2314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031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Third ecDTx Program</w:t>
      </w:r>
    </w:p>
    <w:p>
      <w:pPr>
        <w:spacing w:after="0" w:line="10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Our third ecDTx program is directed against a novel member of a class of druggable proteins, the kinesins. This ecDTx target has no approved drugs and, to our knowledge, no other publicly disclosed drug discovery efforts. This kinesin is involved with ecDNA segregation during cellular division and leverages the fact that ecDNA, unlike chromosomes, lack centromeres.</w:t>
      </w:r>
    </w:p>
    <w:p>
      <w:pPr>
        <w:spacing w:after="0" w:line="169" w:lineRule="exact"/>
        <w:rPr>
          <w:sz w:val="20"/>
          <w:szCs w:val="20"/>
          <w:color w:val="auto"/>
        </w:rPr>
      </w:pPr>
    </w:p>
    <w:p>
      <w:pPr>
        <w:ind w:left="120" w:right="340" w:firstLine="551"/>
        <w:spacing w:after="0" w:line="253" w:lineRule="auto"/>
        <w:rPr>
          <w:sz w:val="20"/>
          <w:szCs w:val="20"/>
          <w:color w:val="auto"/>
        </w:rPr>
      </w:pPr>
      <w:r>
        <w:rPr>
          <w:rFonts w:ascii="Arial" w:cs="Arial" w:eastAsia="Arial" w:hAnsi="Arial"/>
          <w:sz w:val="18"/>
          <w:szCs w:val="18"/>
          <w:color w:val="auto"/>
        </w:rPr>
        <w:t>The cell has evolved numerous redundant mechanisms governing the interactions of chromosomes with the mitotic spindle, the highly coordinated network of factors that separates chromosomes equally into daughter cells during cell division. The primary and essential attachment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point for chromosomes to the mitotic spindle is via the centromere, although additional non-essential factors can assist in shepherding chromosomes independently of the centromere. Whereas these centromere-independent segregation factors are non-essential to chromosome segregation, they may be required for ecDNA due to ecDNA’s lack of centromeres. Consistent with this hypothesis, when certain proteins are genetically deactivated, it results in abnormal ecDNA segregation during cell division. As shown below, this leads to aggregation and eventual loss of ecDNA that is statistically significant. This defect in the segregation process during cell division is directly correlated with significant cytotoxicity in ecDNA-enabled tumor cells while demonstrating minimal impact on cells without ecDNA, where the target is non-essential.</w:t>
      </w:r>
    </w:p>
    <w:p>
      <w:pPr>
        <w:spacing w:after="0" w:line="293" w:lineRule="exact"/>
        <w:rPr>
          <w:sz w:val="20"/>
          <w:szCs w:val="20"/>
          <w:color w:val="auto"/>
        </w:rPr>
      </w:pPr>
    </w:p>
    <w:p>
      <w:pPr>
        <w:jc w:val="center"/>
        <w:ind w:left="440" w:right="140"/>
        <w:spacing w:after="0" w:line="281" w:lineRule="auto"/>
        <w:rPr>
          <w:sz w:val="20"/>
          <w:szCs w:val="20"/>
          <w:color w:val="auto"/>
        </w:rPr>
      </w:pPr>
      <w:r>
        <w:rPr>
          <w:rFonts w:ascii="Arial" w:cs="Arial" w:eastAsia="Arial" w:hAnsi="Arial"/>
          <w:sz w:val="18"/>
          <w:szCs w:val="18"/>
          <w:b w:val="1"/>
          <w:bCs w:val="1"/>
          <w:color w:val="auto"/>
        </w:rPr>
        <w:t>Genetic Inhibition of Novel Kinesin Target Was Associated with (1) Abnormal ecDNA Segregation, (2) Depleted ecDNA Levels, and (3) Cytotoxicity in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115570</wp:posOffset>
            </wp:positionV>
            <wp:extent cx="4757420" cy="1491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5742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Through Spyglass, we identified a novel kinesin essential for ecDNA segregation during cellular division. We preclinically validated this target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by demonstrating that its inhibition was associated with statistically significant differential sensitivity and reduction of ecDNA levels in multiple ecDNA tumor cell lines compared to non-ecDNA-bearing tumor cell lines. We also preclinically validated this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demonstrating that its inhibition led to statistically significant tumor growth inhibition in an ecDNA amplified tumor model. We have generated nanomolar inhibitors against this target and are currently advancing these scaffolds through hit-to-lead generation. We are advancing our third ecDTx program through drug discovery to candidate identification and into clinical development.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Ongoing Discovery Efforts for Future Programs</w:t>
      </w:r>
    </w:p>
    <w:p>
      <w:pPr>
        <w:spacing w:after="0" w:line="104"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In addition to our three ecDTx programs described above, we continue to leverage Spyglass to identify and preclinically validate additional ecDNA-essential targets. These candidate targets span multiple, diverse ecDNA synthetic lethal nodes in oncogene amplified cancers.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Precision Medicine Approach – ecDNA Diagnostic Test</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Precision medicine aims to identify and treat patients with specific biomarkers to maximize the likelihood of therapeutic benefit while minimizing side effects. We developed an ecDNA diagnostic test, internally called ECHO, to detect ecDNA in patient tumor specimens and identify patients most likely to benefit from our ecDTx. Our ecDNA diagnostic is a proprietary software algorithm designed to detect the presence of ecDNA by analyzing genomic data in the form of raw data output format files, such as FASTQ or binary sequence alignment map (BAM) files, generated from routine clinical NGS assays that are commonly used by commercial reference and academic laboratories to profile patient tumor samples. We are working with an </w:t>
      </w:r>
      <w:r>
        <w:rPr>
          <w:rFonts w:ascii="Arial" w:cs="Arial" w:eastAsia="Arial" w:hAnsi="Arial"/>
          <w:sz w:val="18"/>
          <w:szCs w:val="18"/>
          <w:i w:val="1"/>
          <w:iCs w:val="1"/>
          <w:color w:val="auto"/>
        </w:rPr>
        <w:t>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Arial" w:cs="Arial" w:eastAsia="Arial" w:hAnsi="Arial"/>
          <w:sz w:val="17"/>
          <w:szCs w:val="17"/>
          <w:i w:val="1"/>
          <w:iCs w:val="1"/>
          <w:color w:val="auto"/>
        </w:rPr>
        <w:t xml:space="preserve">vitro </w:t>
      </w:r>
      <w:r>
        <w:rPr>
          <w:rFonts w:ascii="Arial" w:cs="Arial" w:eastAsia="Arial" w:hAnsi="Arial"/>
          <w:sz w:val="17"/>
          <w:szCs w:val="17"/>
          <w:color w:val="auto"/>
        </w:rPr>
        <w:t>diagnostic company to develop our ecDNA diagnostic into a clinical trial assay for patient selection in clinical trials of our ecDTx,</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Phase 1/2 POTENTIATE clinical trial. The FDA has determined the ecDNA diagnostic is a non-significant risk device when used in our Phase 1/2 POTENTIATE trial, meaning that we will not be required to obtain FDA approval of an IDE for the use of the ecDNA diagnostic in this trial. To our knowledge, this will be the first ecDNA diagnostic in clinical use. As data from our clinical studies mature, we intend to discuss with the FDA whether the ecDNA diagnostic will be appropriate or required to enable commercialization of our ecDTx.</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biotechnology and pharmaceutical industries are characterized by rapid evolution of technologies and understanding of disease etiology, intense development and commercial competition, and a strong emphasis on intellectual property. We believe that our approach, strategy, scientific capabilities, know -how, and experience, particularly in the fields of ecDNA and precision oncology, provide us with competitive advantages. Nonetheless, we expect substantial competition from multiple sources, including major biopharmaceutical, specialty pharmaceutical, and existing or emerging biotechnology companies, academic research institutions, governmental agencies, and public and private research institutions worldwide. Many of our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ours by studying ecDNA at scale in the context of oncogene amplified cancer. Even if they do not advance programs with the same mechanism(s)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86"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 defined cancers. In addition, we may face competition from companies developing product candidates that are based on synthetic lethality in cancer.</w:t>
      </w:r>
    </w:p>
    <w:p>
      <w:pPr>
        <w:spacing w:after="0" w:line="16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many cases, these drugs are administered in combination to enhance efficacy. While our ecDTx, if any are approved, may compete with these existing drugs and other therapies, to the extent they are ultimately used in combination with or as an adjunct to these therapies, our ecDTx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ecDTx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BBI-355, Acrivon Therapeutics, Esperas Pharma, and PharmaEngine have CHK1 inhibitors in clinical development.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BenevolentAI, Fosun Pharma, and Impact Therapeutics have publicly disclosed preclinical-stage CHK1 inhibitors.</w:t>
      </w:r>
    </w:p>
    <w:p>
      <w:pPr>
        <w:spacing w:after="0" w:line="194"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For BBI-825, there are several generic approved agents that inhibit RNR as part of their broader mechanism of action, including gemcitabine and hydroxyurea.</w:t>
      </w:r>
    </w:p>
    <w:p>
      <w:pPr>
        <w:spacing w:after="0" w:line="15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For our pipeline of ecDTx programs, potential competition includes established companies as well as emerging biotechnology companies that launch programs against ecDNA targets. However, we are not aware of any companies with ecDNA-directed therapeutic programs in clinical development and a patient selection strategy for ecDNA-enabled oncogene amplification. We are aware of one early-stage private company that is focused on research in ecDNA, Econic Biosciences.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could see a reduction or elimination in our potential commercial opportunity if our competitors develop and commercialize drugs that are safer, more effective, have fewer or less severe side effects, are more convenient to administer, are less expensive, or have more favorable commercial labeling than our ecDTx, regardless of whether they target ecDNA as a mechanism of action.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our ecDTx, if approved, are likely to be their efficacy, safety, route of administration, convenience, price, level of generic competition, and availability of reimbursement from government and other third-party payors.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strive to protect the intellectual property and proprietary technology that we consider important to our business through a variety of methods. We seek to obtain domestic and international patent protection and endeavor to promptly file patent applications for new commercially valuable inventions as they arise to expand our intellectual property portfolio. We also rely on proprietary know-how and trade secrets to protect certain innovations that may be important to our business and to benefit from their confidential status.</w:t>
      </w:r>
    </w:p>
    <w:p>
      <w:pPr>
        <w:spacing w:after="0" w:line="174"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As of January 13, 2024, our intellectual property portfolio included 25 patent families solely owned by us, which include 11 pending US provisional applications, 9 pending US non-provisional patent applications, 3 issued US patents, pending applications in Australia, Brazil, Canada, China, Eurasia, Europe, France, India, Israel, Japan, Korea, Mexico, Singapore, South Africa and Taiwan, as well as 7 pending applications filed pursuant to the Patent Cooperation Treaty (PCT).</w:t>
      </w:r>
    </w:p>
    <w:p>
      <w:pPr>
        <w:spacing w:after="0" w:line="174"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We continually assess and refine our intellectual property strategy as we discover and validate new ecDNA targets, develop new ecDTx product candidates, and make improvements to our Spyglass platform and our ecDNA diagnostic test. To that end, we are prepared to file additional patent applications as appropriate to support our intellectual property strategy, or where we seek to adapt to competition or seize business opportunities.</w:t>
      </w:r>
    </w:p>
    <w:p>
      <w:pPr>
        <w:spacing w:after="0" w:line="174"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Our CHK1 Program</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regard to our CHK1 program including our BBI-355 and BBI-098 product candidates, as of January 13, 2024, we owned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patent families (including 2 of which also cover our RNR program), including 4 pending US provisional patent applications, 4 pending</w:t>
      </w:r>
    </w:p>
    <w:p>
      <w:pPr>
        <w:ind w:left="120"/>
        <w:spacing w:after="0" w:line="234" w:lineRule="auto"/>
        <w:rPr>
          <w:sz w:val="20"/>
          <w:szCs w:val="20"/>
          <w:color w:val="auto"/>
        </w:rPr>
      </w:pPr>
      <w:r>
        <w:rPr>
          <w:rFonts w:ascii="Arial" w:cs="Arial" w:eastAsia="Arial" w:hAnsi="Arial"/>
          <w:sz w:val="18"/>
          <w:szCs w:val="18"/>
          <w:color w:val="auto"/>
        </w:rPr>
        <w:t>US non-provisional patent applications, 2 issued US patents, pending applications in Australia, Brazil, Canada, China, Eurasia, Europe,</w:t>
      </w:r>
    </w:p>
    <w:p>
      <w:pPr>
        <w:ind w:left="120"/>
        <w:spacing w:after="0" w:line="235" w:lineRule="auto"/>
        <w:rPr>
          <w:sz w:val="20"/>
          <w:szCs w:val="20"/>
          <w:color w:val="auto"/>
        </w:rPr>
      </w:pPr>
      <w:r>
        <w:rPr>
          <w:rFonts w:ascii="Arial" w:cs="Arial" w:eastAsia="Arial" w:hAnsi="Arial"/>
          <w:sz w:val="18"/>
          <w:szCs w:val="18"/>
          <w:color w:val="auto"/>
        </w:rPr>
        <w:t>India, Israel, Japan, Korea, Mexico, Singapore, South Africa and Taiwan, as well as 4 pending applications filed pursuant to the Patent</w:t>
      </w:r>
    </w:p>
    <w:p>
      <w:pPr>
        <w:ind w:left="120"/>
        <w:spacing w:after="0" w:line="235" w:lineRule="auto"/>
        <w:rPr>
          <w:sz w:val="20"/>
          <w:szCs w:val="20"/>
          <w:color w:val="auto"/>
        </w:rPr>
      </w:pPr>
      <w:r>
        <w:rPr>
          <w:rFonts w:ascii="Arial" w:cs="Arial" w:eastAsia="Arial" w:hAnsi="Arial"/>
          <w:sz w:val="18"/>
          <w:szCs w:val="18"/>
          <w:color w:val="auto"/>
        </w:rPr>
        <w:t>Cooperation Treaty (PCT). These patent rights relate to compositions of matter, as well as methods of treating diseases using CHK1</w:t>
      </w:r>
    </w:p>
    <w:p>
      <w:pPr>
        <w:ind w:left="120"/>
        <w:spacing w:after="0" w:line="235" w:lineRule="auto"/>
        <w:rPr>
          <w:sz w:val="20"/>
          <w:szCs w:val="20"/>
          <w:color w:val="auto"/>
        </w:rPr>
      </w:pPr>
      <w:r>
        <w:rPr>
          <w:rFonts w:ascii="Arial" w:cs="Arial" w:eastAsia="Arial" w:hAnsi="Arial"/>
          <w:sz w:val="18"/>
          <w:szCs w:val="18"/>
          <w:color w:val="auto"/>
        </w:rPr>
        <w:t>inhibitors. We expect these patents and patents issued from these applications, if any, to expire in 2041-2044 without accounting for any</w:t>
      </w:r>
    </w:p>
    <w:p>
      <w:pPr>
        <w:ind w:left="120"/>
        <w:spacing w:after="0"/>
        <w:rPr>
          <w:sz w:val="20"/>
          <w:szCs w:val="20"/>
          <w:color w:val="auto"/>
        </w:rPr>
      </w:pPr>
      <w:r>
        <w:rPr>
          <w:rFonts w:ascii="Arial" w:cs="Arial" w:eastAsia="Arial" w:hAnsi="Arial"/>
          <w:sz w:val="18"/>
          <w:szCs w:val="18"/>
          <w:color w:val="auto"/>
        </w:rPr>
        <w:t>patent term adjustment or extension that may be available.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Our RNR Program</w:t>
      </w:r>
    </w:p>
    <w:p>
      <w:pPr>
        <w:spacing w:after="0" w:line="10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With regard to our RNR program, as of January 13, 2024, we owned 8 families (including 2 of which also cover our CHK1 program), including 2 pending US provisional patent applications, 3 pending US non-provisional patent applications, pending applications in Australia, Brazil, Canada, China, Europe, France, Japan, Korea, Mexico, and Taiwan, as well as 3 pending applications filed pursuant to the Patent Cooperation Treaty (PCT). These patent rights relate to the compositions of matter, as well as methods of treating diseases using RNR inhibitors. We expect patents issued from these applications, if any, to expire in 2041-2044 without accounting for any patent term adjustment or extension that may be available.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Relating to Our Precision Medicine Program</w:t>
      </w:r>
    </w:p>
    <w:p>
      <w:pPr>
        <w:spacing w:after="0" w:line="10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With regard to our precision medicine program, we have developed a proprietary ecDNA diagnostic to detect ecDNA based on the data outputs from NGS tests routinely used to profile patient tumor samples. As of January 13, 2024, we owned 1 patent family related to methods of detecting ecDNA signatures in cancers that is currently pending in the US, China, Europe, and Japan. Additionally, we own 1 pending US provisional patent application related to our ecDNA diagnostic. We expect patents issued from these applications, if any, to expire in 2041-2044 without accounting for any patent term adjustment or extension that may be available. We also protect the intellectual property related to ecDNA detection as a trade secret.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Scope and Duration of Intellectual Property Protection</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The term of individual patents depends upon the laws of the countries in which they are obtained. In most countries in which we file,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oncology therapy has emerged in the US. The patent situation outside of the US is even more uncertain. Changes in the patent laws and rules, either by legislation, judicial decisions, or regulatory interpretation in the US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area of patent and other intellectual property rights in the biopharmaceutical industry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In addition, our competitors may independently develop similar technologies and the rights granted under any issued patents may not provide us with protection or competitive advantages against competitors with similar technology.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and product candidates, please see the section titled “Risk Factors—Risks Related to Our Intellectual Property.”</w:t>
      </w:r>
    </w:p>
    <w:p>
      <w:pPr>
        <w:spacing w:after="0" w:line="18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technology as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86" w:lineRule="exact"/>
        <w:rPr>
          <w:sz w:val="20"/>
          <w:szCs w:val="20"/>
          <w:color w:val="auto"/>
        </w:rPr>
      </w:pPr>
    </w:p>
    <w:p>
      <w:pPr>
        <w:ind w:left="120" w:right="480" w:firstLine="551"/>
        <w:spacing w:after="0" w:line="271" w:lineRule="auto"/>
        <w:rPr>
          <w:sz w:val="20"/>
          <w:szCs w:val="20"/>
          <w:color w:val="auto"/>
        </w:rPr>
      </w:pPr>
      <w:r>
        <w:rPr>
          <w:rFonts w:ascii="Arial" w:cs="Arial" w:eastAsia="Arial" w:hAnsi="Arial"/>
          <w:sz w:val="18"/>
          <w:szCs w:val="18"/>
          <w:color w:val="auto"/>
        </w:rPr>
        <w:t>We also seek to preserve the integrity and confidentiality of our proprietary technology and processes by maintaining physical security of our premises and physical and electronic security of our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w:t>
      </w:r>
    </w:p>
    <w:p>
      <w:pPr>
        <w:spacing w:after="0" w:line="174" w:lineRule="exact"/>
        <w:rPr>
          <w:sz w:val="20"/>
          <w:szCs w:val="20"/>
          <w:color w:val="auto"/>
        </w:rPr>
      </w:pPr>
    </w:p>
    <w:p>
      <w:pPr>
        <w:ind w:left="120" w:right="300" w:firstLine="551"/>
        <w:spacing w:after="0" w:line="242"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We currently have registrations for our “Boundless Bio” mark in the United States as well as in certain foreign jurisdictions, including the European Union. We have registrations for our “UNBOUND BY CONVENTION, BOUND TO SAVE LIVES” mark in the United States. We have also filed a trademark application in the United States for registration of our “ECHO” mark, and we have registrations for our “ECHO” mark in certain foreign jurisdictions, including the European Union. For more information, please see the section titled “Risk Factors—Risks Related to Our Intellectual Property.”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work with our current manufacturers to ensure that we will be able to scale up our manufacturing capabilities to support our clinical plans. We also plan to continue to evaluate additional manufacturers to build redundancies into our supply chain.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ecDTx.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04"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We intend to retain significant development and commercial rights to our ecDTx and, if marketing approval is obtained, to commercialize our ecDTx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ecDTx. Clinical data, the size of the addressable patient population, the size of the commercial infrastructure, and manufacturing needs may all influence or alter our commercialization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(NDA) process before it may be legally marketed in the United States.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spacing w:after="0" w:line="36" w:lineRule="exact"/>
        <w:rPr>
          <w:sz w:val="20"/>
          <w:szCs w:val="20"/>
          <w:color w:val="auto"/>
        </w:rPr>
      </w:pPr>
    </w:p>
    <w:p>
      <w:pPr>
        <w:ind w:left="1420" w:right="480" w:hanging="427"/>
        <w:spacing w:after="0" w:line="271"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GLPs and other applicable regulations;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420" w:right="80" w:hanging="427"/>
        <w:spacing w:after="0" w:line="271"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59"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regulations (GCPs) to evaluate the safety and efficacy of the product candidate for its intended use;</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420" w:right="40" w:hanging="427"/>
        <w:spacing w:after="0" w:line="253"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pacing w:after="0" w:line="74" w:lineRule="exact"/>
        <w:rPr>
          <w:rFonts w:ascii="Arial" w:cs="Arial" w:eastAsia="Arial" w:hAnsi="Arial"/>
          <w:sz w:val="18"/>
          <w:szCs w:val="18"/>
          <w:color w:val="auto"/>
        </w:rPr>
      </w:pPr>
    </w:p>
    <w:p>
      <w:pPr>
        <w:ind w:left="1420" w:hanging="427"/>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17"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w:t>
      </w:r>
    </w:p>
    <w:p>
      <w:pPr>
        <w:spacing w:after="0" w:line="18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auto"/>
        </w:rPr>
        <w:t>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trial results to public registries, including clinicaltrials.gov.</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1420" w:right="220" w:hanging="427"/>
        <w:spacing w:after="0" w:line="253"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w:t>
      </w:r>
    </w:p>
    <w:p>
      <w:pPr>
        <w:spacing w:after="0" w:line="74" w:lineRule="exact"/>
        <w:rPr>
          <w:rFonts w:ascii="Arial" w:cs="Arial" w:eastAsia="Arial" w:hAnsi="Arial"/>
          <w:sz w:val="18"/>
          <w:szCs w:val="18"/>
          <w:color w:val="auto"/>
        </w:rPr>
      </w:pPr>
    </w:p>
    <w:p>
      <w:pPr>
        <w:ind w:left="1420" w:hanging="427"/>
        <w:spacing w:after="0" w:line="253"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spacing w:after="0" w:line="74" w:lineRule="exact"/>
        <w:rPr>
          <w:rFonts w:ascii="Arial" w:cs="Arial" w:eastAsia="Arial" w:hAnsi="Arial"/>
          <w:sz w:val="18"/>
          <w:szCs w:val="18"/>
          <w:color w:val="auto"/>
        </w:rPr>
      </w:pPr>
    </w:p>
    <w:p>
      <w:pPr>
        <w:ind w:left="1420" w:right="100" w:hanging="427"/>
        <w:spacing w:after="0" w:line="24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4"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02"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18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that have been commercialized. The FDA may also place other conditions on approval including the requirement for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restricted distribution methods, patient registries and other risk minimization tools. Any of these limitations on approval or marketing could restrict the commercial promotion, distribution, prescription, or dispensing of products.</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2"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6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ind w:left="120" w:right="160" w:firstLine="551"/>
        <w:spacing w:after="0" w:line="275" w:lineRule="auto"/>
        <w:rPr>
          <w:sz w:val="20"/>
          <w:szCs w:val="20"/>
          <w:color w:val="auto"/>
        </w:rPr>
      </w:pPr>
      <w:r>
        <w:rPr>
          <w:rFonts w:ascii="Arial" w:cs="Arial" w:eastAsia="Arial" w:hAnsi="Arial"/>
          <w:sz w:val="17"/>
          <w:szCs w:val="17"/>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w:t>
      </w:r>
    </w:p>
    <w:p>
      <w:pPr>
        <w:spacing w:after="0" w:line="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5"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a product candidate may be eligible for accelerated approval.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6"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pacing w:after="0" w:line="180"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1420" w:right="440" w:hanging="427"/>
        <w:spacing w:after="0" w:line="271"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clinical holds on ongoing or planned clinical studies;</w:t>
      </w:r>
    </w:p>
    <w:p>
      <w:pPr>
        <w:spacing w:after="0" w:line="117"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approvals;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420" w:right="440" w:hanging="427"/>
        <w:spacing w:after="0" w:line="271"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3"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0"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believe that certain of our ecDTx may require an in vitro diagnostic to identify appropriate patient populations for investigation and/or use of our ecDTx.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we are developing, utilize the PMA pathway.</w:t>
      </w:r>
    </w:p>
    <w:p>
      <w:pPr>
        <w:spacing w:after="0" w:line="183" w:lineRule="exact"/>
        <w:rPr>
          <w:sz w:val="20"/>
          <w:szCs w:val="20"/>
          <w:color w:val="auto"/>
        </w:rPr>
      </w:pPr>
    </w:p>
    <w:p>
      <w:pPr>
        <w:jc w:val="both"/>
        <w:ind w:left="120" w:right="240" w:firstLine="551"/>
        <w:spacing w:after="0" w:line="247" w:lineRule="auto"/>
        <w:rPr>
          <w:sz w:val="20"/>
          <w:szCs w:val="20"/>
          <w:color w:val="auto"/>
        </w:rPr>
      </w:pPr>
      <w:r>
        <w:rPr>
          <w:rFonts w:ascii="Arial" w:cs="Arial" w:eastAsia="Arial" w:hAnsi="Arial"/>
          <w:sz w:val="18"/>
          <w:szCs w:val="18"/>
          <w:color w:val="auto"/>
        </w:rPr>
        <w:t>If use of a companion diagnostic is deemed essential to the safe and effective use of a drug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trial, if the trial meets both the requirements of applicable IDE regulations and the IND regulations. The guidance provides that, depending on the details of the trial plan and degree of risk posed to subjects, a sponsor may seek to submit an IND alone, or both an IND and an IDE.</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w:t>
      </w:r>
    </w:p>
    <w:p>
      <w:pPr>
        <w:spacing w:after="0" w:line="18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3"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Domestic facility records and manufacturing processes are subject to periodic unscheduled inspections by the FDA. The FDA also may inspect foreign facilities that export products to the United States.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Successful sales of our ecDTx in the U.S. market, if approved, will depend, in part, on the extent to which our ecDTx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6"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79"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02" w:lineRule="exact"/>
        <w:rPr>
          <w:sz w:val="20"/>
          <w:szCs w:val="20"/>
          <w:color w:val="auto"/>
        </w:rPr>
      </w:pPr>
    </w:p>
    <w:p>
      <w:pPr>
        <w:ind w:left="120" w:right="340" w:firstLine="551"/>
        <w:spacing w:after="0" w:line="253"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6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For example,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force in its current form.</w:t>
      </w:r>
    </w:p>
    <w:p>
      <w:pPr>
        <w:spacing w:after="0" w:line="18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 Moreover,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w:t>
      </w:r>
    </w:p>
    <w:p>
      <w:pPr>
        <w:spacing w:after="0" w:line="180"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76"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Existing healthcare reform measures, as well as the implementation of additional cost containment measures or other reforms, may prevent us from being able to generate revenue, attain profitability or commercialize our product candidates, if approved.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04"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As of December 31, 2023, we had 71 full-time employees, including a total of 22 employees with M.D. or Ph.D. degrees. Of these full-time employees, 54 employees are engaged in research and development and 17 are engaged in finance, legal, business development, and general management and administration.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04"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7"/>
          <w:szCs w:val="17"/>
          <w:color w:val="auto"/>
        </w:rPr>
        <w:t>Our corporate headquarters are currently located in San Diego, California, where we lease approximately 28,700 square feet of laboratory and office space. This lease commenced in the first quarter of 2022 and is expected to end upon the commencement of our new lease described below. We have entered into an agreement to lease a new corporate headquarters consisting of approximately 80,168 square feet of laboratory and office space that will be located in La Jolla, California. The lease for the new corporate headquarters is expected to commence once buildout of the facilities is complete and we may take occupancy of the new facility. We believe that our existing facilities are adequate for our current needs and that our future facilities will be suitable for our needs at that time.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December 31,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Age</w:t>
            </w:r>
          </w:p>
        </w:tc>
        <w:tc>
          <w:tcPr>
            <w:tcW w:w="4400" w:type="dxa"/>
            <w:vAlign w:val="bottom"/>
          </w:tcPr>
          <w:p>
            <w:pPr>
              <w:ind w:left="1820"/>
              <w:spacing w:after="0"/>
              <w:rPr>
                <w:sz w:val="20"/>
                <w:szCs w:val="20"/>
                <w:color w:val="auto"/>
              </w:rPr>
            </w:pPr>
            <w:r>
              <w:rPr>
                <w:rFonts w:ascii="Arial" w:cs="Arial" w:eastAsia="Arial" w:hAnsi="Arial"/>
                <w:sz w:val="14"/>
                <w:szCs w:val="14"/>
                <w:b w:val="1"/>
                <w:bCs w:val="1"/>
                <w:color w:val="auto"/>
              </w:rPr>
              <w:t>Position(s)</w:t>
            </w:r>
          </w:p>
        </w:tc>
      </w:tr>
      <w:tr>
        <w:trPr>
          <w:trHeight w:val="183"/>
        </w:trPr>
        <w:tc>
          <w:tcPr>
            <w:tcW w:w="4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1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400" w:type="dxa"/>
            <w:vAlign w:val="bottom"/>
            <w:tcBorders>
              <w:top w:val="single" w:sz="8" w:color="auto"/>
            </w:tcBorders>
            <w:shd w:val="clear" w:color="auto" w:fill="CCEEFF"/>
          </w:tcPr>
          <w:p>
            <w:pPr>
              <w:spacing w:after="0"/>
              <w:rPr>
                <w:sz w:val="15"/>
                <w:szCs w:val="15"/>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Zachary D. Hornby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 Rubin</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Klaus Wagner, M.D., Ph.D.</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Chris Hassig, Ph.D.</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52</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Scientific Officer</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Neil Abdollahian</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Chief Business Officer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Jessica Oien</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53</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Legal Officer and Corporate Secretary</w:t>
            </w:r>
          </w:p>
        </w:tc>
      </w:tr>
      <w:tr>
        <w:trPr>
          <w:trHeight w:val="203"/>
        </w:trPr>
        <w:tc>
          <w:tcPr>
            <w:tcW w:w="4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Jonathan E. Lim, M.D.</w:t>
            </w:r>
            <w:r>
              <w:rPr>
                <w:rFonts w:ascii="Arial" w:cs="Arial" w:eastAsia="Arial" w:hAnsi="Arial"/>
                <w:sz w:val="23"/>
                <w:szCs w:val="23"/>
                <w:color w:val="auto"/>
                <w:vertAlign w:val="superscript"/>
              </w:rPr>
              <w:t>(1)(2)</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Chairman and Co-Founder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Christine Brennan, Ph.D.</w:t>
            </w:r>
            <w:r>
              <w:rPr>
                <w:rFonts w:ascii="Arial" w:cs="Arial" w:eastAsia="Arial" w:hAnsi="Arial"/>
                <w:sz w:val="23"/>
                <w:szCs w:val="23"/>
                <w:color w:val="auto"/>
                <w:vertAlign w:val="superscript"/>
              </w:rPr>
              <w:t>(2)</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55</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Kristina Burow</w:t>
            </w:r>
            <w:r>
              <w:rPr>
                <w:rFonts w:ascii="Arial" w:cs="Arial" w:eastAsia="Arial" w:hAnsi="Arial"/>
                <w:sz w:val="23"/>
                <w:szCs w:val="23"/>
                <w:color w:val="auto"/>
                <w:vertAlign w:val="superscript"/>
              </w:rPr>
              <w:t>(1)</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50</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Jamie Christensen, Ph.D.</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55</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Jennifer Lew</w:t>
            </w:r>
            <w:r>
              <w:rPr>
                <w:rFonts w:ascii="Arial" w:cs="Arial" w:eastAsia="Arial" w:hAnsi="Arial"/>
                <w:sz w:val="23"/>
                <w:szCs w:val="23"/>
                <w:color w:val="auto"/>
                <w:vertAlign w:val="superscript"/>
              </w:rPr>
              <w:t>(1)(2)</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51</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Jakob Loven, Ph.D.</w:t>
            </w:r>
            <w:r>
              <w:rPr>
                <w:rFonts w:ascii="Arial" w:cs="Arial" w:eastAsia="Arial" w:hAnsi="Arial"/>
                <w:sz w:val="23"/>
                <w:szCs w:val="23"/>
                <w:color w:val="auto"/>
                <w:vertAlign w:val="superscript"/>
              </w:rPr>
              <w:t>(4)</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46</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6"/>
                <w:szCs w:val="16"/>
                <w:color w:val="auto"/>
              </w:rPr>
              <w:t>Fabio Pucci, Ph.D.</w:t>
            </w:r>
            <w:r>
              <w:rPr>
                <w:rFonts w:ascii="Arial" w:cs="Arial" w:eastAsia="Arial" w:hAnsi="Arial"/>
                <w:sz w:val="23"/>
                <w:szCs w:val="23"/>
                <w:color w:val="auto"/>
                <w:vertAlign w:val="superscript"/>
              </w:rPr>
              <w:t>(5)</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39</w:t>
            </w:r>
          </w:p>
        </w:tc>
        <w:tc>
          <w:tcPr>
            <w:tcW w:w="44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Nancy Whiting, Pharm.D.</w:t>
            </w: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50</w:t>
            </w:r>
          </w:p>
        </w:tc>
        <w:tc>
          <w:tcPr>
            <w:tcW w:w="4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 w:lineRule="exact"/>
        <w:rPr>
          <w:rFonts w:ascii="Arial" w:cs="Arial" w:eastAsia="Arial" w:hAnsi="Arial"/>
          <w:sz w:val="14"/>
          <w:szCs w:val="14"/>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Dr. Pucci will resign from our board of directors immediately prior to the effectiveness of the registration statement of which this prospectus forms a part.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i w:val="1"/>
          <w:iCs w:val="1"/>
          <w:color w:val="auto"/>
        </w:rPr>
        <w:t xml:space="preserve">Zachary D. Hornby </w:t>
      </w:r>
      <w:r>
        <w:rPr>
          <w:rFonts w:ascii="Arial" w:cs="Arial" w:eastAsia="Arial" w:hAnsi="Arial"/>
          <w:sz w:val="17"/>
          <w:szCs w:val="17"/>
          <w:color w:val="auto"/>
        </w:rPr>
        <w:t>has served as our President, Chief Executive Officer, and as a member of our board of directors since May</w:t>
      </w:r>
      <w:r>
        <w:rPr>
          <w:rFonts w:ascii="Arial" w:cs="Arial" w:eastAsia="Arial" w:hAnsi="Arial"/>
          <w:sz w:val="17"/>
          <w:szCs w:val="17"/>
          <w:i w:val="1"/>
          <w:iCs w:val="1"/>
          <w:color w:val="auto"/>
        </w:rPr>
        <w:t xml:space="preserve"> </w:t>
      </w:r>
      <w:r>
        <w:rPr>
          <w:rFonts w:ascii="Arial" w:cs="Arial" w:eastAsia="Arial" w:hAnsi="Arial"/>
          <w:sz w:val="17"/>
          <w:szCs w:val="17"/>
          <w:color w:val="auto"/>
        </w:rPr>
        <w:t>2019. Previously, Mr. Hornby served in several executive positions at Ignyta, Inc., a publicly traded precision oncology company, including as its Chief Operating Officer from June 2014 to July 2018 and prior to that as its Chief Financial Officer from July 2013 to May 2014 and Vice President of Corporate Development from August 2012 to July 2013. In these roles, Mr. Hornby led the operational team responsible for the development of entrectinib and the efforts ultimately leading to the acquisition by Roche in February 2018. Prior to Ignyta,</w:t>
      </w:r>
    </w:p>
    <w:p>
      <w:pPr>
        <w:ind w:left="120" w:right="20"/>
        <w:spacing w:after="0" w:line="234" w:lineRule="auto"/>
        <w:rPr>
          <w:sz w:val="20"/>
          <w:szCs w:val="20"/>
          <w:color w:val="auto"/>
        </w:rPr>
      </w:pPr>
      <w:r>
        <w:rPr>
          <w:rFonts w:ascii="Arial" w:cs="Arial" w:eastAsia="Arial" w:hAnsi="Arial"/>
          <w:sz w:val="18"/>
          <w:szCs w:val="18"/>
          <w:color w:val="auto"/>
        </w:rPr>
        <w:t>Mr. Hornby served as Senior Director of Business Development at Fate Therapeutics, a cellular immunotherapy company focused on oncology and immunology, and various business and corporate development roles at Halozyme Therapeutics, Inc.. Mr. Hornby held earlier roles in new product planning, marketing, and strategy at Neurocrine Biosciences and L.E.K. Consulting. In addition, Mr. Hornby serves as a member of the board of directors for Novome Biotechnologies, Inc., Aardvark Therapeutics, Inc., and Radionetics Oncology, Inc. Mr. Hornby received a B.S in Biology and a M.S. in Biology from Stanford University and an MBA from Harvard Business School.</w:t>
      </w:r>
    </w:p>
    <w:p>
      <w:pPr>
        <w:spacing w:after="0" w:line="3"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Mr. Hornby’s knowledge of our business, his background in corporate strategy and finance, and his extensive executive experience at multiple biopharmaceutical companies contributed to our board of directors’ conclusion that he should serve as a director of our company.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 xml:space="preserve">Jami Rubin </w:t>
      </w:r>
      <w:r>
        <w:rPr>
          <w:rFonts w:ascii="Arial" w:cs="Arial" w:eastAsia="Arial" w:hAnsi="Arial"/>
          <w:sz w:val="18"/>
          <w:szCs w:val="18"/>
          <w:color w:val="auto"/>
        </w:rPr>
        <w:t>has served as our Chief Financial Officer since July 2023. Previously, Ms. Rubin was a venture partner in ARCH</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a venture capital firm, from May to July 2023, and continues to serve in such role on a part-time basis. Prior to that, Ms. Rubin served as Chief Financial Officer of EQRx, Inc., a publicly traded biotechnology company, from April 2021 to March 2023. From May 2019 to April 2021, Ms. Rubin served as a partner at PJT Partners, a global advisory-focused investment bank. Prior to that,</w:t>
      </w:r>
    </w:p>
    <w:p>
      <w:pPr>
        <w:ind w:left="120" w:right="100"/>
        <w:spacing w:after="0"/>
        <w:rPr>
          <w:sz w:val="20"/>
          <w:szCs w:val="20"/>
          <w:color w:val="auto"/>
        </w:rPr>
      </w:pPr>
      <w:r>
        <w:rPr>
          <w:rFonts w:ascii="Arial" w:cs="Arial" w:eastAsia="Arial" w:hAnsi="Arial"/>
          <w:sz w:val="18"/>
          <w:szCs w:val="18"/>
          <w:color w:val="auto"/>
        </w:rPr>
        <w:t>Ms. Rubin spent more than 25 years as an equity analyst following the pharmaceutical industry. Most recently, Ms. Rubin was an equity research analyst and then partner at Goldman Sachs &amp; Co. LLC managing the global healthcare research team from September 2008 to October 2018. In addition, Ms. Rubin currently serves as a member of the board of directors of Relay Therapeutics, Inc., a publicly traded precision medicine company. Ms. Rubin received a B.A. from Vassar College.</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 xml:space="preserve">Klaus Wagner, M.D., Ph.D. </w:t>
      </w:r>
      <w:r>
        <w:rPr>
          <w:rFonts w:ascii="Arial" w:cs="Arial" w:eastAsia="Arial" w:hAnsi="Arial"/>
          <w:sz w:val="18"/>
          <w:szCs w:val="18"/>
          <w:color w:val="auto"/>
        </w:rPr>
        <w:t>has served as our Chief Medical Officer since February 2022. Prior to joining Boundless, Dr. Wagner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Medical Officer and Executive Vice President of Inhibrx, Inc., a biopharmaceutical company, where he led the development of multiple oncology candidates from pre-IND to late-stage clinical trials from August 2015 to February 2022. Prior to Inhibrx, Dr. Wagner served as a Medical Oncologist at the Banner MD Anderson Cancer Center and as Adjunct Assistant Professor in the Department of Thoracic, Head &amp; Neck Medical Oncology at MD Anderson Cancer Center from November 2012 to August 2015. During that time, Dr. Wagner led multiple targeted therapy and cancer immunotherapy trials in non-small cell lung cancer as a Principal Investigator. From October 2003 to 2006, and from September 2011 to 2012, Dr. Wagner was at Genentech, Inc., where he served in various roles including Scientist and Diagnostic Development Team Leader, and Assistant Medical Director; and from November 2000 to 2003, Dr. Wagner was a Post-doctoral Associate at the Genomics Institute of the Novartis Research Foundation. Dr. Wagner sees patients as a Medical Oncologist on a volunteer basis up to five hours per week in the General Medical Oncology Clinic at the VA Medical Center in San Diego. Dr. Wagner was Board-certified in Medical Oncology and Internal Medicine and completed his internal medicine training at the Indiana University School of Medicine and medical oncology training at MD Anderson Cancer Center. Dr. Wagner received an M.D. and a Ph.D. from Friedrich-Alexander University School of Medicine.</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 xml:space="preserve">Christian “Chris” Hassig, Ph.D. </w:t>
      </w:r>
      <w:r>
        <w:rPr>
          <w:rFonts w:ascii="Arial" w:cs="Arial" w:eastAsia="Arial" w:hAnsi="Arial"/>
          <w:sz w:val="18"/>
          <w:szCs w:val="18"/>
          <w:color w:val="auto"/>
        </w:rPr>
        <w:t>has served as our Chief Scientific Officer since November 2019. Before Boundless, Dr. Hassig was</w:t>
      </w:r>
      <w:r>
        <w:rPr>
          <w:rFonts w:ascii="Arial" w:cs="Arial" w:eastAsia="Arial" w:hAnsi="Arial"/>
          <w:sz w:val="18"/>
          <w:szCs w:val="18"/>
          <w:i w:val="1"/>
          <w:iCs w:val="1"/>
          <w:color w:val="auto"/>
        </w:rPr>
        <w:t xml:space="preserve"> </w:t>
      </w:r>
      <w:r>
        <w:rPr>
          <w:rFonts w:ascii="Arial" w:cs="Arial" w:eastAsia="Arial" w:hAnsi="Arial"/>
          <w:sz w:val="18"/>
          <w:szCs w:val="18"/>
          <w:color w:val="auto"/>
        </w:rPr>
        <w:t>with Sierra Oncology, Inc., a precision oncology company where he served in various leadership roles including Chief Scientific Officer and Senior Vice President of Research, from June 2016 to November 2019. Prior to Sierra, Dr. Hassig served as Vice President of Drug Discovery at the Sanford Burnham Prebys Medical Discovery Institute where he led the discovery and development of novel small molecule therapeutics against innovative targets. Dr. Hassig also held several positions within the Biology and Lead Discovery departments at Kalypsys, Inc., a private biopharmaceutical company specializing in small molecule drug discovery and development.</w:t>
      </w:r>
    </w:p>
    <w:p>
      <w:pPr>
        <w:spacing w:after="0" w:line="1"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color w:val="auto"/>
        </w:rPr>
        <w:t>Dr. Hassig received a B.A. in Chemistry and Biochemistry from the University of California, San Diego, a Ph.D. in Molecular and Cellular Biology from Harvard University, and also completed a Postdoctoral Fellowship at the University of California, Berkeley.</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Neil Abdollahian </w:t>
      </w:r>
      <w:r>
        <w:rPr>
          <w:rFonts w:ascii="Arial" w:cs="Arial" w:eastAsia="Arial" w:hAnsi="Arial"/>
          <w:sz w:val="18"/>
          <w:szCs w:val="18"/>
          <w:color w:val="auto"/>
        </w:rPr>
        <w:t>has served as our Chief Business Officer since August 2021. Prior to Boundless, Mr. Abdollahian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Officer of Cidara Therapeutics, Inc., a biopharmaceutical company, from July 2016 to August 2021. Prior to Cidara,</w:t>
      </w:r>
    </w:p>
    <w:p>
      <w:pPr>
        <w:ind w:left="120" w:right="280"/>
        <w:spacing w:after="0" w:line="239" w:lineRule="auto"/>
        <w:rPr>
          <w:sz w:val="20"/>
          <w:szCs w:val="20"/>
          <w:color w:val="auto"/>
        </w:rPr>
      </w:pPr>
      <w:r>
        <w:rPr>
          <w:rFonts w:ascii="Arial" w:cs="Arial" w:eastAsia="Arial" w:hAnsi="Arial"/>
          <w:sz w:val="18"/>
          <w:szCs w:val="18"/>
          <w:color w:val="auto"/>
        </w:rPr>
        <w:t>Mr. Abdollahian was Managing Director of Clarity Point Partners, LLC, a strategic advisory firm focused on corporate development initiatives including biopharmaceutical product acquisitions and licensing. Previously, Mr. Abdollahian served in various leadership roles including Vice President of Business Development at Trius Therapeutics, Inc., where he led the efforts resulting in the acquisition by Cubist Pharmaceuticals. Mr. Abdollahian also served earlier in various business and corporate development roles at Emerging Growth Capital Pty,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Avanir Pharmaceuticals, and Isis Pharmaceuticals. Mr. Abdollahian received a B.S in Biology from the George Washington University, a M.S. in Biomedical Sciences from University of New Mexico Medical School, and an MBA from Pepperdine University.</w:t>
      </w:r>
    </w:p>
    <w:p>
      <w:pPr>
        <w:spacing w:after="0" w:line="15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7"/>
          <w:szCs w:val="17"/>
          <w:i w:val="1"/>
          <w:iCs w:val="1"/>
          <w:color w:val="auto"/>
        </w:rPr>
        <w:t xml:space="preserve">Jessica Oien </w:t>
      </w:r>
      <w:r>
        <w:rPr>
          <w:rFonts w:ascii="Arial" w:cs="Arial" w:eastAsia="Arial" w:hAnsi="Arial"/>
          <w:sz w:val="17"/>
          <w:szCs w:val="17"/>
          <w:color w:val="auto"/>
        </w:rPr>
        <w:t>has served as our Chief Legal Officer and Corporate Secretary since January 2024 and as our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Secretary from August 2021 through December 2023. Prior to joining Boundless, Ms. Oien served as General Counsel and Corporate Secretary at Cidara Therapeutics, Inc. from September 2018 to August 2021. Before Cidara, Ms. Oien served as Vice President, Legal and Compliance at Otonomy, Inc., a publicly traded biopharmaceutical company, where she was the legal lead for the commercial business from 2015 to 2018 and spearheaded the commercial compliance program. She served in similar roles as Vice President, Legal and Compliance for Pernix Therapeutics; Vice President, Legal Affairs &amp; Compliance for Somaxon Pharmaceuticals; and Senior Director, Legal Affairs for Verus Pharmaceuticals, and Senior Director, Legal Affairs at Elan Pharmaceuticals. Ms. Oien began her legal career as corporate counsel at national law firms including Brobeck, Phleger &amp; Harrison LLP and Milbank, Tweed, Hadley &amp; McCloy LLP. Ms. Oien received a B.A. in Economics and Political Science from North Dakota State University and a J.D. from Loyola Law School.</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 xml:space="preserve">Jonathan E. Lim, M.D. </w:t>
      </w:r>
      <w:r>
        <w:rPr>
          <w:rFonts w:ascii="Arial" w:cs="Arial" w:eastAsia="Arial" w:hAnsi="Arial"/>
          <w:sz w:val="18"/>
          <w:szCs w:val="18"/>
          <w:color w:val="auto"/>
        </w:rPr>
        <w:t>co-founded Boundless and has served as our Chairman since December 2018. Dr. Lim also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Erasca, Inc., a publicly traded precision oncology company, in July 2018, joined as Executive Chairman in October 2018, and has served as Chairman and Chief Executive Officer since March 2019. Dr. Lim has also served as a Venture Partner at ARCH Venture Partners since December 2018 and as Managing Partner at City Hill, LLC since founding it in 2010. Prior to co-founding each of Boundless and Erasca in 2018, Dr. Lim co-founded and served as Chairman of Ignyta, Inc., a publicly traded precision oncology company, and led it from 2012 as Chairman, Chief Executive Officer, and President through its acquisition by Roche in February 2018 and subsequent integration into Roche and Genentech in July 2018. During his tenure at Ignyta, Dr. Lim co-founded Bonti, Inc., a privately held pain management and anesthetics company, and served as its Chairman from February 2016 until its acquisition by Allergan plc in October 2018. Prior to joining Ignyta, Dr. Lim served as Chairman and Chief Executive Officer of Eclipse Therapeutics, Inc., a privately held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publicly traded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Hospital-Cornell and Memorial Sloan Kettering Cancer Center. Dr. Lim has also served as a member of the board of directors of Maze Therapeutics, Inc., a private company advancing precision medicines for both rare and common diseases, since October 2019.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and his extensive experience as an executive officer and director of multiple public and private biotechnology companies contributed to our board of directors’ conclusion that he should serve as a director of our company.</w:t>
      </w:r>
    </w:p>
    <w:p>
      <w:pPr>
        <w:spacing w:after="0" w:line="19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i w:val="1"/>
          <w:iCs w:val="1"/>
          <w:color w:val="auto"/>
        </w:rPr>
        <w:t xml:space="preserve">Christine Brennan, Ph.D. </w:t>
      </w:r>
      <w:r>
        <w:rPr>
          <w:rFonts w:ascii="Arial" w:cs="Arial" w:eastAsia="Arial" w:hAnsi="Arial"/>
          <w:sz w:val="18"/>
          <w:szCs w:val="18"/>
          <w:color w:val="auto"/>
        </w:rPr>
        <w:t>has served as a member of our board of directors since February 2022. Dr. Brennan is a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at Vertex Ventures HC since 2022 and previously Partner at MRL Ventures Fund from 2017 to 2021 and Principal at the Novartis Venture Fund from 2013 to 2017.</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7"/>
          <w:szCs w:val="17"/>
          <w:color w:val="auto"/>
        </w:rPr>
        <w:t>During her career as a venture capital investor, Dr. Brennan has served on the board of directors of biotechnology companies, including Alector, Inc., Entrada Therapeutics, Inc., and Altimmune, Inc. (while the companies were privately held). Prior to the Novartis Venture Fund, Dr. Brennan was Chief Business Officer at Vitae Pharmaceuticals, from 2010 to 2013, and subsequently acquired by Allergan in December 2016. Dr. Brennan received a B.S. in Biochemistry from the University of New Hampshire and a Ph.D. in Neuroscience from Dartmouth Medical School and conducted a postdoctoral fellowship in developmental neurobiology at the National Institutes of Health. Dr. Brennan’s extensive investment experience in the biopharmaceutical industry, as well as her experience on numerous public and private company boards of directors, contributed to our board of directors’ conclusion that she should serve as a director of our company.</w:t>
      </w:r>
    </w:p>
    <w:p>
      <w:pPr>
        <w:spacing w:after="0" w:line="1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 xml:space="preserve">Kristina Burow </w:t>
      </w:r>
      <w:r>
        <w:rPr>
          <w:rFonts w:ascii="Arial" w:cs="Arial" w:eastAsia="Arial" w:hAnsi="Arial"/>
          <w:sz w:val="18"/>
          <w:szCs w:val="18"/>
          <w:color w:val="auto"/>
        </w:rPr>
        <w:t>has served as a member of our board of directors since June 2019. Ms. Burow has served as a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ARCH Venture Partners, a venture capital firm, since November 2011 and previously held positions of increasing responsibility at ARCH from August 2002 to November 2011. Ms. Burow currently serves on the board of directors of several biopharmaceutical and biotechnology companies, including: Beam Therapeutics Inc., a publicly traded biotechnology company; Scholar Rock Holding Corporation, a publicly traded biopharmaceutical company; Autobahn Therapeutics, Inc., a privately held biopharmaceutical company; ROME Therapeutics, Inc., a privately held biopharmaceutical company; Asteroid Therapeutics, Inc., a privately held biopharmaceutical company; Metsera Therapeutics, Inc., a privately held biopharmaceutical company; Treeline Therapeutics Inc., a privately held biopharmaceutical company; and Pretzel Therapeutics, Inc., a privately held biopharmaceutical company. Ms. Burow is a co-founder and director of Neumora Therapeutics, Inc., a publicly traded biopharmaceutical company and Orbital Therapeutics Inc., a privately held biotechnology company. Ms. Burow previously was a co-founder and member of the board of directors of Receptos Inc., a publicly traded pharmaceutical company, until its acquisition by Celgene Corporation, a global biopharmaceutical company, and of Sapphire Energy, Inc., an energy company. Ms. Burow previously served as a member of the board of directors of Boragen, Inc., a privately held biotechnology company; Gossamer Bio, Inc., a publicly traded biopharmaceutical company; Unity Biotechnology, Inc., a publicly traded biopharmaceutical company; AgBiome Inc., a privately held biotechnology company; Metacrine, Inc., a publicly traded pharmaceutical company; Vir Biotechnology Inc., a publicly traded biotechnology company; BlackThorn Therapeutics, Inc., a privately held biopharmaceutical company; Sienna Biopharmaceuticals, Inc.; a publicly traded biopharmaceutical company; and Epirium Bio, a privately held pharmaceutical company. Ms. Burow has participated in a number of other ARCH portfolio companies including: Erasca, Inc.; Dewpoint Therapeutics, Inc.; Aledade, Inc.; Kythera Biopharmaceuticals, Inc.; Mindstrong Inc.; Kura Oncology, Inc.; and Ikaria, Inc., acquired by Madison Dearborn Partners, a private equity firm. Prior to joining ARCH, Ms. Burow served as an associate with the Novartis BioVenture Fund and was an early employee at the Genomics Institute of the Novartis Research Foundation. Ms. Burow received a B.S. in Chemistry from the University of California, Berkeley, an M.A. in Chemistry from Columbia University, and an M.B.A. from the University of Chicago. Ms. Burow’s extensive experience serving on the board of directors of clinical-stage biotechnology companies and her investment experience in the life sciences industry contributed to our board of directors’ conclusion that she should serve as a director of our company.</w:t>
      </w:r>
    </w:p>
    <w:p>
      <w:pPr>
        <w:spacing w:after="0" w:line="191" w:lineRule="exact"/>
        <w:rPr>
          <w:sz w:val="20"/>
          <w:szCs w:val="20"/>
          <w:color w:val="auto"/>
        </w:rPr>
      </w:pPr>
    </w:p>
    <w:p>
      <w:pPr>
        <w:ind w:left="120" w:right="60" w:firstLine="551"/>
        <w:spacing w:after="0" w:line="225" w:lineRule="auto"/>
        <w:rPr>
          <w:sz w:val="20"/>
          <w:szCs w:val="20"/>
          <w:color w:val="auto"/>
        </w:rPr>
      </w:pPr>
      <w:r>
        <w:rPr>
          <w:rFonts w:ascii="Arial" w:cs="Arial" w:eastAsia="Arial" w:hAnsi="Arial"/>
          <w:sz w:val="18"/>
          <w:szCs w:val="18"/>
          <w:i w:val="1"/>
          <w:iCs w:val="1"/>
          <w:color w:val="auto"/>
        </w:rPr>
        <w:t xml:space="preserve">James “Jamie” Christensen, Ph.D. </w:t>
      </w:r>
      <w:r>
        <w:rPr>
          <w:rFonts w:ascii="Arial" w:cs="Arial" w:eastAsia="Arial" w:hAnsi="Arial"/>
          <w:sz w:val="18"/>
          <w:szCs w:val="18"/>
          <w:color w:val="auto"/>
        </w:rPr>
        <w:t>has served as a member of our board of directors since October 2023. Dr. Christensen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the Chief Scientific Officer of Mirati Therapeutics, a publicly traded precision oncology company, since January 2014 and is responsible for its drug discovery, translational research, drug manufacturing, and companion diagnostics research. Dr. Christensen leads activities related to the discovery and advancement of the company’s clinical and preclinical programs, including Mirati’s first approved product, Krazati</w:t>
      </w:r>
      <w:r>
        <w:rPr>
          <w:rFonts w:ascii="Arial" w:cs="Arial" w:eastAsia="Arial" w:hAnsi="Arial"/>
          <w:sz w:val="26"/>
          <w:szCs w:val="26"/>
          <w:color w:val="auto"/>
          <w:vertAlign w:val="superscript"/>
        </w:rPr>
        <w:t>®</w:t>
      </w:r>
      <w:r>
        <w:rPr>
          <w:rFonts w:ascii="Arial" w:cs="Arial" w:eastAsia="Arial" w:hAnsi="Arial"/>
          <w:sz w:val="18"/>
          <w:szCs w:val="18"/>
          <w:color w:val="auto"/>
        </w:rPr>
        <w:t>(adagrasib). At Mirati, Dr. Christensen previously served as Senior Vice President from January 2014 through December 2018, and Vice President, Research from June 2013 through January 2014. Prior to Mirati, Dr. Christensen was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28" w:lineRule="auto"/>
        <w:rPr>
          <w:sz w:val="20"/>
          <w:szCs w:val="20"/>
          <w:color w:val="auto"/>
        </w:rPr>
      </w:pPr>
      <w:r>
        <w:rPr>
          <w:rFonts w:ascii="Arial" w:cs="Arial" w:eastAsia="Arial" w:hAnsi="Arial"/>
          <w:sz w:val="18"/>
          <w:szCs w:val="18"/>
          <w:color w:val="auto"/>
        </w:rPr>
        <w:t>Head of Oncology Precision Medicine and a member of the executive leadership team in the Oncology Research Unit at Pfizer. He joined Pfizer in 2003, where his responsibilities included leading oncology nonclinical research and translational sciences for programs including Sutent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(sunitinib malate) and Xalkori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(crizotinib). Prior to Pfizer, Dr. Christensen held positions at Sugen Inc. (acquired by Pharmacia), as a group leader in preclinical research and exploratory development. He began his career in the pharmaceutical industry at Warner Lambert/Parke-Davis. Dr. Christensen has authored or co-authored numerous peer-reviewed research articles in scientific journals including Science, Nature, Cancer Cell, Cancer Discovery, New England Journal of Medicine, and many others. He received his Ph.D. and M.S. in Pharmacology and Toxicology at North Carolina State University and his B.S. in Biology from Northern Illinois University. Dr. Christensen’s extensive executive and research experience in the biopharmaceutical industry, contributed to our board of directors’ conclusion that he should serve as a director of our company.</w:t>
      </w:r>
    </w:p>
    <w:p>
      <w:pPr>
        <w:spacing w:after="0" w:line="181"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i w:val="1"/>
          <w:iCs w:val="1"/>
          <w:color w:val="auto"/>
        </w:rPr>
        <w:t xml:space="preserve">Jennifer Lew </w:t>
      </w:r>
      <w:r>
        <w:rPr>
          <w:rFonts w:ascii="Arial" w:cs="Arial" w:eastAsia="Arial" w:hAnsi="Arial"/>
          <w:sz w:val="17"/>
          <w:szCs w:val="17"/>
          <w:color w:val="auto"/>
        </w:rPr>
        <w:t>has served as a member of our board of directors since January 2022. Ms. Lew has been the EVP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Annexon Inc., a publicly traded biotechnology company, since June 2019. Prior to Annexon, she served as Chief Financial Officer and previously Senior Vice President, Finance for Aduro Biotech, which merged with Chinook Therapeutics, Inc. (a Novartis company), from 2013 to May 2019. Prior to Aduro, Ms. Lew held various finance roles at Dynavax Technologies Corp., a publicly traded biotechnology company, from 2004 to 2013, and QRS Corporation, a publicly held technology company, from 2000 to 2004.</w:t>
      </w:r>
    </w:p>
    <w:p>
      <w:pPr>
        <w:ind w:left="120" w:right="280"/>
        <w:spacing w:after="0"/>
        <w:rPr>
          <w:sz w:val="20"/>
          <w:szCs w:val="20"/>
          <w:color w:val="auto"/>
        </w:rPr>
      </w:pPr>
      <w:r>
        <w:rPr>
          <w:rFonts w:ascii="Arial" w:cs="Arial" w:eastAsia="Arial" w:hAnsi="Arial"/>
          <w:sz w:val="18"/>
          <w:szCs w:val="18"/>
          <w:color w:val="auto"/>
        </w:rPr>
        <w:t>Ms. Lew began her career in the audit practice at Ernst &amp; Young from 1994 to 1999. Ms. Lew received a B.A. in Economics/Accounting and Government from Claremont McKenna College and is a Certified Public Accountant (inactive status). Ms. Lew’s background in leadership, finance, and accounting at privately held and publicly traded biotechnology companies contributed to our board of directors’ conclusion that she should serve as a director of our company.</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i w:val="1"/>
          <w:iCs w:val="1"/>
          <w:color w:val="auto"/>
        </w:rPr>
        <w:t>Jakob Loven, Ph.D</w:t>
      </w:r>
      <w:r>
        <w:rPr>
          <w:rFonts w:ascii="Arial" w:cs="Arial" w:eastAsia="Arial" w:hAnsi="Arial"/>
          <w:sz w:val="18"/>
          <w:szCs w:val="18"/>
          <w:color w:val="auto"/>
        </w:rPr>
        <w:t>. has served as a member of our board of directors since April 2021. Dr. Loven joined Nextech Invest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currently a Managing Partner focused on precision oncology investments. Previously, Dr. Loven participated in the creation of Relay Therapeutics, Inc. and Syros Pharmaceuticals, Inc. and currently serves on the board of directors of A2 Biotherapeutics, Inc., Arrakis Therapeutics, IconOVir Bio, Hexagon Bio, and Flare Therapeutics Inc and serves as a board observer for IDRx. In the past, Dr. Loven has served on the board of directors for Vividion Therapeutics (acquired by Bayer) and Turning Point Therapeutics (acquired by Bristol Myers Squibb) as well as a number of public companies, including Kronos Bio, Inc., Arvinas Inc, Kinnate Biopharma Inc., and Autolus Therapeutics PLC. Dr. Loven received a B.A. in Biomedical Sciences from the Anglia Ruskin University of Cambridge and received a Ph.D. in Medical Sciences focused on oncology from Karolinska Institute and conducted his post-doctoral fellowship at the Whitehead Institute for Biomedical Research (WIBR) and Massachusetts Institute of Technology (MIT). Dr. Loven’s background as a director and venture capital investor in precision oncology companies, as well as his extensive experience with biotechnology platform companies, contributed to our board of directors’ conclusion that she should serve as a director of our company.</w:t>
      </w:r>
    </w:p>
    <w:p>
      <w:pPr>
        <w:spacing w:after="0" w:line="186"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i w:val="1"/>
          <w:iCs w:val="1"/>
          <w:color w:val="auto"/>
        </w:rPr>
        <w:t xml:space="preserve">Fabio Pucci, Ph.D. </w:t>
      </w:r>
      <w:r>
        <w:rPr>
          <w:rFonts w:ascii="Arial" w:cs="Arial" w:eastAsia="Arial" w:hAnsi="Arial"/>
          <w:sz w:val="17"/>
          <w:szCs w:val="17"/>
          <w:color w:val="auto"/>
        </w:rPr>
        <w:t>has served as a member of our board of directors since April 2023. Dr. Pucci is currently the Senior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Investments at Leaps by Bayer since October 2021. Dr. Pucci has also served as a board member for Lyterian Therapeutics since February 2023, Mozart Therapeutics, Inc. since November 2022, Indapta Therapeutics since January 2022, and Immunitas Therapeutics since December 2021, all of which are privately held life sciences companies. Dr. Pucci has also served as a board observer for Capstan Therapeutics since July 2022, and at Kojin Therapeutics since December 2021, and until June 2023, at Azitra Inc. Previously, Dr. Pucci worked as an Associate/Senior Associate at RA Capital Management, LLC, a multi-stage investment manager specializing in life sciences, from October 2019 to September 2021, for which he also served as board observer at Hemab Therapeutics, until September 2021. Before his tenure at RA Capital Management, Dr. Pucci was an MBA Venture Capital Consultant for F-Prime Capital, an investment group</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specializing in healthcare and technology, from October 2018 to April 2019. Dr. Pucci has earned his Ph.D. in Cellular Biology from the University of Edinburgh and an MBA from the London Business School and conducted his postdoctoral fellowship at the Francis Crick Institute. Dr. Pucci’s experience as a director of numerous biopharmaceutical companies, as well as his experience in the venture capital industry, contributed to our board of directors’ conclusion that he should serve as a director of our company.</w:t>
      </w:r>
    </w:p>
    <w:p>
      <w:pPr>
        <w:spacing w:after="0" w:line="174" w:lineRule="exact"/>
        <w:rPr>
          <w:sz w:val="20"/>
          <w:szCs w:val="20"/>
          <w:color w:val="auto"/>
        </w:rPr>
      </w:pPr>
    </w:p>
    <w:p>
      <w:pPr>
        <w:ind w:left="120" w:right="140" w:firstLine="551"/>
        <w:spacing w:after="0" w:line="230" w:lineRule="auto"/>
        <w:rPr>
          <w:sz w:val="20"/>
          <w:szCs w:val="20"/>
          <w:color w:val="auto"/>
        </w:rPr>
      </w:pPr>
      <w:r>
        <w:rPr>
          <w:rFonts w:ascii="Arial" w:cs="Arial" w:eastAsia="Arial" w:hAnsi="Arial"/>
          <w:sz w:val="18"/>
          <w:szCs w:val="18"/>
          <w:i w:val="1"/>
          <w:iCs w:val="1"/>
          <w:color w:val="auto"/>
        </w:rPr>
        <w:t xml:space="preserve">Nancy Whiting, Pharm.D. </w:t>
      </w:r>
      <w:r>
        <w:rPr>
          <w:rFonts w:ascii="Arial" w:cs="Arial" w:eastAsia="Arial" w:hAnsi="Arial"/>
          <w:sz w:val="18"/>
          <w:szCs w:val="18"/>
          <w:color w:val="auto"/>
        </w:rPr>
        <w:t>has served as a member of our board of directors since October 2023. Since September 2021, Dr.</w:t>
      </w:r>
      <w:r>
        <w:rPr>
          <w:rFonts w:ascii="Arial" w:cs="Arial" w:eastAsia="Arial" w:hAnsi="Arial"/>
          <w:sz w:val="18"/>
          <w:szCs w:val="18"/>
          <w:i w:val="1"/>
          <w:iCs w:val="1"/>
          <w:color w:val="auto"/>
        </w:rPr>
        <w:t xml:space="preserve"> </w:t>
      </w:r>
      <w:r>
        <w:rPr>
          <w:rFonts w:ascii="Arial" w:cs="Arial" w:eastAsia="Arial" w:hAnsi="Arial"/>
          <w:sz w:val="18"/>
          <w:szCs w:val="18"/>
          <w:color w:val="auto"/>
        </w:rPr>
        <w:t>Whiting has been the Chief Executive Officer and a member of the board of directors of Recludix Pharma, a privately held company developing novel treatments for inflammatory disease and cancer. Prior to Recludix, Dr. Whiting held various positions at Seagen Inc. (formerly Seattle Genetics, Inc.) for approximately 15 years (from March 2007 to September 2021), where she served most recently as Executive Vice President of Corporate Strategy, Alliances, and Communication. Prior to this role at Seagen, Dr. Whiting served as Executive Vice President of Late Stage Development, Senior Vice President of Clinical Development and Medical Affairs, and Head of Experimental Medicine. During her tenure at Seagen, Dr. Whiting played a central role in the development and regulatory approvals of cancer medicines Adcetris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(brentuximab vedotin), Padcev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(enfortumab vedotin-ejfv), Tukysa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(tucatinib) and Tivdak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(tisotumab vedotin). Prior to her career in the pharmaceutical industry, Dr. Whiting practiced as a clinical oncology pharmacist at the Seattle Cancer Care Alliance. Dr. Whiting has served as a member of the board of directors of Caribou Biosciences, a publicly traded biopharmaceutical company, since August 2021. She received her Pharm.D. from the University of Washington and her B.Sc. in Pharmaceutical Sciences from the University of British Columbia. Dr. Whiting’s extensive experience in all phases of drug development, contributed to our board of directors’ conclusion that she should serve as a director of our company.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10"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Our board of directors currently consists of nine members. Our board of directors has determined that all of our directors other than Mr. Hornby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whose terms then expire will be eligible for reelection until the third annual meeting following reelection. Effective upon the closing of this offering, our directors will be divided among the three classes as follows:</w:t>
      </w:r>
    </w:p>
    <w:p>
      <w:pPr>
        <w:spacing w:after="0" w:line="55"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6960" w:type="dxa"/>
            <w:vAlign w:val="bottom"/>
          </w:tcPr>
          <w:p>
            <w:pPr>
              <w:jc w:val="right"/>
              <w:spacing w:after="0"/>
              <w:rPr>
                <w:sz w:val="20"/>
                <w:szCs w:val="20"/>
                <w:color w:val="auto"/>
              </w:rPr>
            </w:pPr>
            <w:r>
              <w:rPr>
                <w:rFonts w:ascii="Arial" w:cs="Arial" w:eastAsia="Arial" w:hAnsi="Arial"/>
                <w:sz w:val="18"/>
                <w:szCs w:val="18"/>
                <w:color w:val="auto"/>
              </w:rPr>
              <w:t>, and their terms will expire at our first annual meeting of stockholders following this</w:t>
            </w:r>
          </w:p>
        </w:tc>
      </w:tr>
      <w:tr>
        <w:trPr>
          <w:trHeight w:val="239"/>
        </w:trPr>
        <w:tc>
          <w:tcPr>
            <w:tcW w:w="240" w:type="dxa"/>
            <w:vAlign w:val="bottom"/>
          </w:tcPr>
          <w:p>
            <w:pPr>
              <w:spacing w:after="0"/>
              <w:rPr>
                <w:sz w:val="20"/>
                <w:szCs w:val="20"/>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6960" w:type="dxa"/>
            <w:vAlign w:val="bottom"/>
          </w:tcPr>
          <w:p>
            <w:pPr>
              <w:spacing w:after="0"/>
              <w:rPr>
                <w:sz w:val="20"/>
                <w:szCs w:val="20"/>
                <w:color w:val="auto"/>
              </w:rPr>
            </w:pPr>
          </w:p>
        </w:tc>
      </w:tr>
      <w:tr>
        <w:trPr>
          <w:trHeight w:val="28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6960" w:type="dxa"/>
            <w:vAlign w:val="bottom"/>
          </w:tcPr>
          <w:p>
            <w:pPr>
              <w:jc w:val="right"/>
              <w:spacing w:after="0"/>
              <w:rPr>
                <w:sz w:val="20"/>
                <w:szCs w:val="20"/>
                <w:color w:val="auto"/>
              </w:rPr>
            </w:pPr>
            <w:r>
              <w:rPr>
                <w:rFonts w:ascii="Arial" w:cs="Arial" w:eastAsia="Arial" w:hAnsi="Arial"/>
                <w:sz w:val="18"/>
                <w:szCs w:val="18"/>
                <w:color w:val="auto"/>
              </w:rPr>
              <w:t>, and their terms will expire at our second annual meeting of stockholders following</w:t>
            </w:r>
          </w:p>
        </w:tc>
      </w:tr>
      <w:tr>
        <w:trPr>
          <w:trHeight w:val="239"/>
        </w:trPr>
        <w:tc>
          <w:tcPr>
            <w:tcW w:w="240" w:type="dxa"/>
            <w:vAlign w:val="bottom"/>
          </w:tcPr>
          <w:p>
            <w:pPr>
              <w:spacing w:after="0"/>
              <w:rPr>
                <w:sz w:val="20"/>
                <w:szCs w:val="20"/>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this offering; and</w:t>
            </w:r>
          </w:p>
        </w:tc>
        <w:tc>
          <w:tcPr>
            <w:tcW w:w="6960" w:type="dxa"/>
            <w:vAlign w:val="bottom"/>
          </w:tcPr>
          <w:p>
            <w:pPr>
              <w:spacing w:after="0"/>
              <w:rPr>
                <w:sz w:val="20"/>
                <w:szCs w:val="20"/>
                <w:color w:val="auto"/>
              </w:rPr>
            </w:pPr>
          </w:p>
        </w:tc>
      </w:tr>
      <w:tr>
        <w:trPr>
          <w:trHeight w:val="28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6960" w:type="dxa"/>
            <w:vAlign w:val="bottom"/>
          </w:tcPr>
          <w:p>
            <w:pPr>
              <w:jc w:val="right"/>
              <w:ind w:right="90"/>
              <w:spacing w:after="0"/>
              <w:rPr>
                <w:sz w:val="20"/>
                <w:szCs w:val="20"/>
                <w:color w:val="auto"/>
              </w:rPr>
            </w:pPr>
            <w:r>
              <w:rPr>
                <w:rFonts w:ascii="Arial" w:cs="Arial" w:eastAsia="Arial" w:hAnsi="Arial"/>
                <w:sz w:val="18"/>
                <w:szCs w:val="18"/>
                <w:color w:val="auto"/>
              </w:rPr>
              <w:t>, and their terms will expire at our third annual meeting of stockholders following</w:t>
            </w:r>
          </w:p>
        </w:tc>
      </w:tr>
      <w:tr>
        <w:trPr>
          <w:trHeight w:val="239"/>
        </w:trPr>
        <w:tc>
          <w:tcPr>
            <w:tcW w:w="240" w:type="dxa"/>
            <w:vAlign w:val="bottom"/>
          </w:tcPr>
          <w:p>
            <w:pPr>
              <w:spacing w:after="0"/>
              <w:rPr>
                <w:sz w:val="20"/>
                <w:szCs w:val="20"/>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6960" w:type="dxa"/>
            <w:vAlign w:val="bottom"/>
          </w:tcPr>
          <w:p>
            <w:pPr>
              <w:spacing w:after="0"/>
              <w:rPr>
                <w:sz w:val="20"/>
                <w:szCs w:val="20"/>
                <w:color w:val="auto"/>
              </w:rPr>
            </w:pPr>
          </w:p>
        </w:tc>
      </w:tr>
    </w:tbl>
    <w:p>
      <w:pPr>
        <w:spacing w:after="0" w:line="180"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board of directors is currently chaired by Dr. Lim. Our board of directors recognizes that it is important to determine an optimal board leadership structure to ensure the independent oversight of management as the Company continues to grow. We separate the roles of chief executive officer and chairman of the board of directors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76"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Independence</w:t>
      </w:r>
    </w:p>
    <w:p>
      <w:pPr>
        <w:spacing w:after="0" w:line="212" w:lineRule="exact"/>
        <w:rPr>
          <w:sz w:val="20"/>
          <w:szCs w:val="20"/>
          <w:color w:val="auto"/>
        </w:rPr>
      </w:pPr>
    </w:p>
    <w:p>
      <w:pPr>
        <w:ind w:left="120" w:right="940" w:firstLine="551"/>
        <w:spacing w:after="0" w:line="271" w:lineRule="auto"/>
        <w:rPr>
          <w:sz w:val="20"/>
          <w:szCs w:val="20"/>
          <w:color w:val="auto"/>
        </w:rPr>
      </w:pPr>
      <w:r>
        <w:rPr>
          <w:rFonts w:ascii="Arial" w:cs="Arial" w:eastAsia="Arial" w:hAnsi="Arial"/>
          <w:sz w:val="18"/>
          <w:szCs w:val="18"/>
          <w:color w:val="auto"/>
        </w:rPr>
        <w:t>Our board of directors has established three standing committees – audit, compensation. and nominating and corporate governance – each of which operates under a charter that has been approved by our board of directors.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59" w:lineRule="exact"/>
        <w:rPr>
          <w:sz w:val="20"/>
          <w:szCs w:val="20"/>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1420" w:right="40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59" w:lineRule="exact"/>
        <w:rPr>
          <w:rFonts w:ascii="Arial" w:cs="Arial" w:eastAsia="Arial" w:hAnsi="Arial"/>
          <w:sz w:val="18"/>
          <w:szCs w:val="18"/>
          <w:color w:val="auto"/>
        </w:rPr>
      </w:pPr>
    </w:p>
    <w:p>
      <w:pPr>
        <w:ind w:left="1420" w:right="28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59" w:lineRule="exact"/>
        <w:rPr>
          <w:rFonts w:ascii="Arial" w:cs="Arial" w:eastAsia="Arial" w:hAnsi="Arial"/>
          <w:sz w:val="18"/>
          <w:szCs w:val="18"/>
          <w:color w:val="auto"/>
        </w:rPr>
      </w:pPr>
    </w:p>
    <w:p>
      <w:pPr>
        <w:ind w:left="1420" w:right="76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59" w:lineRule="exact"/>
        <w:rPr>
          <w:rFonts w:ascii="Arial" w:cs="Arial" w:eastAsia="Arial" w:hAnsi="Arial"/>
          <w:sz w:val="18"/>
          <w:szCs w:val="18"/>
          <w:color w:val="auto"/>
        </w:rPr>
      </w:pPr>
    </w:p>
    <w:p>
      <w:pPr>
        <w:ind w:left="1420" w:right="22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our board of directors any changes to such investment policy;</w:t>
      </w:r>
    </w:p>
    <w:p>
      <w:pPr>
        <w:spacing w:after="0" w:line="59" w:lineRule="exact"/>
        <w:rPr>
          <w:rFonts w:ascii="Arial" w:cs="Arial" w:eastAsia="Arial" w:hAnsi="Arial"/>
          <w:sz w:val="18"/>
          <w:szCs w:val="18"/>
          <w:color w:val="auto"/>
        </w:rPr>
      </w:pPr>
    </w:p>
    <w:p>
      <w:pPr>
        <w:ind w:left="1420" w:right="24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1420" w:right="66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 and</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15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members of our audit committee are Dr. Brennan, Ms. Lew, and Dr. Lim. Ms. Lew serves as the chairperson of the committee. All members of our audit committee meet the requirements for financial literacy under the applicable rules and regulations of the SEC and Nasdaq. Our board of directors has determined that Ms. Lew is an “audit committee financial expert” as defined by applicable SEC rules and has the requisite financial sophistication as defined under the applicable Nasdaq listing standards. Our board of directors has determined that each of Dr. Brennan, Ms. Lew, and Dr. Lim is independent under the applicable rules of the SEC and Nasdaq. Upon the listing of our common stock on Nasdaq, the audit committee will operate under a written charter that satisfies the applicable standards of the SEC and Nasdaq.</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7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members of our compensation committee are Ms. Burow, Ms. Lew, and Dr. Lim. Dr. Lim serves as the chairperson of the committee. Our board of directors has determined that each of Ms. Burow, Ms. Lew, and Dr. Lim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with oversight of matters relating to environmental, social and governance matters affecting the Company, and oversight of the evaluation of our board of directors.</w:t>
      </w:r>
    </w:p>
    <w:p>
      <w:pPr>
        <w:spacing w:after="0" w:line="5" w:lineRule="exact"/>
        <w:rPr>
          <w:sz w:val="20"/>
          <w:szCs w:val="20"/>
          <w:color w:val="auto"/>
        </w:rPr>
      </w:pPr>
    </w:p>
    <w:p>
      <w:pPr>
        <w:ind w:left="120" w:right="340"/>
        <w:spacing w:after="0" w:line="234" w:lineRule="auto"/>
        <w:rPr>
          <w:sz w:val="20"/>
          <w:szCs w:val="20"/>
          <w:color w:val="auto"/>
        </w:rPr>
      </w:pPr>
      <w:r>
        <w:rPr>
          <w:rFonts w:ascii="Arial" w:cs="Arial" w:eastAsia="Arial" w:hAnsi="Arial"/>
          <w:sz w:val="18"/>
          <w:szCs w:val="18"/>
          <w:color w:val="auto"/>
        </w:rPr>
        <w:t>The members of our nominating and corporate governance committee are . serves as the chairperson of the committee. Our board of directors has determined that each of is independent under the applicable Nasdaq listing standards.</w:t>
      </w:r>
    </w:p>
    <w:p>
      <w:pPr>
        <w:spacing w:after="0" w:line="1"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Upon the listing of our common stock on Nasdaq, the nominating and corporate governance committee will operate under a written charter, which the nominating and corporate governance committee will review and evaluate at least annually.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21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w:t>
      </w:r>
    </w:p>
    <w:p>
      <w:pPr>
        <w:spacing w:after="0" w:line="82" w:lineRule="exact"/>
        <w:rPr>
          <w:sz w:val="20"/>
          <w:szCs w:val="20"/>
          <w:color w:val="auto"/>
        </w:rPr>
      </w:pPr>
    </w:p>
    <w:p>
      <w:pPr>
        <w:jc w:val="right"/>
        <w:ind w:left="5480" w:right="5340" w:hanging="4487"/>
        <w:spacing w:after="0" w:line="484" w:lineRule="auto"/>
        <w:tabs>
          <w:tab w:leader="none" w:pos="1432" w:val="left"/>
        </w:tabs>
        <w:numPr>
          <w:ilvl w:val="0"/>
          <w:numId w:val="78"/>
        </w:numPr>
        <w:rPr>
          <w:rFonts w:ascii="Arial" w:cs="Arial" w:eastAsia="Arial" w:hAnsi="Arial"/>
          <w:sz w:val="17"/>
          <w:szCs w:val="17"/>
          <w:color w:val="auto"/>
        </w:rPr>
      </w:pPr>
      <w:r>
        <w:rPr>
          <w:rFonts w:ascii="Arial" w:cs="Arial" w:eastAsia="Arial" w:hAnsi="Arial"/>
          <w:sz w:val="17"/>
          <w:szCs w:val="17"/>
          <w:color w:val="auto"/>
        </w:rPr>
        <w:t>personal and professional integrity, ethics, and values; 172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1420" w:right="840" w:hanging="427"/>
        <w:spacing w:after="0" w:line="271"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12"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www.boundlessbio.com.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Our named executive officers for 2023, which consist of our principal executive officer during 2023 and our two next most highly compensated executive officers during 2023, were:</w:t>
      </w:r>
    </w:p>
    <w:p>
      <w:pPr>
        <w:spacing w:after="0" w:line="59" w:lineRule="exact"/>
        <w:rPr>
          <w:sz w:val="20"/>
          <w:szCs w:val="20"/>
          <w:color w:val="auto"/>
        </w:rPr>
      </w:pPr>
    </w:p>
    <w:p>
      <w:pPr>
        <w:ind w:left="1420" w:hanging="427"/>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Zachary D. Hornby, President and Chief Executive Officer;</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Klaus Wagner, M.D., Ph.D., Chief Medical Officer;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Chris Hassig, Ph.D., Chief Scientific Officer.</w:t>
      </w:r>
    </w:p>
    <w:p>
      <w:pPr>
        <w:spacing w:after="0" w:line="212"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6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December 31, 2023 by our named executive officers.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2023 Summary Compensation Table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Bonus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146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8"/>
                <w:szCs w:val="18"/>
                <w:color w:val="auto"/>
              </w:rPr>
              <w:t>Zachary D. Hornby President and Chief</w:t>
            </w:r>
          </w:p>
        </w:tc>
        <w:tc>
          <w:tcPr>
            <w:tcW w:w="1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60"/>
              <w:spacing w:after="0" w:line="164" w:lineRule="exact"/>
              <w:rPr>
                <w:sz w:val="20"/>
                <w:szCs w:val="20"/>
                <w:color w:val="auto"/>
              </w:rPr>
            </w:pPr>
            <w:r>
              <w:rPr>
                <w:rFonts w:ascii="Arial" w:cs="Arial" w:eastAsia="Arial" w:hAnsi="Arial"/>
                <w:sz w:val="18"/>
                <w:szCs w:val="18"/>
                <w:color w:val="auto"/>
                <w:w w:val="94"/>
              </w:rPr>
              <w:t>2023</w:t>
            </w:r>
          </w:p>
        </w:tc>
        <w:tc>
          <w:tcPr>
            <w:tcW w:w="2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ind w:left="60"/>
              <w:spacing w:after="0" w:line="164" w:lineRule="exact"/>
              <w:rPr>
                <w:sz w:val="20"/>
                <w:szCs w:val="20"/>
                <w:color w:val="auto"/>
              </w:rPr>
            </w:pPr>
            <w:r>
              <w:rPr>
                <w:rFonts w:ascii="Arial" w:cs="Arial" w:eastAsia="Arial" w:hAnsi="Arial"/>
                <w:sz w:val="18"/>
                <w:szCs w:val="18"/>
                <w:color w:val="auto"/>
                <w:w w:val="95"/>
              </w:rPr>
              <w:t>495,000</w:t>
            </w:r>
          </w:p>
        </w:tc>
        <w:tc>
          <w:tcPr>
            <w:tcW w:w="2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180"/>
              <w:spacing w:after="0" w:line="164"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8"/>
                <w:szCs w:val="18"/>
                <w:color w:val="auto"/>
              </w:rPr>
              <w:t>1,651,813</w:t>
            </w: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8"/>
                <w:szCs w:val="18"/>
                <w:color w:val="auto"/>
              </w:rPr>
              <w:t>222,750</w:t>
            </w:r>
          </w:p>
        </w:tc>
        <w:tc>
          <w:tcPr>
            <w:tcW w:w="440" w:type="dxa"/>
            <w:vAlign w:val="bottom"/>
            <w:tcBorders>
              <w:top w:val="single" w:sz="8" w:color="CCEEFF"/>
            </w:tcBorders>
            <w:shd w:val="clear" w:color="auto" w:fill="CCEEFF"/>
          </w:tcPr>
          <w:p>
            <w:pPr>
              <w:jc w:val="right"/>
              <w:ind w:right="130"/>
              <w:spacing w:after="0" w:line="164" w:lineRule="exact"/>
              <w:rPr>
                <w:sz w:val="20"/>
                <w:szCs w:val="20"/>
                <w:color w:val="auto"/>
              </w:rPr>
            </w:pPr>
            <w:r>
              <w:rPr>
                <w:rFonts w:ascii="Arial" w:cs="Arial" w:eastAsia="Arial" w:hAnsi="Arial"/>
                <w:sz w:val="18"/>
                <w:szCs w:val="18"/>
                <w:color w:val="auto"/>
                <w:w w:val="90"/>
              </w:rPr>
              <w:t>(3)</w:t>
            </w:r>
          </w:p>
        </w:tc>
        <w:tc>
          <w:tcPr>
            <w:tcW w:w="102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8"/>
                <w:szCs w:val="18"/>
                <w:color w:val="auto"/>
              </w:rPr>
              <w:t>3,300</w:t>
            </w: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8"/>
                <w:szCs w:val="18"/>
                <w:color w:val="auto"/>
              </w:rPr>
              <w:t>2,372,863</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476,100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214,245(4)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693,395</w:t>
            </w:r>
          </w:p>
        </w:tc>
        <w:tc>
          <w:tcPr>
            <w:tcW w:w="0" w:type="dxa"/>
            <w:vAlign w:val="bottom"/>
          </w:tcPr>
          <w:p>
            <w:pPr>
              <w:spacing w:after="0"/>
              <w:rPr>
                <w:sz w:val="1"/>
                <w:szCs w:val="1"/>
                <w:color w:val="auto"/>
              </w:rPr>
            </w:pPr>
          </w:p>
        </w:tc>
      </w:tr>
      <w:tr>
        <w:trPr>
          <w:trHeight w:val="184"/>
        </w:trPr>
        <w:tc>
          <w:tcPr>
            <w:tcW w:w="3780" w:type="dxa"/>
            <w:vAlign w:val="bottom"/>
          </w:tcPr>
          <w:p>
            <w:pPr>
              <w:spacing w:after="0" w:line="183" w:lineRule="exact"/>
              <w:rPr>
                <w:sz w:val="20"/>
                <w:szCs w:val="20"/>
                <w:color w:val="auto"/>
              </w:rPr>
            </w:pPr>
            <w:r>
              <w:rPr>
                <w:rFonts w:ascii="Arial" w:cs="Arial" w:eastAsia="Arial" w:hAnsi="Arial"/>
                <w:sz w:val="18"/>
                <w:szCs w:val="18"/>
                <w:color w:val="auto"/>
              </w:rPr>
              <w:t>Klaus Wagner, M.D., Ph.D. Chief Medical</w:t>
            </w:r>
          </w:p>
        </w:tc>
        <w:tc>
          <w:tcPr>
            <w:tcW w:w="880" w:type="dxa"/>
            <w:vAlign w:val="bottom"/>
            <w:gridSpan w:val="3"/>
          </w:tcPr>
          <w:p>
            <w:pPr>
              <w:ind w:left="240"/>
              <w:spacing w:after="0" w:line="183" w:lineRule="exact"/>
              <w:rPr>
                <w:sz w:val="20"/>
                <w:szCs w:val="20"/>
                <w:color w:val="auto"/>
              </w:rPr>
            </w:pPr>
            <w:r>
              <w:rPr>
                <w:rFonts w:ascii="Arial" w:cs="Arial" w:eastAsia="Arial" w:hAnsi="Arial"/>
                <w:sz w:val="18"/>
                <w:szCs w:val="18"/>
                <w:color w:val="auto"/>
              </w:rPr>
              <w:t>2023</w:t>
            </w:r>
          </w:p>
        </w:tc>
        <w:tc>
          <w:tcPr>
            <w:tcW w:w="94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465,840</w:t>
            </w:r>
          </w:p>
        </w:tc>
        <w:tc>
          <w:tcPr>
            <w:tcW w:w="68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363,572</w:t>
            </w:r>
          </w:p>
        </w:tc>
        <w:tc>
          <w:tcPr>
            <w:tcW w:w="146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163,044(3)</w:t>
            </w:r>
          </w:p>
        </w:tc>
        <w:tc>
          <w:tcPr>
            <w:tcW w:w="126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rPr>
              <w:t>4,200</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996,656</w:t>
            </w:r>
          </w:p>
        </w:tc>
        <w:tc>
          <w:tcPr>
            <w:tcW w:w="0" w:type="dxa"/>
            <w:vAlign w:val="bottom"/>
          </w:tcPr>
          <w:p>
            <w:pPr>
              <w:spacing w:after="0"/>
              <w:rPr>
                <w:sz w:val="1"/>
                <w:szCs w:val="1"/>
                <w:color w:val="auto"/>
              </w:rPr>
            </w:pPr>
          </w:p>
        </w:tc>
      </w:tr>
      <w:tr>
        <w:trPr>
          <w:trHeight w:val="221"/>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Officer</w:t>
            </w:r>
          </w:p>
        </w:tc>
        <w:tc>
          <w:tcPr>
            <w:tcW w:w="88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383,654</w:t>
            </w:r>
          </w:p>
        </w:tc>
        <w:tc>
          <w:tcPr>
            <w:tcW w:w="6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825,982</w:t>
            </w:r>
          </w:p>
        </w:tc>
        <w:tc>
          <w:tcPr>
            <w:tcW w:w="14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138,600(4)</w:t>
            </w:r>
          </w:p>
        </w:tc>
        <w:tc>
          <w:tcPr>
            <w:tcW w:w="126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1,348,235</w:t>
            </w:r>
          </w:p>
        </w:tc>
        <w:tc>
          <w:tcPr>
            <w:tcW w:w="0" w:type="dxa"/>
            <w:vAlign w:val="bottom"/>
          </w:tcPr>
          <w:p>
            <w:pPr>
              <w:spacing w:after="0"/>
              <w:rPr>
                <w:sz w:val="1"/>
                <w:szCs w:val="1"/>
                <w:color w:val="auto"/>
              </w:rPr>
            </w:pPr>
          </w:p>
        </w:tc>
      </w:tr>
      <w:tr>
        <w:trPr>
          <w:trHeight w:val="184"/>
        </w:trPr>
        <w:tc>
          <w:tcPr>
            <w:tcW w:w="3780" w:type="dxa"/>
            <w:vAlign w:val="bottom"/>
          </w:tcPr>
          <w:p>
            <w:pPr>
              <w:spacing w:after="0" w:line="183" w:lineRule="exact"/>
              <w:rPr>
                <w:sz w:val="20"/>
                <w:szCs w:val="20"/>
                <w:color w:val="auto"/>
              </w:rPr>
            </w:pPr>
            <w:r>
              <w:rPr>
                <w:rFonts w:ascii="Arial" w:cs="Arial" w:eastAsia="Arial" w:hAnsi="Arial"/>
                <w:sz w:val="18"/>
                <w:szCs w:val="18"/>
                <w:color w:val="auto"/>
              </w:rPr>
              <w:t>Chris Hassig, Ph.D.</w:t>
            </w:r>
          </w:p>
        </w:tc>
        <w:tc>
          <w:tcPr>
            <w:tcW w:w="880" w:type="dxa"/>
            <w:vAlign w:val="bottom"/>
            <w:gridSpan w:val="3"/>
          </w:tcPr>
          <w:p>
            <w:pPr>
              <w:ind w:left="240"/>
              <w:spacing w:after="0" w:line="183" w:lineRule="exact"/>
              <w:rPr>
                <w:sz w:val="20"/>
                <w:szCs w:val="20"/>
                <w:color w:val="auto"/>
              </w:rPr>
            </w:pPr>
            <w:r>
              <w:rPr>
                <w:rFonts w:ascii="Arial" w:cs="Arial" w:eastAsia="Arial" w:hAnsi="Arial"/>
                <w:sz w:val="18"/>
                <w:szCs w:val="18"/>
                <w:color w:val="auto"/>
              </w:rPr>
              <w:t>2023</w:t>
            </w:r>
          </w:p>
        </w:tc>
        <w:tc>
          <w:tcPr>
            <w:tcW w:w="94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415,000</w:t>
            </w:r>
          </w:p>
        </w:tc>
        <w:tc>
          <w:tcPr>
            <w:tcW w:w="68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339,960</w:t>
            </w:r>
          </w:p>
        </w:tc>
        <w:tc>
          <w:tcPr>
            <w:tcW w:w="146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145,250(3)</w:t>
            </w:r>
          </w:p>
        </w:tc>
        <w:tc>
          <w:tcPr>
            <w:tcW w:w="126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rPr>
              <w:t>3,300</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903,510</w:t>
            </w:r>
          </w:p>
        </w:tc>
        <w:tc>
          <w:tcPr>
            <w:tcW w:w="0" w:type="dxa"/>
            <w:vAlign w:val="bottom"/>
          </w:tcPr>
          <w:p>
            <w:pPr>
              <w:spacing w:after="0"/>
              <w:rPr>
                <w:sz w:val="1"/>
                <w:szCs w:val="1"/>
                <w:color w:val="auto"/>
              </w:rPr>
            </w:pPr>
          </w:p>
        </w:tc>
      </w:tr>
      <w:tr>
        <w:trPr>
          <w:trHeight w:val="239"/>
        </w:trPr>
        <w:tc>
          <w:tcPr>
            <w:tcW w:w="3780" w:type="dxa"/>
            <w:vAlign w:val="bottom"/>
          </w:tcPr>
          <w:p>
            <w:pPr>
              <w:ind w:left="180"/>
              <w:spacing w:after="0"/>
              <w:rPr>
                <w:sz w:val="20"/>
                <w:szCs w:val="20"/>
                <w:color w:val="auto"/>
              </w:rPr>
            </w:pPr>
            <w:r>
              <w:rPr>
                <w:rFonts w:ascii="Arial" w:cs="Arial" w:eastAsia="Arial" w:hAnsi="Arial"/>
                <w:sz w:val="18"/>
                <w:szCs w:val="18"/>
                <w:color w:val="auto"/>
              </w:rPr>
              <w:t>Chief Scientific Officer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right="40" w:hanging="424"/>
        <w:spacing w:after="0" w:line="246"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of the stock options awarded to our named executive officers during the applicable fiscal year, calculated in accordance with Financial Accounting Standards Board (FASB) Accounting Standards Codification (ASC) Topic 718. The amounts reported in the “Option Awards” column also include the incremental fair value associated with the modification in 2023 of the exercise prices of the options granted to our named executive officers in 2021 and 2022 in connection with our option repricing in June 2023, computed in accordance with FASB ASC Topic 718 as follows: Mr. Hornby, $170,293, Dr. Wagner, $65,334, and Dr. Hassig, $41,722. The assumptions used in calculating the grant date fair value of the awards and the incremental fair value reported in this column are set forth in the notes to our financial statements included elsewhere in this prospectus. The amounts reported in this column reflect the accounting cost for the stock options and do not reflect the actual economic value that will be realized by our named executive officers upon the vesting of the stock options, the exercise of the stock options or the sale of the common stock underlying such awards. See the subsection titled “—Narrative to Summary Compensation Table—Equity-Based Incentive Awards” below.</w:t>
      </w:r>
    </w:p>
    <w:p>
      <w:pPr>
        <w:spacing w:after="0" w:line="13" w:lineRule="exact"/>
        <w:rPr>
          <w:rFonts w:ascii="Arial" w:cs="Arial" w:eastAsia="Arial" w:hAnsi="Arial"/>
          <w:sz w:val="14"/>
          <w:szCs w:val="14"/>
          <w:color w:val="auto"/>
        </w:rPr>
      </w:pPr>
    </w:p>
    <w:p>
      <w:pPr>
        <w:ind w:left="540" w:right="200" w:hanging="424"/>
        <w:spacing w:after="0" w:line="27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401(k) matching contributions for each of our named executive officers ($3,300 for 2023 and $3,050 for Mr. Hornby for 2022) and a $900 cell phone reimbursement for Dr. Wagner.</w:t>
      </w:r>
    </w:p>
    <w:p>
      <w:pPr>
        <w:ind w:left="540" w:hanging="424"/>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performance bonuses earned by each executive in 2023, which were paid in early 2024.</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performance bonuses earned by each executive in 2022, which were paid in early 2023.</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02"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compensation of our named executive officers is generally determined and approved by our board of directors. The 2023 base salaries of each of our named executive officers are described below under the subsection titled “—Employment Arrangements with our Named Executive Officers.”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w:t>
      </w:r>
    </w:p>
    <w:p>
      <w:pPr>
        <w:spacing w:after="0" w:line="179"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For 2023, Mr. Hornby, Dr. Wagner, and Dr. Hassig were each eligible to receive a target annual bonus for 2023 equal to 45%, 35%, and 35% of their respective annual base salaries.</w:t>
      </w:r>
    </w:p>
    <w:p>
      <w:pPr>
        <w:spacing w:after="0" w:line="154"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The corporate goals the board of directors established for 2023 related to clinical and development goals, as well as operational objectives. Bonuses are usually determined and paid in the first quarter of the following year. Actual amounts paid to each named executive officer ($222,750 for Mr. Hornby, $ 163,044 for Dr. Wagner, and $145,250 for Dr. Hassig) are set forth in the “Non-Equity Incentive Plan Compensation” column of the “Summary Compensation Table” above.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02" w:lineRule="exact"/>
        <w:rPr>
          <w:sz w:val="20"/>
          <w:szCs w:val="20"/>
          <w:color w:val="auto"/>
        </w:rPr>
      </w:pPr>
    </w:p>
    <w:p>
      <w:pPr>
        <w:ind w:left="120" w:right="180" w:firstLine="551"/>
        <w:spacing w:after="0" w:line="301" w:lineRule="auto"/>
        <w:rPr>
          <w:sz w:val="20"/>
          <w:szCs w:val="20"/>
          <w:color w:val="auto"/>
        </w:rPr>
      </w:pPr>
      <w:r>
        <w:rPr>
          <w:rFonts w:ascii="Arial" w:cs="Arial" w:eastAsia="Arial" w:hAnsi="Arial"/>
          <w:sz w:val="17"/>
          <w:szCs w:val="17"/>
          <w:color w:val="auto"/>
        </w:rPr>
        <w:t>Our equity-based incentive awards are designed to align our interests and those of our stockholders with those of our employees, including our executive officers. The board of directors or an authorized committee thereof is responsible for approving equity grants.</w:t>
      </w:r>
    </w:p>
    <w:p>
      <w:pPr>
        <w:spacing w:after="0" w:line="13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Prior to this offering, we have granted stock options pursuant to our Amended and Restated 2018 Equity Incentive Plan (the 2018 Plan). Following this offering, we will grant equity awards under the terms of our 2024 Incentive Award Plan (the 2024 Plan). The terms of our equity plans are described in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On June 13, 2023, we granted to Mr. Hornby, Dr. Wagner, and Dr. Hassig options to purchase 9,190,000, 1,850,000, and 1,850,000 shares of our common stock, respectively. The options have an exercise price of $0.21 per share, the fair market value on the date of grant as determined by our board of directors based on an independent third-party valuation. The options vest over a period of four years in equal monthly installments beginning on the first monthly anniversary of the vesting commencement date (June 13, 2023), subject to the named executive officer’s continuous service with us as of each such vesting date.</w:t>
      </w:r>
    </w:p>
    <w:p>
      <w:pPr>
        <w:spacing w:after="0" w:line="176" w:lineRule="exact"/>
        <w:rPr>
          <w:sz w:val="20"/>
          <w:szCs w:val="20"/>
          <w:color w:val="auto"/>
        </w:rPr>
      </w:pPr>
    </w:p>
    <w:p>
      <w:pPr>
        <w:ind w:left="120" w:right="440" w:firstLine="551"/>
        <w:spacing w:after="0" w:line="253" w:lineRule="auto"/>
        <w:rPr>
          <w:sz w:val="20"/>
          <w:szCs w:val="20"/>
          <w:color w:val="auto"/>
        </w:rPr>
      </w:pPr>
      <w:r>
        <w:rPr>
          <w:rFonts w:ascii="Arial" w:cs="Arial" w:eastAsia="Arial" w:hAnsi="Arial"/>
          <w:sz w:val="18"/>
          <w:szCs w:val="18"/>
          <w:color w:val="auto"/>
        </w:rPr>
        <w:t>In addition, on June 13, 2023, in order to retain and properly incentivize our employees to continue our growth, we approved a repricing of stock options held by current employees with exercise prices in excess of $0.21 per share, including each of our named executive officers, whereby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exercise price per share of each outstanding stock option with an exercise price higher than $0.21 per share was lowered to $0.21 per share (our fair market value per share on the date of the repricing as determined by our board of directors based on an independent third-party valuation).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2023 Fiscal Year-End</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The following table presents information regarding the outstanding stock options held by each of our named executive officers as of December 31, 2023.</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126"/>
              <w:spacing w:after="0" w:line="111"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9"/>
                <w:szCs w:val="9"/>
                <w:color w:val="auto"/>
              </w:rPr>
            </w:pPr>
          </w:p>
        </w:tc>
        <w:tc>
          <w:tcPr>
            <w:tcW w:w="110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26"/>
              <w:spacing w:after="0" w:line="135"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46"/>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1"/>
                <w:szCs w:val="11"/>
                <w:color w:val="auto"/>
              </w:rPr>
            </w:pP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Underlying</w:t>
            </w: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Option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5"/>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Grant</w:t>
            </w:r>
          </w:p>
        </w:tc>
        <w:tc>
          <w:tcPr>
            <w:tcW w:w="940" w:type="dxa"/>
            <w:vAlign w:val="bottom"/>
            <w:gridSpan w:val="2"/>
          </w:tcPr>
          <w:p>
            <w:pPr>
              <w:jc w:val="center"/>
              <w:ind w:right="126"/>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1"/>
                <w:szCs w:val="11"/>
                <w:color w:val="auto"/>
              </w:rPr>
            </w:pP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0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gridSpan w:val="2"/>
            <w:vMerge w:val="continue"/>
          </w:tcPr>
          <w:p>
            <w:pPr>
              <w:spacing w:after="0"/>
              <w:rPr>
                <w:sz w:val="11"/>
                <w:szCs w:val="11"/>
                <w:color w:val="auto"/>
              </w:rPr>
            </w:pPr>
          </w:p>
        </w:tc>
        <w:tc>
          <w:tcPr>
            <w:tcW w:w="940" w:type="dxa"/>
            <w:vAlign w:val="bottom"/>
            <w:gridSpan w:val="2"/>
          </w:tcPr>
          <w:p>
            <w:pPr>
              <w:jc w:val="center"/>
              <w:ind w:right="126"/>
              <w:spacing w:after="0" w:line="135"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Options</w:t>
            </w: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Exercise</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53"/>
        </w:trPr>
        <w:tc>
          <w:tcPr>
            <w:tcW w:w="6400" w:type="dxa"/>
            <w:vAlign w:val="bottom"/>
            <w:gridSpan w:val="2"/>
            <w:vMerge w:val="continue"/>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94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4"/>
              </w:rPr>
              <w:t>Unexercisable(1)</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Price</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56"/>
        </w:trPr>
        <w:tc>
          <w:tcPr>
            <w:tcW w:w="6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Zachary D. Hornby</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06/10/2020</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2,187,500</w:t>
            </w:r>
          </w:p>
        </w:tc>
        <w:tc>
          <w:tcPr>
            <w:tcW w:w="180" w:type="dxa"/>
            <w:vAlign w:val="bottom"/>
            <w:tcBorders>
              <w:top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74"/>
              </w:rPr>
              <w:t>(2)</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312,500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w w:val="95"/>
              </w:rPr>
              <w:t>0.16</w:t>
            </w:r>
          </w:p>
        </w:tc>
        <w:tc>
          <w:tcPr>
            <w:tcW w:w="2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06/09/2030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06/07/2021</w:t>
            </w:r>
          </w:p>
        </w:tc>
        <w:tc>
          <w:tcPr>
            <w:tcW w:w="940" w:type="dxa"/>
            <w:vAlign w:val="bottom"/>
            <w:gridSpan w:val="2"/>
          </w:tcPr>
          <w:p>
            <w:pPr>
              <w:jc w:val="right"/>
              <w:ind w:right="6"/>
              <w:spacing w:after="0" w:line="162" w:lineRule="exact"/>
              <w:rPr>
                <w:sz w:val="20"/>
                <w:szCs w:val="20"/>
                <w:color w:val="auto"/>
              </w:rPr>
            </w:pPr>
            <w:r>
              <w:rPr>
                <w:rFonts w:ascii="Arial" w:cs="Arial" w:eastAsia="Arial" w:hAnsi="Arial"/>
                <w:sz w:val="13"/>
                <w:szCs w:val="13"/>
                <w:color w:val="auto"/>
              </w:rPr>
              <w:t>3,125,000</w:t>
            </w:r>
            <w:r>
              <w:rPr>
                <w:rFonts w:ascii="Arial" w:cs="Arial" w:eastAsia="Arial" w:hAnsi="Arial"/>
                <w:sz w:val="18"/>
                <w:szCs w:val="18"/>
                <w:color w:val="auto"/>
                <w:vertAlign w:val="superscript"/>
              </w:rPr>
              <w:t>(3)</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1,875,000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 xml:space="preserve">0.21 </w:t>
            </w:r>
            <w:r>
              <w:rPr>
                <w:rFonts w:ascii="Arial" w:cs="Arial" w:eastAsia="Arial" w:hAnsi="Arial"/>
                <w:sz w:val="18"/>
                <w:szCs w:val="18"/>
                <w:color w:val="auto"/>
                <w:vertAlign w:val="superscript"/>
              </w:rPr>
              <w:t>(4)</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06/06/2031</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6/13/2023</w:t>
            </w:r>
          </w:p>
        </w:tc>
        <w:tc>
          <w:tcPr>
            <w:tcW w:w="94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3"/>
                <w:szCs w:val="13"/>
                <w:color w:val="auto"/>
              </w:rPr>
              <w:t>1,148,750</w:t>
            </w:r>
            <w:r>
              <w:rPr>
                <w:rFonts w:ascii="Arial" w:cs="Arial" w:eastAsia="Arial" w:hAnsi="Arial"/>
                <w:sz w:val="18"/>
                <w:szCs w:val="18"/>
                <w:color w:val="auto"/>
                <w:vertAlign w:val="superscript"/>
              </w:rPr>
              <w:t>(5)</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8,041,250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0.21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r>
        <w:trPr>
          <w:trHeight w:val="162"/>
        </w:trPr>
        <w:tc>
          <w:tcPr>
            <w:tcW w:w="6400" w:type="dxa"/>
            <w:vAlign w:val="bottom"/>
            <w:gridSpan w:val="2"/>
          </w:tcPr>
          <w:p>
            <w:pPr>
              <w:spacing w:after="0"/>
              <w:rPr>
                <w:sz w:val="20"/>
                <w:szCs w:val="20"/>
                <w:color w:val="auto"/>
              </w:rPr>
            </w:pPr>
            <w:r>
              <w:rPr>
                <w:rFonts w:ascii="Arial" w:cs="Arial" w:eastAsia="Arial" w:hAnsi="Arial"/>
                <w:sz w:val="14"/>
                <w:szCs w:val="14"/>
                <w:color w:val="auto"/>
              </w:rPr>
              <w:t>Klaus Wagner, M.D., Ph.D.</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02/24/2022</w:t>
            </w:r>
          </w:p>
        </w:tc>
        <w:tc>
          <w:tcPr>
            <w:tcW w:w="940" w:type="dxa"/>
            <w:vAlign w:val="bottom"/>
            <w:gridSpan w:val="2"/>
          </w:tcPr>
          <w:p>
            <w:pPr>
              <w:jc w:val="right"/>
              <w:ind w:right="6"/>
              <w:spacing w:after="0" w:line="162" w:lineRule="exact"/>
              <w:rPr>
                <w:sz w:val="20"/>
                <w:szCs w:val="20"/>
                <w:color w:val="auto"/>
              </w:rPr>
            </w:pPr>
            <w:r>
              <w:rPr>
                <w:rFonts w:ascii="Arial" w:cs="Arial" w:eastAsia="Arial" w:hAnsi="Arial"/>
                <w:sz w:val="13"/>
                <w:szCs w:val="13"/>
                <w:color w:val="auto"/>
              </w:rPr>
              <w:t>916,666</w:t>
            </w:r>
            <w:r>
              <w:rPr>
                <w:rFonts w:ascii="Arial" w:cs="Arial" w:eastAsia="Arial" w:hAnsi="Arial"/>
                <w:sz w:val="18"/>
                <w:szCs w:val="18"/>
                <w:color w:val="auto"/>
                <w:vertAlign w:val="superscript"/>
              </w:rPr>
              <w:t>(6)</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1,083,334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60"/>
              <w:spacing w:after="0" w:line="162" w:lineRule="exact"/>
              <w:rPr>
                <w:sz w:val="20"/>
                <w:szCs w:val="20"/>
                <w:color w:val="auto"/>
              </w:rPr>
            </w:pPr>
            <w:r>
              <w:rPr>
                <w:rFonts w:ascii="Arial" w:cs="Arial" w:eastAsia="Arial" w:hAnsi="Arial"/>
                <w:sz w:val="13"/>
                <w:szCs w:val="13"/>
                <w:color w:val="auto"/>
              </w:rPr>
              <w:t>0.21</w:t>
            </w:r>
            <w:r>
              <w:rPr>
                <w:rFonts w:ascii="Arial" w:cs="Arial" w:eastAsia="Arial" w:hAnsi="Arial"/>
                <w:sz w:val="18"/>
                <w:szCs w:val="18"/>
                <w:color w:val="auto"/>
                <w:vertAlign w:val="superscript"/>
              </w:rPr>
              <w:t>(4)</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02/23/2032</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12/13/2022</w:t>
            </w:r>
          </w:p>
        </w:tc>
        <w:tc>
          <w:tcPr>
            <w:tcW w:w="94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3"/>
                <w:szCs w:val="13"/>
                <w:color w:val="auto"/>
              </w:rPr>
              <w:t>46,975</w:t>
            </w:r>
            <w:r>
              <w:rPr>
                <w:rFonts w:ascii="Arial" w:cs="Arial" w:eastAsia="Arial" w:hAnsi="Arial"/>
                <w:sz w:val="18"/>
                <w:szCs w:val="18"/>
                <w:color w:val="auto"/>
                <w:vertAlign w:val="superscript"/>
              </w:rPr>
              <w:t>(7)</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140,925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3"/>
                <w:szCs w:val="13"/>
                <w:color w:val="auto"/>
              </w:rPr>
              <w:t>0.21</w:t>
            </w:r>
            <w:r>
              <w:rPr>
                <w:rFonts w:ascii="Arial" w:cs="Arial" w:eastAsia="Arial" w:hAnsi="Arial"/>
                <w:sz w:val="18"/>
                <w:szCs w:val="18"/>
                <w:color w:val="auto"/>
                <w:vertAlign w:val="superscript"/>
              </w:rPr>
              <w:t>(4)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12/12/2032</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6/13/2023</w:t>
            </w:r>
          </w:p>
        </w:tc>
        <w:tc>
          <w:tcPr>
            <w:tcW w:w="940" w:type="dxa"/>
            <w:vAlign w:val="bottom"/>
            <w:gridSpan w:val="2"/>
          </w:tcPr>
          <w:p>
            <w:pPr>
              <w:jc w:val="right"/>
              <w:ind w:right="6"/>
              <w:spacing w:after="0" w:line="162" w:lineRule="exact"/>
              <w:rPr>
                <w:sz w:val="20"/>
                <w:szCs w:val="20"/>
                <w:color w:val="auto"/>
              </w:rPr>
            </w:pPr>
            <w:r>
              <w:rPr>
                <w:rFonts w:ascii="Arial" w:cs="Arial" w:eastAsia="Arial" w:hAnsi="Arial"/>
                <w:sz w:val="13"/>
                <w:szCs w:val="13"/>
                <w:color w:val="auto"/>
              </w:rPr>
              <w:t>231,250</w:t>
            </w:r>
            <w:r>
              <w:rPr>
                <w:rFonts w:ascii="Arial" w:cs="Arial" w:eastAsia="Arial" w:hAnsi="Arial"/>
                <w:sz w:val="18"/>
                <w:szCs w:val="18"/>
                <w:color w:val="auto"/>
                <w:vertAlign w:val="superscript"/>
              </w:rPr>
              <w:t>(5)</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1,618,750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0.21</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r>
        <w:trPr>
          <w:trHeight w:val="162"/>
        </w:trPr>
        <w:tc>
          <w:tcPr>
            <w:tcW w:w="6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 Hassig, Ph.D.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12/3/2019</w:t>
            </w:r>
          </w:p>
        </w:tc>
        <w:tc>
          <w:tcPr>
            <w:tcW w:w="940" w:type="dxa"/>
            <w:vAlign w:val="bottom"/>
            <w:gridSpan w:val="2"/>
            <w:shd w:val="clear" w:color="auto" w:fill="CCEEFF"/>
          </w:tcPr>
          <w:p>
            <w:pPr>
              <w:jc w:val="right"/>
              <w:ind w:right="126"/>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12/2/2029</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12/2/2020</w:t>
            </w:r>
          </w:p>
        </w:tc>
        <w:tc>
          <w:tcPr>
            <w:tcW w:w="940" w:type="dxa"/>
            <w:vAlign w:val="bottom"/>
            <w:gridSpan w:val="2"/>
          </w:tcPr>
          <w:p>
            <w:pPr>
              <w:jc w:val="right"/>
              <w:ind w:right="6"/>
              <w:spacing w:after="0" w:line="162" w:lineRule="exact"/>
              <w:rPr>
                <w:sz w:val="20"/>
                <w:szCs w:val="20"/>
                <w:color w:val="auto"/>
              </w:rPr>
            </w:pPr>
            <w:r>
              <w:rPr>
                <w:rFonts w:ascii="Arial" w:cs="Arial" w:eastAsia="Arial" w:hAnsi="Arial"/>
                <w:sz w:val="13"/>
                <w:szCs w:val="13"/>
                <w:color w:val="auto"/>
              </w:rPr>
              <w:t>145,833</w:t>
            </w:r>
            <w:r>
              <w:rPr>
                <w:rFonts w:ascii="Arial" w:cs="Arial" w:eastAsia="Arial" w:hAnsi="Arial"/>
                <w:sz w:val="18"/>
                <w:szCs w:val="18"/>
                <w:color w:val="auto"/>
                <w:vertAlign w:val="superscript"/>
              </w:rPr>
              <w:t>(8)</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54,167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0.19</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12/1/2030</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6/7/2021</w:t>
            </w:r>
          </w:p>
        </w:tc>
        <w:tc>
          <w:tcPr>
            <w:tcW w:w="940" w:type="dxa"/>
            <w:vAlign w:val="bottom"/>
            <w:gridSpan w:val="2"/>
            <w:shd w:val="clear" w:color="auto" w:fill="CCEEFF"/>
          </w:tcPr>
          <w:p>
            <w:pPr>
              <w:jc w:val="right"/>
              <w:ind w:right="6"/>
              <w:spacing w:after="0" w:line="162" w:lineRule="exact"/>
              <w:rPr>
                <w:sz w:val="20"/>
                <w:szCs w:val="20"/>
                <w:color w:val="auto"/>
              </w:rPr>
            </w:pPr>
            <w:r>
              <w:rPr>
                <w:rFonts w:ascii="Arial" w:cs="Arial" w:eastAsia="Arial" w:hAnsi="Arial"/>
                <w:sz w:val="13"/>
                <w:szCs w:val="13"/>
                <w:color w:val="auto"/>
              </w:rPr>
              <w:t>765,625</w:t>
            </w:r>
            <w:r>
              <w:rPr>
                <w:rFonts w:ascii="Arial" w:cs="Arial" w:eastAsia="Arial" w:hAnsi="Arial"/>
                <w:sz w:val="18"/>
                <w:szCs w:val="18"/>
                <w:color w:val="auto"/>
                <w:vertAlign w:val="superscript"/>
              </w:rPr>
              <w:t>(9)</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459,375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3"/>
                <w:szCs w:val="13"/>
                <w:color w:val="auto"/>
              </w:rPr>
              <w:t>0.21</w:t>
            </w:r>
            <w:r>
              <w:rPr>
                <w:rFonts w:ascii="Arial" w:cs="Arial" w:eastAsia="Arial" w:hAnsi="Arial"/>
                <w:sz w:val="18"/>
                <w:szCs w:val="18"/>
                <w:color w:val="auto"/>
                <w:vertAlign w:val="superscript"/>
              </w:rPr>
              <w:t>(4)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6/6/2031</w:t>
            </w:r>
          </w:p>
        </w:tc>
        <w:tc>
          <w:tcPr>
            <w:tcW w:w="0" w:type="dxa"/>
            <w:vAlign w:val="bottom"/>
          </w:tcPr>
          <w:p>
            <w:pPr>
              <w:spacing w:after="0"/>
              <w:rPr>
                <w:sz w:val="1"/>
                <w:szCs w:val="1"/>
                <w:color w:val="auto"/>
              </w:rPr>
            </w:pPr>
          </w:p>
        </w:tc>
      </w:tr>
      <w:tr>
        <w:trPr>
          <w:trHeight w:val="288"/>
        </w:trPr>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6/13/2023</w:t>
            </w:r>
          </w:p>
        </w:tc>
        <w:tc>
          <w:tcPr>
            <w:tcW w:w="940" w:type="dxa"/>
            <w:vAlign w:val="bottom"/>
            <w:gridSpan w:val="2"/>
          </w:tcPr>
          <w:p>
            <w:pPr>
              <w:jc w:val="right"/>
              <w:ind w:right="6"/>
              <w:spacing w:after="0"/>
              <w:rPr>
                <w:sz w:val="20"/>
                <w:szCs w:val="20"/>
                <w:color w:val="auto"/>
              </w:rPr>
            </w:pPr>
            <w:r>
              <w:rPr>
                <w:rFonts w:ascii="Arial" w:cs="Arial" w:eastAsia="Arial" w:hAnsi="Arial"/>
                <w:sz w:val="14"/>
                <w:szCs w:val="14"/>
                <w:color w:val="auto"/>
              </w:rPr>
              <w:t>231,250</w:t>
            </w:r>
            <w:r>
              <w:rPr>
                <w:rFonts w:ascii="Arial" w:cs="Arial" w:eastAsia="Arial" w:hAnsi="Arial"/>
                <w:sz w:val="21"/>
                <w:szCs w:val="21"/>
                <w:color w:val="auto"/>
                <w:vertAlign w:val="superscript"/>
              </w:rPr>
              <w:t>(5)</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1,618,750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0.21</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6/12/2033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7" w:lineRule="exact"/>
        <w:rPr>
          <w:sz w:val="20"/>
          <w:szCs w:val="20"/>
          <w:color w:val="auto"/>
        </w:rPr>
      </w:pPr>
    </w:p>
    <w:p>
      <w:pPr>
        <w:ind w:left="540" w:right="140" w:hanging="424"/>
        <w:spacing w:after="0" w:line="25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awards are subject to potential acceleration of vesting in connection with a qualifying termination of employment following a change in control, as described in the subsection titled “Employment Arrangements with our Named Executive Officers” below.</w:t>
      </w:r>
    </w:p>
    <w:p>
      <w:pPr>
        <w:spacing w:after="0" w:line="1" w:lineRule="exact"/>
        <w:rPr>
          <w:rFonts w:ascii="Arial" w:cs="Arial" w:eastAsia="Arial" w:hAnsi="Arial"/>
          <w:sz w:val="14"/>
          <w:szCs w:val="14"/>
          <w:color w:val="auto"/>
        </w:rPr>
      </w:pPr>
    </w:p>
    <w:p>
      <w:pPr>
        <w:ind w:left="540" w:right="26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June 10, 2020, our board of directors granted Mr. Hornby an option to purchase 2,500,000 shares of our common stock under our 2018 Plan, which vests in 48 substantially equal monthly installments beginning on the first monthly anniversary of the vesting commencement date of June 10, 2020, subject to Mr. Hornby’s continuous service with us as of each such vesting date.</w:t>
      </w:r>
    </w:p>
    <w:p>
      <w:pPr>
        <w:spacing w:after="0" w:line="1" w:lineRule="exact"/>
        <w:rPr>
          <w:rFonts w:ascii="Arial" w:cs="Arial" w:eastAsia="Arial" w:hAnsi="Arial"/>
          <w:sz w:val="14"/>
          <w:szCs w:val="14"/>
          <w:color w:val="auto"/>
        </w:rPr>
      </w:pPr>
    </w:p>
    <w:p>
      <w:pPr>
        <w:ind w:left="540" w:right="34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June 7, 2021, our board of directors granted Mr. Hornby an option to purchase 5,000,000 shares of our common stock under our 2018 Plan, which vests in 48 substantially equal monthly installments beginning on the first monthly anniversary of the vesting commencement date of June 7, 2021, subject to Mr. Hornby’s continuous service with us as of each such vesting date.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exercise price of each of these options was repriced to $0.21 per share in June 2023.</w:t>
      </w:r>
    </w:p>
    <w:p>
      <w:pPr>
        <w:spacing w:after="0" w:line="1" w:lineRule="exact"/>
        <w:rPr>
          <w:rFonts w:ascii="Arial" w:cs="Arial" w:eastAsia="Arial" w:hAnsi="Arial"/>
          <w:sz w:val="14"/>
          <w:szCs w:val="14"/>
          <w:color w:val="auto"/>
        </w:rPr>
      </w:pPr>
    </w:p>
    <w:p>
      <w:pPr>
        <w:ind w:left="540" w:right="12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June 13, 2023, our board of directors granted to Mr. Hornby, Dr. Wagner, and Dr. Hassig options to purchase 9,190,000 shares, 1,850,000 shares, and 1,850,000 shares of our common stock, respectively, under our 2018 Plan. Each option vests in 48 substantially equal monthly installments beginning on the first monthly anniversary of the vesting commencement date of June 13, 2023, subject to the named executive officer’s continuous service with us as of each such vesting date.</w:t>
      </w:r>
    </w:p>
    <w:p>
      <w:pPr>
        <w:spacing w:after="0" w:line="1" w:lineRule="exact"/>
        <w:rPr>
          <w:rFonts w:ascii="Arial" w:cs="Arial" w:eastAsia="Arial" w:hAnsi="Arial"/>
          <w:sz w:val="14"/>
          <w:szCs w:val="14"/>
          <w:color w:val="auto"/>
        </w:rPr>
      </w:pPr>
    </w:p>
    <w:p>
      <w:pPr>
        <w:ind w:left="540" w:right="32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February 24, 2022, our board of directors granted Dr. Wagner an option to purchase 2,000,000 shares of our common stock under our 2018 Plan, with 25% of such shares vesting on the first anniversary of the vesting commencement date of February 22, 2022 and the remaining shares vesting in 36 substantially equal monthly installments thereafter, subject to Dr. Wagner’s continuous service with us as of each such vesting date.</w:t>
      </w:r>
    </w:p>
    <w:p>
      <w:pPr>
        <w:spacing w:after="0" w:line="1" w:lineRule="exact"/>
        <w:rPr>
          <w:rFonts w:ascii="Arial" w:cs="Arial" w:eastAsia="Arial" w:hAnsi="Arial"/>
          <w:sz w:val="14"/>
          <w:szCs w:val="14"/>
          <w:color w:val="auto"/>
        </w:rPr>
      </w:pPr>
    </w:p>
    <w:p>
      <w:pPr>
        <w:ind w:left="54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December 13, 2022, our board of directors granted Dr. Wagner an option to purchase 187,900 shares of our common stock under our 2018 Plan, which vests in 48 substantially equal monthly installments beginning on the first monthly anniversary of the vesting commencement date of December 13, 2022, subject to Dr. Wagner’s continuous service with us as of each such vesting date; provided none of the options were eligible to vest prior to the first anniversary of Dr. Wagner’s commencement of employment.</w:t>
      </w:r>
    </w:p>
    <w:p>
      <w:pPr>
        <w:spacing w:after="0" w:line="1" w:lineRule="exact"/>
        <w:rPr>
          <w:rFonts w:ascii="Arial" w:cs="Arial" w:eastAsia="Arial" w:hAnsi="Arial"/>
          <w:sz w:val="14"/>
          <w:szCs w:val="14"/>
          <w:color w:val="auto"/>
        </w:rPr>
      </w:pPr>
    </w:p>
    <w:p>
      <w:pPr>
        <w:ind w:left="540" w:right="160" w:hanging="424"/>
        <w:spacing w:after="0" w:line="24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December 2, 2020, our board of directors granted Dr. Hassig an option to purchase 200,000 shares of our common stock under our 2018 Plan, with 25% of such shares vesting on the first anniversary of the vesting commencement date of January 1, 2021, and the remaining shares vesting in 36 substantially equal monthly installments thereafter, subject to Dr. Hassig’s continuous service with us as of each such vesting date.</w:t>
      </w:r>
    </w:p>
    <w:p>
      <w:pPr>
        <w:spacing w:after="0" w:line="1" w:lineRule="exact"/>
        <w:rPr>
          <w:rFonts w:ascii="Arial" w:cs="Arial" w:eastAsia="Arial" w:hAnsi="Arial"/>
          <w:sz w:val="14"/>
          <w:szCs w:val="14"/>
          <w:color w:val="auto"/>
        </w:rPr>
      </w:pPr>
    </w:p>
    <w:p>
      <w:pPr>
        <w:ind w:left="540" w:right="380" w:hanging="424"/>
        <w:spacing w:after="0" w:line="252"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June 7, 2021, our board of directors granted Dr. Hassig an option to purchase 1,225,000 shares of our common stock under our 2018 Plan, which vests in 48 substantially equal monthly installments beginning on the first monthly anniversary of the vesting commencement date of June 7, 2021, subject to Dr. Hassig’s continuous service with us as of each such vesting date.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Executive Officers</w:t>
      </w:r>
    </w:p>
    <w:p>
      <w:pPr>
        <w:spacing w:after="0" w:line="21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We have entered into employment offer letters with each of our named executive officers which govern the terms of their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employment with us. Pursuant to their employment offer letters, Mr. Hornby, Dr. Wagner, and Dr. Hassig are each entitled to an annual</w:t>
      </w:r>
    </w:p>
    <w:p>
      <w:pPr>
        <w:ind w:left="120"/>
        <w:spacing w:after="0" w:line="234" w:lineRule="auto"/>
        <w:rPr>
          <w:sz w:val="20"/>
          <w:szCs w:val="20"/>
          <w:color w:val="auto"/>
        </w:rPr>
      </w:pPr>
      <w:r>
        <w:rPr>
          <w:rFonts w:ascii="Arial" w:cs="Arial" w:eastAsia="Arial" w:hAnsi="Arial"/>
          <w:sz w:val="18"/>
          <w:szCs w:val="18"/>
          <w:color w:val="auto"/>
        </w:rPr>
        <w:t>base salary of $434,000, $450,000, and $360,000, respectively (which base salaries were increased to $515,000, $482,144,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$431,600, respectively, effective as of January 1, 2024). In addition, in connection with their employment, Mr. Hornby, Dr. Wagner, and Dr.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Hassig are eligible to receive an annual bonus at a target amount of 45%, 35%, and 35%, respectively, of their base salaries actually paid</w:t>
      </w:r>
    </w:p>
    <w:p>
      <w:pPr>
        <w:ind w:left="120"/>
        <w:spacing w:after="0" w:line="234" w:lineRule="auto"/>
        <w:rPr>
          <w:sz w:val="20"/>
          <w:szCs w:val="20"/>
          <w:color w:val="auto"/>
        </w:rPr>
      </w:pPr>
      <w:r>
        <w:rPr>
          <w:rFonts w:ascii="Arial" w:cs="Arial" w:eastAsia="Arial" w:hAnsi="Arial"/>
          <w:sz w:val="18"/>
          <w:szCs w:val="18"/>
          <w:color w:val="auto"/>
        </w:rPr>
        <w:t>for the year to which such annual bonus relates based on the achievement of performance objectives as determined by our board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w:t>
      </w:r>
    </w:p>
    <w:p>
      <w:pPr>
        <w:spacing w:after="0" w:line="194"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Regardless of the manner in which our named executive officers’ employment terminates, they are entitled to receive amounts previously earned during their employment, including unpaid salary, reimbursement of expenses owed, and any continuation of benefits required by applicable law. In addition, our named executive officers are entitled to certain severance benefits under their employment offer letters, subject to their execution of a release of claims and compliance with post-termination obligations.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Zachary D. Hornby</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Mr. Hornby’s employment offer letter provides for severance benefits for certain terminations. Upon a termination without cause or a resignation for good reason outside of a change in control period (as such terms are defined below), Mr. Hornby is entitled to (i) a cash lump sum payment amount equal to 9 months of his base salary at the rate in effect immediately prior to the date of his termination of employment, and (ii) payment or reimbursement of the COBRA premiums for Mr. Hornby and his eligible dependents at the cost sharing levels in effect on the date of his termination of employment, or if COBRA is not available under our group health plan, a cash amount equal to such payments or reimbursements, for a period of 9 months from the date of Mr. Hornby’s termination of employment.</w:t>
      </w:r>
    </w:p>
    <w:p>
      <w:pPr>
        <w:spacing w:after="0" w:line="179" w:lineRule="exact"/>
        <w:rPr>
          <w:sz w:val="20"/>
          <w:szCs w:val="20"/>
          <w:color w:val="auto"/>
        </w:rPr>
      </w:pPr>
    </w:p>
    <w:p>
      <w:pPr>
        <w:ind w:left="120" w:right="140" w:firstLine="551"/>
        <w:spacing w:after="0" w:line="254" w:lineRule="auto"/>
        <w:rPr>
          <w:sz w:val="20"/>
          <w:szCs w:val="20"/>
          <w:color w:val="auto"/>
        </w:rPr>
      </w:pPr>
      <w:r>
        <w:rPr>
          <w:rFonts w:ascii="Arial" w:cs="Arial" w:eastAsia="Arial" w:hAnsi="Arial"/>
          <w:sz w:val="17"/>
          <w:szCs w:val="17"/>
          <w:color w:val="auto"/>
        </w:rPr>
        <w:t>Upon a termination without cause or a resignation for good reason within 12 months after a change in control (such period, the change in control period), Mr. Hornby is entitled to (i) a cash lump sum payment amount equal to 12 months of his base salary at the rate in effect immediately prior to the date of his termination of employment, (ii) a cash lump sum payment amount equal to his target annual bonus, (iii) accelerated vesting of all of his unvested stock awards, and (iv) payment or reimbursement of the COBRA premiums for</w:t>
      </w:r>
    </w:p>
    <w:p>
      <w:pPr>
        <w:jc w:val="both"/>
        <w:ind w:left="120" w:right="20"/>
        <w:spacing w:after="0" w:line="242" w:lineRule="auto"/>
        <w:rPr>
          <w:sz w:val="20"/>
          <w:szCs w:val="20"/>
          <w:color w:val="auto"/>
        </w:rPr>
      </w:pPr>
      <w:r>
        <w:rPr>
          <w:rFonts w:ascii="Arial" w:cs="Arial" w:eastAsia="Arial" w:hAnsi="Arial"/>
          <w:sz w:val="18"/>
          <w:szCs w:val="18"/>
          <w:color w:val="auto"/>
        </w:rPr>
        <w:t>Mr. Hornby and his eligible dependents at the cost sharing levels in effect on the date of his termination of employment, or if COBRA is not available under our group health plan, a cash amount equal to such payments or reimbursements, for a period of 12 months from the date of Mr. Hornby’s termination of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Mr. Hornby’s employment offer letter:</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“Cause” means any of the following: (i) his commission of an act of fraud, embezzlement, or dishonesty, or the commission of some other illegal act that has a demonstrable adverse impact on the company; (ii) his conviction of, or plea of “guilty” or “no contest” to, a felony or any crime involving fraud, dishonesty, or moral turpitude under the laws of the United States or any state thereof; (iii) any intentional, unauthorized use or disclosure of confidential information or trade secrets of the company or any successor or affiliate thereof; (iv) his gross negligence, insubordination or material violation of any duty of loyalty to the company or any successor or affiliate thereof, or any other demonstrable material misconduct; (v) his ongoing and repeated failure or refusal to perform or neglect of his duties as required by his employment offer letter or his ongoing and repeated failure or refusal to comply with</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instructions given to him by our board of directors, which failure, refusal, or neglect continues for 15 days following receipt of written notice from our board of directors stating with specificity the nature of such failure, refusal, or neglect; or (vi) his willful, material breach of any company policy or any material provision of his employment offer letter or any proprietary information and inventions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in control” means (i) a merger or consolidation of the company with or into any other corporation or other entity or person,</w:t>
      </w:r>
    </w:p>
    <w:p>
      <w:pPr>
        <w:spacing w:after="0" w:line="14" w:lineRule="exact"/>
        <w:rPr>
          <w:sz w:val="20"/>
          <w:szCs w:val="20"/>
          <w:color w:val="auto"/>
        </w:rPr>
      </w:pPr>
    </w:p>
    <w:p>
      <w:pPr>
        <w:ind w:left="120" w:right="20" w:hanging="4"/>
        <w:spacing w:after="0" w:line="248" w:lineRule="auto"/>
        <w:tabs>
          <w:tab w:leader="none" w:pos="37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sale, lease, exchange, or other transfer in one transaction or a series of related transactions of all or substantially all of the company’s assets, or (iii)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w:t>
      </w:r>
    </w:p>
    <w:p>
      <w:pPr>
        <w:spacing w:after="0" w:line="5" w:lineRule="exact"/>
        <w:rPr>
          <w:rFonts w:ascii="Arial" w:cs="Arial" w:eastAsia="Arial" w:hAnsi="Arial"/>
          <w:sz w:val="17"/>
          <w:szCs w:val="17"/>
          <w:color w:val="auto"/>
        </w:rPr>
      </w:pPr>
    </w:p>
    <w:p>
      <w:pPr>
        <w:ind w:left="120" w:right="120" w:hanging="4"/>
        <w:spacing w:after="0" w:line="242"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“Good reason” means any of the following without Mr. Hornby’s written consent: (i) a material diminution in his authority, duties, or responsibilities; (ii) a material diminution in his base compensation, unless such a reduction is imposed across-the-board to senior management of the company; (iii) a material change in the geographic location at which he must perform his duties; or (iv) any other action or inaction that constitutes a material breach by the company or any successor or affiliate of its obligations to him under his employment offer letter. Mr. Hornby must provide written notice to the company of the occurrence of any of the foregoing events or conditions without his written consent within 60 days of the occurrence of such event. The company or any successor or affiliate shall have a period of 30 days to cure such event or condition after receipt of written notice of such event. Any resignation for good reason must occur within 30 days following the expiration of the foregoing 30-day cure period.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Klaus Wagner and Chris Hassig</w:t>
      </w:r>
    </w:p>
    <w:p>
      <w:pPr>
        <w:spacing w:after="0" w:line="102" w:lineRule="exact"/>
        <w:rPr>
          <w:sz w:val="20"/>
          <w:szCs w:val="20"/>
          <w:color w:val="auto"/>
        </w:rPr>
      </w:pPr>
    </w:p>
    <w:p>
      <w:pPr>
        <w:ind w:left="120" w:right="100" w:firstLine="551"/>
        <w:spacing w:after="0" w:line="259" w:lineRule="auto"/>
        <w:rPr>
          <w:sz w:val="20"/>
          <w:szCs w:val="20"/>
          <w:color w:val="auto"/>
        </w:rPr>
      </w:pPr>
      <w:r>
        <w:rPr>
          <w:rFonts w:ascii="Arial" w:cs="Arial" w:eastAsia="Arial" w:hAnsi="Arial"/>
          <w:sz w:val="17"/>
          <w:szCs w:val="17"/>
          <w:color w:val="auto"/>
        </w:rPr>
        <w:t>Drs. Wagner and Hassig’s employment offer letters provide for severance benefits for certain terminations. Upon a termination without cause or a resignation for good reason outside of the change in control period (as such terms are defined below), each of Drs. Wagner and Hassig are entitled to (i) an amount equal to his base salary at the rate in effect immediately prior to the date of their termination of employment for 6 months, and (ii) payment or reimbursement of the COBRA premiums for him and his eligible dependents at the cost sharing levels in effect on the date of his termination of employment, or if COBRA is not available under our group health plan, a cash amount equal to such payments or reimbursements, for a period of 6 months from the date of his termination of employment.</w:t>
      </w:r>
    </w:p>
    <w:p>
      <w:pPr>
        <w:spacing w:after="0" w:line="165"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Upon a termination without cause or a resignation for good reason within the change in control period, each of Drs. Wagner and Hassig are entitled to (i) a cash lump sum payment amount equal to his base salary at the rate in effect immediately prior to the date of his termination of employment for 9 months, (ii) a cash lump sum payment amount equal to 75% of his target annual bonus, (iii) accelerated vesting of all of unvested stock awards, and (iv) payment or reimbursement of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COBRA premiums for him and his eligible dependents at the cost sharing levels in effect on the date of his termination of employment, or if COBRA is not available under our group health plan, a cash amount equal to such payments or reimbursements, for a period of 9 months from the date of his termination of employment.</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For purposes of Drs. Wagner and Hassig’s employment offer letters, the terms “cause,” “change in control” and “good reason” have substantially the same meanings as given to the terms in Mr. Hornby’s employment offer letter, as described above.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 and Welfare Benefits; Perquisites</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25% of the first 4% of eligible compensation deferred by our employees, not to exceed 1% of an employee’s eligible compensation. Our board of directors may elect to adopt qualified or nonqualified retirement plans in the future, if it determines that doing so is in our best interests.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212"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In connection with this offering, we intend to adopt a compensation recovery policy that is compliant with the Nasdaq Listing Rules, as required by the Dodd-Frank Act.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212"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Incentive Award Plan</w:t>
      </w:r>
    </w:p>
    <w:p>
      <w:pPr>
        <w:spacing w:after="0" w:line="10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Prior to this offering, we intend to adopt and ask our stockholders to approve the Boundless Bio, Inc. 2024 Incentive Award Plan (2024 Plan), which would become effective in connection with this offering. Under the 2024 Plan, we may grant cash and equity incentive awards to eligible service providers in order to attract, motivate, and retain the talent for which we compete. The material terms of the 2024 Plan, as it is currently contemplated, are summarized below. Our board of directors is still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process of developing, approving, and implementing the 2024 Plan and, accordingly, this summary is subject to change.</w:t>
      </w:r>
    </w:p>
    <w:p>
      <w:pPr>
        <w:spacing w:after="0" w:line="21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 xml:space="preserve">Eligibility and administration. </w:t>
      </w:r>
      <w:r>
        <w:rPr>
          <w:rFonts w:ascii="Arial" w:cs="Arial" w:eastAsia="Arial" w:hAnsi="Arial"/>
          <w:sz w:val="18"/>
          <w:szCs w:val="18"/>
          <w:color w:val="auto"/>
        </w:rPr>
        <w:t>Our employees, consultants, and directors, and employees and consultants of our subsidiaries,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the 2024 Plan. Following this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Limitation on awards and shares available. </w:t>
      </w:r>
      <w:r>
        <w:rPr>
          <w:rFonts w:ascii="Arial" w:cs="Arial" w:eastAsia="Arial" w:hAnsi="Arial"/>
          <w:sz w:val="18"/>
          <w:szCs w:val="18"/>
          <w:color w:val="auto"/>
        </w:rPr>
        <w:t>The number of shares initially available for issuance under awards granted pursuant to</w:t>
      </w:r>
    </w:p>
    <w:p>
      <w:pPr>
        <w:spacing w:after="0" w:line="14"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the 2024 Plan will be the sum of (i) shares, plus (ii) any shares of our common stock which, as of the effective date of the 2024 Plan, remain available for issuance under the 2018 Plan, plus (iii) any shares subject to outstanding awards under the 2018 Plan as of the effective date of the 2024 Plan that become available for issuance under the 2024 Plan thereafter in accordance with its terms. The number of shares initially available for issuance will be increased on January 1 of each calendar year beginning in 2025 and ending in</w:t>
      </w:r>
    </w:p>
    <w:p>
      <w:pPr>
        <w:ind w:left="120"/>
        <w:spacing w:after="0"/>
        <w:tabs>
          <w:tab w:leader="none" w:pos="4120" w:val="left"/>
        </w:tabs>
        <w:rPr>
          <w:sz w:val="20"/>
          <w:szCs w:val="20"/>
          <w:color w:val="auto"/>
        </w:rPr>
      </w:pPr>
      <w:r>
        <w:rPr>
          <w:rFonts w:ascii="Arial" w:cs="Arial" w:eastAsia="Arial" w:hAnsi="Arial"/>
          <w:sz w:val="18"/>
          <w:szCs w:val="18"/>
          <w:color w:val="auto"/>
        </w:rPr>
        <w:t>2034, by an amount equal to the lesser of (a)</w:t>
      </w:r>
      <w:r>
        <w:rPr>
          <w:sz w:val="20"/>
          <w:szCs w:val="20"/>
          <w:color w:val="auto"/>
        </w:rPr>
        <w:tab/>
      </w:r>
      <w:r>
        <w:rPr>
          <w:rFonts w:ascii="Arial" w:cs="Arial" w:eastAsia="Arial" w:hAnsi="Arial"/>
          <w:sz w:val="17"/>
          <w:szCs w:val="17"/>
          <w:color w:val="auto"/>
        </w:rPr>
        <w:t>% of the shares of common stock outstanding on the final day of the immediately</w:t>
      </w:r>
    </w:p>
    <w:p>
      <w:pPr>
        <w:ind w:left="120" w:right="140"/>
        <w:spacing w:after="0" w:line="242" w:lineRule="auto"/>
        <w:rPr>
          <w:sz w:val="20"/>
          <w:szCs w:val="20"/>
          <w:color w:val="auto"/>
        </w:rPr>
      </w:pPr>
      <w:r>
        <w:rPr>
          <w:rFonts w:ascii="Arial" w:cs="Arial" w:eastAsia="Arial" w:hAnsi="Arial"/>
          <w:sz w:val="18"/>
          <w:szCs w:val="18"/>
          <w:color w:val="auto"/>
        </w:rPr>
        <w:t>preceding calendar year and (b) such smaller number of shares as determined by our board of directors. No more than shares of common stock may be issued upon the exercise of incentive stock options under the 2024 Plan. Shares issued under the 2024 Plan may be authorized but unissued shares, shares purchased on the open market or treasury shares.</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an award under the 2024 Plan or the 2018 Plan expires, lapses, or is terminated, exchanged for, or settled in cash, surrendered, repurchased, cancelled without having been fully exercised, or forfeited, in any case, in a manner that results in us acquiring shares covered by the award at a price 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2024 Plan provides for the grant of stock options, including incentive stock options, or ISOs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 of the Code, and nonqualified stock options, or NSOs; restricted stock; dividend equivalents; restricted stock units, or RSUs; stock appreciation rights, or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86" w:lineRule="exact"/>
        <w:rPr>
          <w:sz w:val="20"/>
          <w:szCs w:val="20"/>
          <w:color w:val="auto"/>
        </w:rPr>
      </w:pPr>
    </w:p>
    <w:p>
      <w:pPr>
        <w:ind w:left="1320" w:right="140" w:hanging="327"/>
        <w:spacing w:after="0" w:line="271" w:lineRule="auto"/>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provide for the purchase of shares of our common stock in the future at an exercise price set</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ISOs, by contrast to NSOs, may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40"/>
        <w:spacing w:after="0"/>
        <w:rPr>
          <w:sz w:val="20"/>
          <w:szCs w:val="20"/>
          <w:color w:val="auto"/>
        </w:rPr>
      </w:pPr>
      <w:r>
        <w:rPr>
          <w:rFonts w:ascii="Arial" w:cs="Arial" w:eastAsia="Arial" w:hAnsi="Arial"/>
          <w:sz w:val="18"/>
          <w:szCs w:val="18"/>
          <w:color w:val="auto"/>
        </w:rPr>
        <w:t>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86" w:lineRule="exact"/>
        <w:rPr>
          <w:sz w:val="20"/>
          <w:szCs w:val="20"/>
          <w:color w:val="auto"/>
        </w:rPr>
      </w:pPr>
    </w:p>
    <w:p>
      <w:pPr>
        <w:ind w:left="1320" w:right="20" w:hanging="327"/>
        <w:spacing w:after="0" w:line="242" w:lineRule="auto"/>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SARs entitle their holder, upon exercise, to receive from us an amount equal to the appreciation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4" w:lineRule="exact"/>
        <w:rPr>
          <w:rFonts w:ascii="Arial" w:cs="Arial" w:eastAsia="Arial" w:hAnsi="Arial"/>
          <w:sz w:val="18"/>
          <w:szCs w:val="18"/>
          <w:color w:val="auto"/>
        </w:rPr>
      </w:pPr>
    </w:p>
    <w:p>
      <w:pPr>
        <w:ind w:left="1320" w:hanging="327"/>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RSUs. </w:t>
      </w:r>
      <w:r>
        <w:rPr>
          <w:rFonts w:ascii="Arial" w:cs="Arial" w:eastAsia="Arial" w:hAnsi="Arial"/>
          <w:sz w:val="18"/>
          <w:szCs w:val="18"/>
          <w:color w:val="auto"/>
        </w:rPr>
        <w:t>Restricted stock is an award of nontransferable shares of our common stock that remain</w:t>
      </w:r>
      <w:r>
        <w:rPr>
          <w:rFonts w:ascii="Arial" w:cs="Arial" w:eastAsia="Arial" w:hAnsi="Arial"/>
          <w:sz w:val="18"/>
          <w:szCs w:val="18"/>
          <w:i w:val="1"/>
          <w:iCs w:val="1"/>
          <w:color w:val="auto"/>
        </w:rPr>
        <w:t xml:space="preserve"> </w:t>
      </w:r>
      <w:r>
        <w:rPr>
          <w:rFonts w:ascii="Arial" w:cs="Arial" w:eastAsia="Arial" w:hAnsi="Arial"/>
          <w:sz w:val="18"/>
          <w:szCs w:val="18"/>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90" w:lineRule="exact"/>
        <w:rPr>
          <w:rFonts w:ascii="Arial" w:cs="Arial" w:eastAsia="Arial" w:hAnsi="Arial"/>
          <w:sz w:val="18"/>
          <w:szCs w:val="18"/>
          <w:color w:val="auto"/>
        </w:rPr>
      </w:pPr>
    </w:p>
    <w:p>
      <w:pPr>
        <w:ind w:left="1320" w:right="100" w:hanging="327"/>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cash-based awards. </w:t>
      </w:r>
      <w:r>
        <w:rPr>
          <w:rFonts w:ascii="Arial" w:cs="Arial" w:eastAsia="Arial" w:hAnsi="Arial"/>
          <w:sz w:val="18"/>
          <w:szCs w:val="18"/>
          <w:color w:val="auto"/>
        </w:rPr>
        <w:t>Other stock or cash-based awards are awards of cash, fully vested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90" w:lineRule="exact"/>
        <w:rPr>
          <w:rFonts w:ascii="Arial" w:cs="Arial" w:eastAsia="Arial" w:hAnsi="Arial"/>
          <w:sz w:val="18"/>
          <w:szCs w:val="18"/>
          <w:color w:val="auto"/>
        </w:rPr>
      </w:pPr>
    </w:p>
    <w:p>
      <w:pPr>
        <w:ind w:left="1320" w:right="440" w:hanging="327"/>
        <w:spacing w:after="0" w:line="266" w:lineRule="auto"/>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RSUs or other stock and cash-based awards may be accompanied by the right to receive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 value of dividends paid on shares of our common stock prior to the delivery of the underlying shares. Such dividend equivalents will be paid out only to the extent that any vesting conditions are subsequently satisfied, unless otherwise determined by the plan administrator. No dividend equivalents will be payable on stock options or SARs.</w:t>
      </w:r>
    </w:p>
    <w:p>
      <w:pPr>
        <w:spacing w:after="0" w:line="15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include any of the foregoing awards that are granted subject to vesting and/or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8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i w:val="1"/>
          <w:iCs w:val="1"/>
          <w:color w:val="auto"/>
        </w:rPr>
        <w:t>Director compensation</w:t>
      </w:r>
      <w:r>
        <w:rPr>
          <w:rFonts w:ascii="Arial" w:cs="Arial" w:eastAsia="Arial" w:hAnsi="Arial"/>
          <w:sz w:val="18"/>
          <w:szCs w:val="18"/>
          <w:color w:val="auto"/>
        </w:rPr>
        <w:t>. The 2024 Plan provides that the plan administrator may establish compensation for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subject to the 2024 Plan’s limitations. Prior to this offering, our stockholders will approve the initial terms of our non-employee director compensation program, which is described in the subsection titled “Non-Employee Director Compensation” below.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w:t>
      </w:r>
    </w:p>
    <w:p>
      <w:pPr>
        <w:spacing w:after="0" w:line="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a non-employee director during any calendar year may not exceed $ , increased to $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w:t>
      </w:r>
    </w:p>
    <w:p>
      <w:pPr>
        <w:spacing w:after="0" w:line="3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connection with certain transactions and events affecting our common stock, including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awards issued under the 2024 Plan will be subject to accelerated vesting such that 100% of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2024 Plan, a “change in control” means and includes each of the following:</w:t>
      </w:r>
    </w:p>
    <w:p>
      <w:pPr>
        <w:spacing w:after="0" w:line="117" w:lineRule="exact"/>
        <w:rPr>
          <w:sz w:val="20"/>
          <w:szCs w:val="20"/>
          <w:color w:val="auto"/>
        </w:rPr>
      </w:pPr>
    </w:p>
    <w:p>
      <w:pPr>
        <w:ind w:left="1320" w:hanging="327"/>
        <w:spacing w:after="0" w:line="242" w:lineRule="auto"/>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spacing w:after="0" w:line="84" w:lineRule="exact"/>
        <w:rPr>
          <w:rFonts w:ascii="Arial" w:cs="Arial" w:eastAsia="Arial" w:hAnsi="Arial"/>
          <w:sz w:val="18"/>
          <w:szCs w:val="18"/>
          <w:color w:val="auto"/>
        </w:rPr>
      </w:pPr>
    </w:p>
    <w:p>
      <w:pPr>
        <w:ind w:left="1320" w:hanging="327"/>
        <w:spacing w:after="0" w:line="242" w:lineRule="auto"/>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84" w:lineRule="exact"/>
        <w:rPr>
          <w:rFonts w:ascii="Arial" w:cs="Arial" w:eastAsia="Arial" w:hAnsi="Arial"/>
          <w:sz w:val="18"/>
          <w:szCs w:val="18"/>
          <w:color w:val="auto"/>
        </w:rPr>
      </w:pPr>
    </w:p>
    <w:p>
      <w:pPr>
        <w:ind w:left="1320" w:right="360" w:hanging="327"/>
        <w:spacing w:after="0" w:line="253" w:lineRule="auto"/>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consummation by us (whether directly or indirectly) of (i) a merger, consolidation, reorganization, or business combination or (ii) a sale or other disposition of all or substantially all of our assets in any single transaction or series of related transactions or (iii) the acquisition of assets or stock of another entity, in each case other than a transaction:</w:t>
      </w:r>
    </w:p>
    <w:p>
      <w:pPr>
        <w:spacing w:after="0" w:line="74" w:lineRule="exact"/>
        <w:rPr>
          <w:rFonts w:ascii="Arial" w:cs="Arial" w:eastAsia="Arial" w:hAnsi="Arial"/>
          <w:sz w:val="18"/>
          <w:szCs w:val="18"/>
          <w:color w:val="auto"/>
        </w:rPr>
      </w:pPr>
    </w:p>
    <w:p>
      <w:pPr>
        <w:ind w:left="1320" w:right="60" w:hanging="327"/>
        <w:spacing w:after="0" w:line="244" w:lineRule="auto"/>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spacing w:after="0" w:line="81" w:lineRule="exact"/>
        <w:rPr>
          <w:rFonts w:ascii="Arial" w:cs="Arial" w:eastAsia="Arial" w:hAnsi="Arial"/>
          <w:sz w:val="18"/>
          <w:szCs w:val="18"/>
          <w:color w:val="auto"/>
        </w:rPr>
      </w:pPr>
    </w:p>
    <w:p>
      <w:pPr>
        <w:ind w:left="1320" w:right="80" w:hanging="327"/>
        <w:spacing w:after="0" w:line="247" w:lineRule="auto"/>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i w:val="1"/>
          <w:iCs w:val="1"/>
          <w:color w:val="auto"/>
        </w:rPr>
        <w:t xml:space="preserve">Foreign participants, clawback provisions, transferability, and participant payments. </w:t>
      </w:r>
      <w:r>
        <w:rPr>
          <w:rFonts w:ascii="Arial" w:cs="Arial" w:eastAsia="Arial" w:hAnsi="Arial"/>
          <w:sz w:val="18"/>
          <w:szCs w:val="18"/>
          <w:color w:val="auto"/>
        </w:rPr>
        <w:t>With respect to foreign participants,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modify award terms, establish subplans and/or adjust other terms and conditions of awards, subject to the share limits described above. All awards will be subject to the provisions of any clawback policy implemented by our company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stock options under the 2024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suspend, or terminate the 2024 Plan at any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except in 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No award may be granted pursuant to the 2024 Plan after the tenth anniversary of the date on which our board of directors adopts the 2024 Plan.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and our stockholders have adopted and approved the 2018 Equity Incentive Plan.</w:t>
      </w:r>
    </w:p>
    <w:p>
      <w:pPr>
        <w:spacing w:after="0" w:line="212"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A total of 82,419,858 shares of our common stock are reserved for issuance under the 2018 Plan. As of December 31, 2023, 54,873,734 shares of our common stock were subject to outstanding awards granted under the 2018 Plan, and 16,792,538 shares of our common stock remained available for future issuance under the 2018 Plan.</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After the effective date of the 2024 Plan, no additional awards will be granted under the 2018 Plan. However, the 2018 Plan will continue to govern the terms and conditions of the outstanding awards granted under it. Shares of our common stock subject to awards granted under the 2018 Plan that expire, lapse or are terminated, exchanged for cash, surrendered, repurchased, or forfeited following the effective date of the 2018 Plan will be available for issuance under the 2024 Plan in accordance with its terms.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administers the 2018 Plan unless it delegates authority for administration of the plan.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the 2018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2018 Plan. The plan administrator is also authorized to establish, adopt, amend, or revise rules relating to administration of the 2018 Plan, subject to certain restrictions.</w:t>
      </w:r>
    </w:p>
    <w:p>
      <w:pPr>
        <w:spacing w:after="0" w:line="179"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under the 2018 Plan may be granted to individuals who are then our employees, consultants, and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and our subsidiaries. Only employees may be granted ISOs.</w:t>
      </w:r>
    </w:p>
    <w:p>
      <w:pPr>
        <w:spacing w:after="0" w:line="15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2018 Plan provides that our administrator may grant or issue stock options (including NSOs and ISOs),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RSUs, other stock-based awards, or any combination thereof.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w:t>
      </w:r>
    </w:p>
    <w:p>
      <w:pPr>
        <w:spacing w:after="0" w:line="176"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The plan administrator has broad discretion to equitably adjust the provisions of the 2018 Plan and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existing and future awards, including with respect to aggregate number and type of shares subject to the 2018 Plan and awards granted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pursuant to the 2018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or certain other unusual or nonrecurring events or transactions. In addition, in the event of certain non-reciprocal transactions with our stockholders, or an “equity restructuring,” the plan administrator will make equitable adjustments to the 2018 Plan and outstanding awards as it deems appropriate to reflect the equity restructuring.</w:t>
      </w:r>
    </w:p>
    <w:p>
      <w:pPr>
        <w:spacing w:after="0" w:line="18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event of a change of control where the acquirer does not assume awards granted under the 2018 Plan, awards issued under the 2018 Plan held by persons who have not experienced a termination of service will be subject to accelerated vesting such that 100% of the awards will become vested and exercisable or payable, as applicable, immediately prior to the change in control. Under the 2018 Plan, a change of control is generally defined as: (i) a merger or consolidation of our company with or into any other corporation or other entity or person; (ii) a sale, lease, exchange, or other transfer in one transaction or a series of related transactions of all or substantially all of our company’s assets; or (iii) any other transaction, including the sale by us of new shares of our capital stock or a transfer of existing shares of our capital stock, the result of which is that a third party that is not an affiliate of us or our stockholders (or a group of third parties not affiliated with us or our stockholders) immediately prior to such transaction acquires or holds capital stock representing a majority of our outstanding voting power immediately following such transaction; provided that the following events shall not constitute a “change in control” under the 2018 Plan: (a) a transaction (other than a sale of all or substantially all of our assets) in which the holders of our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(d) a reincorporation solely to change our jurisdiction; or (e) a transaction undertaken for the primary purpose of creating a holding company that will be owned in substantially the same proportion by the persons who held our securities immediately before such transaction.</w:t>
      </w:r>
    </w:p>
    <w:p>
      <w:pPr>
        <w:spacing w:after="0" w:line="186" w:lineRule="exact"/>
        <w:rPr>
          <w:sz w:val="20"/>
          <w:szCs w:val="20"/>
          <w:color w:val="auto"/>
        </w:rPr>
      </w:pPr>
    </w:p>
    <w:p>
      <w:pPr>
        <w:jc w:val="both"/>
        <w:ind w:left="120" w:right="140" w:firstLine="551"/>
        <w:spacing w:after="0" w:line="247"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terminate, amend, or modify the 2018 Plan. However,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amendment to the 2018 Plan must be obtained to the extent necessary and desirable to comply with any applicable law, regulation, or stock exchange rule, or for any amendment to the 2018 Plan that increases the number of shares available under the 2018 Plan.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Employee Stock Purchase Plan</w:t>
      </w:r>
    </w:p>
    <w:p>
      <w:pPr>
        <w:spacing w:after="0" w:line="10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Prior to this offering, we intend to adopt and ask our stockholders to approve the Boundless Bio, Inc. 2024 Employee Stock Purchase Plan (the ESPP), which would become effective in connection with this offering. The material terms of the ESPP, as it is currently contemplated, are summarized below. Our board of directors is still in the process of developing, approving, and implementing the ESPP and, accordingly, this summary is subject to change.</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ESPP is comprised of two distinct components in order to provide increased flexibility to grant options to purchase shares under 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located outside of the U.S. who do not benefit from favorable U.S. federal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69"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i w:val="1"/>
          <w:iCs w:val="1"/>
          <w:color w:val="auto"/>
        </w:rPr>
        <w:t xml:space="preserve">Shares available for awards; administration. </w:t>
      </w:r>
      <w:r>
        <w:rPr>
          <w:rFonts w:ascii="Arial" w:cs="Arial" w:eastAsia="Arial" w:hAnsi="Arial"/>
          <w:sz w:val="18"/>
          <w:szCs w:val="18"/>
          <w:color w:val="auto"/>
        </w:rPr>
        <w:t>A total of shares of our common stock will initially be reserved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ESPP. In addition, the number of shares available for issuance under the ESPP will be annually increased on January 1 of each</w:t>
      </w:r>
    </w:p>
    <w:p>
      <w:pPr>
        <w:ind w:left="120" w:right="260"/>
        <w:spacing w:after="0" w:line="234" w:lineRule="auto"/>
        <w:rPr>
          <w:sz w:val="20"/>
          <w:szCs w:val="20"/>
          <w:color w:val="auto"/>
        </w:rPr>
      </w:pPr>
      <w:r>
        <w:rPr>
          <w:rFonts w:ascii="Arial" w:cs="Arial" w:eastAsia="Arial" w:hAnsi="Arial"/>
          <w:sz w:val="18"/>
          <w:szCs w:val="18"/>
          <w:color w:val="auto"/>
        </w:rPr>
        <w:t>calendar year beginning in 2025 and ending in and including 2034, by an amount equal to the lesser of (i) % of the shares outstanding on the final day of the immediately preceding calendar year and (ii) such smaller number of shares as is determined by the</w:t>
      </w:r>
    </w:p>
    <w:p>
      <w:pPr>
        <w:spacing w:after="0" w:line="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plan administrator, provided that no more than shares of 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w:t>
      </w:r>
    </w:p>
    <w:p>
      <w:pPr>
        <w:spacing w:after="0" w:line="180"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expect that all of our employees will be eligible to participate in the ESPP. However, an employee may not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purchase stock under the ESPP if the employee, immediately after the grant, would own (directly or through attribution) stock possessing 5% or more of the total combined voting power or value of all classes of our stock.</w:t>
      </w:r>
    </w:p>
    <w:p>
      <w:pPr>
        <w:spacing w:after="0" w:line="16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 xml:space="preserve">Grant of rights. </w:t>
      </w:r>
      <w:r>
        <w:rPr>
          <w:rFonts w:ascii="Arial" w:cs="Arial" w:eastAsia="Arial" w:hAnsi="Arial"/>
          <w:sz w:val="18"/>
          <w:szCs w:val="18"/>
          <w:color w:val="auto"/>
        </w:rPr>
        <w:t>Stock will be offered under the ESPP during offering periods. The length of the offering periods under the ESPP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determined by the plan administrator and may be up to twenty-seven months long and may consist of one or more purchase periods. Employee payroll deductions will be used to purchase shares on each purchase date during an offering period. The purchase dates for each offering period will be the final trading day in each purchase period under an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80"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The ESPP permits participants to purchase common stock through payroll deductions of up to a specified percentage of their eligible compensation. The plan administrator will establish a maximum number of shares that may be purchased by a participant during any purchase period or offering period. In addition, no employee will be permitted to accrue the right to purchase stock under the Section 423 Component at a rate in excess of $ 25,000 worth of shares during any calendar year during which such a purchase right is outstanding (based on the fair market value per share of our common stock as of the first day of the offering period).</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common stock. The option will expire at the end of the applicable offering period and will be exercised on each applicable purchase date during an offering period to the extent of the payroll deductions accumulated during the applicable purchase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A participant may not transfer rights granted under the ESPP other than by will or the laws of descent and distribution, and such rights are generally exercisable only by the participant.</w:t>
      </w:r>
    </w:p>
    <w:p>
      <w:pPr>
        <w:spacing w:after="0" w:line="154"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In the event of certain non-reciprocal transactions or events affecting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make equitable adjustments to the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80"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7"/>
          <w:szCs w:val="17"/>
          <w:i w:val="1"/>
          <w:iCs w:val="1"/>
          <w:color w:val="auto"/>
        </w:rPr>
        <w:t xml:space="preserve">Plan amendment. </w:t>
      </w:r>
      <w:r>
        <w:rPr>
          <w:rFonts w:ascii="Arial" w:cs="Arial" w:eastAsia="Arial" w:hAnsi="Arial"/>
          <w:sz w:val="17"/>
          <w:szCs w:val="17"/>
          <w:color w:val="auto"/>
        </w:rPr>
        <w:t>The plan administrator may amend, suspend, or terminate the ESPP at any time. However, stockholder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obtained for any amendment that increases the aggregate number or changes the type of shares that may be sold pursuant to rights under the ESPP or changes the corporations or classes of corporations whose employees are eligible to participate in the ESPP.</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12"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We provide a $25,000 cash retainer, paid in quarterly installments, to certain directors for their service on our board. We also have a policy of reimbursing all of our non-employee directors for their reasonable out-of-pocket expenses in connection with attending board of directors and committee meetings.</w:t>
      </w:r>
    </w:p>
    <w:p>
      <w:pPr>
        <w:spacing w:after="0" w:line="169"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 addition, we also from time to time provide equity compensation to certain directors for their service on our board. On June 13, 2023, we granted to Dr. Lim, Dr. Cravatt, and Ms. Lew options to purchase 340,000, 440,000, and 190,000 shares of our common stock, respectively. The options have an exercise price of $0.21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June 13, 2023, subject to the director’s continuous service with us as of each such vesting date.</w:t>
      </w:r>
    </w:p>
    <w:p>
      <w:pPr>
        <w:spacing w:after="0" w:line="17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In addition, on June 13, 2023, we approved a repricing of outstanding stock options held by Dr. Lim, Dr. Cravatt, and Ms. Lew, whereby the exercise price per share of each outstanding stock option held by them was lowered to $0.21 (our fair market value per share on the date of the repricing as determined by our board of directors based on an independent third-party valuation).</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On October 2, 2023, we granted Drs. Christensen and Whiting each an option to purchase 540,000 shares of our common stock. The options have an exercise price of $0.23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October 1, 2023, subject to the director’s continuous service with us as of each such vesting date.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December 31, 2023 by each individual who served as a non-employee director during such fiscal year.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Fees Earned or</w:t>
            </w: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Paid in Cash</w:t>
            </w: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Compensation</w:t>
            </w:r>
          </w:p>
        </w:tc>
        <w:tc>
          <w:tcPr>
            <w:tcW w:w="6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780" w:type="dxa"/>
            <w:vAlign w:val="bottom"/>
            <w:gridSpan w:val="2"/>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40" w:type="dxa"/>
            <w:vAlign w:val="bottom"/>
          </w:tcPr>
          <w:p>
            <w:pPr>
              <w:jc w:val="center"/>
              <w:spacing w:after="0" w:line="175"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6"/>
        </w:trPr>
        <w:tc>
          <w:tcPr>
            <w:tcW w:w="6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Jonathan Lim, M.D.</w:t>
            </w:r>
            <w:r>
              <w:rPr>
                <w:rFonts w:ascii="Arial" w:cs="Arial" w:eastAsia="Arial" w:hAnsi="Arial"/>
                <w:sz w:val="22"/>
                <w:szCs w:val="22"/>
                <w:color w:val="auto"/>
                <w:vertAlign w:val="superscript"/>
              </w:rPr>
              <w:t>(2)</w:t>
            </w: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61,165</w:t>
            </w: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61,165</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Christine Brennan, Ph.D</w:t>
            </w: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Kristina Burow</w:t>
            </w:r>
          </w:p>
        </w:tc>
        <w:tc>
          <w:tcPr>
            <w:tcW w:w="136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James Christensen, Ph.D. </w:t>
            </w:r>
            <w:r>
              <w:rPr>
                <w:rFonts w:ascii="Arial" w:cs="Arial" w:eastAsia="Arial" w:hAnsi="Arial"/>
                <w:sz w:val="23"/>
                <w:szCs w:val="23"/>
                <w:color w:val="auto"/>
                <w:vertAlign w:val="superscript"/>
              </w:rPr>
              <w:t>(2)(3)</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6,250</w:t>
            </w:r>
          </w:p>
        </w:tc>
        <w:tc>
          <w:tcPr>
            <w:tcW w:w="320" w:type="dxa"/>
            <w:vAlign w:val="bottom"/>
          </w:tcPr>
          <w:p>
            <w:pPr>
              <w:spacing w:after="0"/>
              <w:rPr>
                <w:sz w:val="17"/>
                <w:szCs w:val="17"/>
                <w:color w:val="auto"/>
              </w:rPr>
            </w:pP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8"/>
              </w:rPr>
              <w:t>96,487</w:t>
            </w:r>
          </w:p>
        </w:tc>
        <w:tc>
          <w:tcPr>
            <w:tcW w:w="340" w:type="dxa"/>
            <w:vAlign w:val="bottom"/>
          </w:tcPr>
          <w:p>
            <w:pPr>
              <w:spacing w:after="0"/>
              <w:rPr>
                <w:sz w:val="17"/>
                <w:szCs w:val="17"/>
                <w:color w:val="auto"/>
              </w:rPr>
            </w:pPr>
          </w:p>
        </w:tc>
        <w:tc>
          <w:tcPr>
            <w:tcW w:w="134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102,737</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Ben Cravatt, Ph.D. </w:t>
            </w:r>
            <w:r>
              <w:rPr>
                <w:rFonts w:ascii="Arial" w:cs="Arial" w:eastAsia="Arial" w:hAnsi="Arial"/>
                <w:sz w:val="23"/>
                <w:szCs w:val="23"/>
                <w:color w:val="auto"/>
                <w:vertAlign w:val="superscript"/>
              </w:rPr>
              <w:t>(2)(4)</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18,750</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73,534</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92,284</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6"/>
                <w:szCs w:val="16"/>
                <w:color w:val="auto"/>
              </w:rPr>
              <w:t>Jennifer Lew</w:t>
            </w:r>
            <w:r>
              <w:rPr>
                <w:rFonts w:ascii="Arial" w:cs="Arial" w:eastAsia="Arial" w:hAnsi="Arial"/>
                <w:sz w:val="23"/>
                <w:szCs w:val="23"/>
                <w:color w:val="auto"/>
                <w:vertAlign w:val="superscript"/>
              </w:rPr>
              <w:t>(2)</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8"/>
              </w:rPr>
              <w:t>25,000</w:t>
            </w:r>
          </w:p>
        </w:tc>
        <w:tc>
          <w:tcPr>
            <w:tcW w:w="320" w:type="dxa"/>
            <w:vAlign w:val="bottom"/>
          </w:tcPr>
          <w:p>
            <w:pPr>
              <w:spacing w:after="0"/>
              <w:rPr>
                <w:sz w:val="17"/>
                <w:szCs w:val="17"/>
                <w:color w:val="auto"/>
              </w:rPr>
            </w:pP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8"/>
              </w:rPr>
              <w:t>41,549</w:t>
            </w:r>
          </w:p>
        </w:tc>
        <w:tc>
          <w:tcPr>
            <w:tcW w:w="340" w:type="dxa"/>
            <w:vAlign w:val="bottom"/>
          </w:tcPr>
          <w:p>
            <w:pPr>
              <w:spacing w:after="0"/>
              <w:rPr>
                <w:sz w:val="17"/>
                <w:szCs w:val="17"/>
                <w:color w:val="auto"/>
              </w:rPr>
            </w:pPr>
          </w:p>
        </w:tc>
        <w:tc>
          <w:tcPr>
            <w:tcW w:w="134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rPr>
              <w:t>66,549</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Jakob Loven, Ph.D. </w:t>
            </w:r>
            <w:r>
              <w:rPr>
                <w:rFonts w:ascii="Arial" w:cs="Arial" w:eastAsia="Arial" w:hAnsi="Arial"/>
                <w:sz w:val="23"/>
                <w:szCs w:val="23"/>
                <w:color w:val="auto"/>
                <w:vertAlign w:val="superscript"/>
              </w:rPr>
              <w:t>(5)</w:t>
            </w:r>
          </w:p>
        </w:tc>
        <w:tc>
          <w:tcPr>
            <w:tcW w:w="136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7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Fabio Pucci, Ph.D. </w:t>
            </w:r>
            <w:r>
              <w:rPr>
                <w:rFonts w:ascii="Arial" w:cs="Arial" w:eastAsia="Arial" w:hAnsi="Arial"/>
                <w:sz w:val="23"/>
                <w:szCs w:val="23"/>
                <w:color w:val="auto"/>
                <w:vertAlign w:val="superscript"/>
              </w:rPr>
              <w:t>(6)</w:t>
            </w: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Nancy Whiting, Pharm.D. </w:t>
            </w:r>
            <w:r>
              <w:rPr>
                <w:rFonts w:ascii="Arial" w:cs="Arial" w:eastAsia="Arial" w:hAnsi="Arial"/>
                <w:sz w:val="23"/>
                <w:szCs w:val="23"/>
                <w:color w:val="auto"/>
                <w:vertAlign w:val="superscript"/>
              </w:rPr>
              <w:t>(2)(3)</w:t>
            </w:r>
          </w:p>
        </w:tc>
        <w:tc>
          <w:tcPr>
            <w:tcW w:w="136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6,250</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96,487</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102,737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40" w:hanging="424"/>
        <w:spacing w:after="0" w:line="244"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of the stock options awarded to our non-employee directors during the fiscal year ending December 31, 2023, calculated in accordance with FASB ASC Topic 718. For Drs. Lim and Cravatt and Ms. Lew, the amounts reported in the “Option Awards” column also include the incremental fair value associated with the modification in 2023 of the exercise prices of the options granted to them in 2021 and 2022 in connection with our option repricing in June 2023 computed in accordance with FASB ASC Topic 718 as follows: Dr. Lim, $7,078, Dr. Cravatt, $3,539, and Ms. Lew, $11,323. The assumptions used in calculating the grant date fair value and incremental fair value of the awards reported in this column are set forth in the notes to our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of December 31, 2023, each of Drs. Lim, Cravatt, Christensen, and Whiting and Ms. Lew held options to purchase 540,000 shares of our common stock.</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Drs. Christensen and Whiting were appointed as directors commencing October 2, 2023.</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Cravatt ceased serving as a director in September 2023.</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spacing w:after="0" w:line="1" w:lineRule="exact"/>
        <w:rPr>
          <w:rFonts w:ascii="Arial" w:cs="Arial" w:eastAsia="Arial" w:hAnsi="Arial"/>
          <w:sz w:val="14"/>
          <w:szCs w:val="14"/>
          <w:color w:val="auto"/>
        </w:rPr>
      </w:pPr>
    </w:p>
    <w:p>
      <w:pPr>
        <w:ind w:left="540" w:right="640" w:hanging="424"/>
        <w:spacing w:after="0" w:line="264"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Pucci was appointed as a director commencing April 5, 2023. Dr. Pucci will resign from our board of directors immediately prior to the effectiveness of the registration statement of which this prospectus forms a part.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Post-IPO Director Compensation Program</w:t>
      </w:r>
    </w:p>
    <w:p>
      <w:pPr>
        <w:spacing w:after="0" w:line="10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In connection with this offering, we intend to adopt and ask our stockholders to approve the initial terms of our non-employee director compensation program. The material terms of the non-employee director compensation program, as it is currently contemplated, are summarized below.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non-employee director compensation program will provide for annual retainer fees and equity awards for our non-employee</w:t>
      </w:r>
    </w:p>
    <w:p>
      <w:pPr>
        <w:spacing w:after="0" w:line="14"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directors. We expect each non-employee director will receive an annual retainer of $ , with the non-employee director serving as chair of the board of directors or lead independent director receiving an additional annual retainer of $ . The non-employee</w:t>
      </w:r>
    </w:p>
    <w:p>
      <w:pPr>
        <w:ind w:left="120"/>
        <w:spacing w:after="0" w:line="236" w:lineRule="auto"/>
        <w:rPr>
          <w:sz w:val="20"/>
          <w:szCs w:val="20"/>
          <w:color w:val="auto"/>
        </w:rPr>
      </w:pPr>
      <w:r>
        <w:rPr>
          <w:rFonts w:ascii="Arial" w:cs="Arial" w:eastAsia="Arial" w:hAnsi="Arial"/>
          <w:sz w:val="18"/>
          <w:szCs w:val="18"/>
          <w:color w:val="auto"/>
        </w:rPr>
        <w:t>directors serving as the chairs of the audit, compensation, and nominating and corporate governance committees will receive additional</w:t>
      </w:r>
    </w:p>
    <w:p>
      <w:pPr>
        <w:ind w:left="120"/>
        <w:spacing w:after="0"/>
        <w:tabs>
          <w:tab w:leader="none" w:pos="2540" w:val="left"/>
          <w:tab w:leader="none" w:pos="3540" w:val="left"/>
          <w:tab w:leader="none" w:pos="4780" w:val="left"/>
        </w:tabs>
        <w:rPr>
          <w:sz w:val="20"/>
          <w:szCs w:val="20"/>
          <w:color w:val="auto"/>
        </w:rPr>
      </w:pPr>
      <w:r>
        <w:rPr>
          <w:rFonts w:ascii="Arial" w:cs="Arial" w:eastAsia="Arial" w:hAnsi="Arial"/>
          <w:sz w:val="18"/>
          <w:szCs w:val="18"/>
          <w:color w:val="auto"/>
        </w:rPr>
        <w:t>annual retainers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 respectively. Non-employee directors serving as members of the audit,</w:t>
      </w:r>
    </w:p>
    <w:p>
      <w:pPr>
        <w:ind w:left="120"/>
        <w:spacing w:after="0"/>
        <w:tabs>
          <w:tab w:leader="none" w:pos="9900" w:val="left"/>
        </w:tabs>
        <w:rPr>
          <w:sz w:val="20"/>
          <w:szCs w:val="20"/>
          <w:color w:val="auto"/>
        </w:rPr>
      </w:pPr>
      <w:r>
        <w:rPr>
          <w:rFonts w:ascii="Arial" w:cs="Arial" w:eastAsia="Arial" w:hAnsi="Arial"/>
          <w:sz w:val="18"/>
          <w:szCs w:val="18"/>
          <w:color w:val="auto"/>
        </w:rPr>
        <w:t>compensation, and nominating and corporate governance committees will receive additional annual retainers of $</w:t>
      </w:r>
      <w:r>
        <w:rPr>
          <w:sz w:val="20"/>
          <w:szCs w:val="20"/>
          <w:color w:val="auto"/>
        </w:rPr>
        <w:tab/>
      </w:r>
      <w:r>
        <w:rPr>
          <w:rFonts w:ascii="Arial" w:cs="Arial" w:eastAsia="Arial" w:hAnsi="Arial"/>
          <w:sz w:val="17"/>
          <w:szCs w:val="17"/>
          <w:color w:val="auto"/>
        </w:rPr>
        <w:t>, $</w:t>
      </w:r>
    </w:p>
    <w:p>
      <w:pPr>
        <w:ind w:left="120"/>
        <w:spacing w:after="0"/>
        <w:tabs>
          <w:tab w:leader="none" w:pos="1340" w:val="left"/>
        </w:tabs>
        <w:rPr>
          <w:sz w:val="20"/>
          <w:szCs w:val="20"/>
          <w:color w:val="auto"/>
        </w:rPr>
      </w:pP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 respectively. Non-employee directors commencing service following this offering will also receive initial grants of options</w:t>
      </w:r>
    </w:p>
    <w:p>
      <w:pPr>
        <w:ind w:left="120"/>
        <w:spacing w:after="0" w:line="235" w:lineRule="auto"/>
        <w:tabs>
          <w:tab w:leader="none" w:pos="1880" w:val="left"/>
        </w:tabs>
        <w:rPr>
          <w:sz w:val="20"/>
          <w:szCs w:val="20"/>
          <w:color w:val="auto"/>
        </w:rPr>
      </w:pPr>
      <w:r>
        <w:rPr>
          <w:rFonts w:ascii="Arial" w:cs="Arial" w:eastAsia="Arial" w:hAnsi="Arial"/>
          <w:sz w:val="18"/>
          <w:szCs w:val="18"/>
          <w:color w:val="auto"/>
        </w:rPr>
        <w:t>to purchase</w:t>
      </w:r>
      <w:r>
        <w:rPr>
          <w:sz w:val="20"/>
          <w:szCs w:val="20"/>
          <w:color w:val="auto"/>
        </w:rPr>
        <w:tab/>
      </w:r>
      <w:r>
        <w:rPr>
          <w:rFonts w:ascii="Arial" w:cs="Arial" w:eastAsia="Arial" w:hAnsi="Arial"/>
          <w:sz w:val="18"/>
          <w:szCs w:val="18"/>
          <w:color w:val="auto"/>
        </w:rPr>
        <w:t>shares of our common stock, vesting in substantially equal monthly installments over three years following the date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initial election or appointment to the board of directors. Each year on the date of each annual meeting, each non-employee director will</w:t>
      </w:r>
    </w:p>
    <w:p>
      <w:pPr>
        <w:spacing w:after="0" w:line="39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receive an annual grant of options to purchase shares of our common stock, vesting in substantially equal monthly installments over the 12 months following the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 or upon a non-employee director’s death or disability.</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Compensation under our non-employee director compensation program will be subject to the annual limits on non-employee director compensation set forth in the 2024 Plan, as described above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2024 Plan, our board of directors or its authorized committee may make exceptions to this limit for individual non-employee directors as the board of directors or its authorized committee may determine in its discretion.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1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74" w:lineRule="exact"/>
        <w:rPr>
          <w:sz w:val="20"/>
          <w:szCs w:val="20"/>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or</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76"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7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above description of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5" w:right="5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12" w:lineRule="exact"/>
        <w:rPr>
          <w:sz w:val="20"/>
          <w:szCs w:val="20"/>
          <w:color w:val="auto"/>
        </w:rPr>
      </w:pPr>
    </w:p>
    <w:p>
      <w:pPr>
        <w:ind w:left="120" w:right="40" w:firstLine="551"/>
        <w:spacing w:after="0" w:line="259" w:lineRule="auto"/>
        <w:rPr>
          <w:sz w:val="20"/>
          <w:szCs w:val="20"/>
          <w:color w:val="auto"/>
        </w:rPr>
      </w:pPr>
      <w:r>
        <w:rPr>
          <w:rFonts w:ascii="Arial" w:cs="Arial" w:eastAsia="Arial" w:hAnsi="Arial"/>
          <w:sz w:val="17"/>
          <w:szCs w:val="17"/>
          <w:color w:val="auto"/>
        </w:rPr>
        <w:t>The following includes a summary of transactions since January 1, 2021 to which we have been a party in which the amount involved exceeded or will exceed the lesser of $120,000 and one percent of the average of our total assets as of December 31, 2022 and 2023,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212"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i w:val="1"/>
          <w:iCs w:val="1"/>
          <w:color w:val="auto"/>
        </w:rPr>
        <w:t xml:space="preserve">Series A Convertible Preferred Stock Financings. </w:t>
      </w:r>
      <w:r>
        <w:rPr>
          <w:rFonts w:ascii="Arial" w:cs="Arial" w:eastAsia="Arial" w:hAnsi="Arial"/>
          <w:sz w:val="18"/>
          <w:szCs w:val="18"/>
          <w:color w:val="auto"/>
        </w:rPr>
        <w:t>In July 2020, we sold to investors in private placements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33,189,295 shares of Series A convertible preferred stock, pursuant to a Series A preferred stock purchase agreement originally entered into in August 2018, as amended in June 2019, to provide for additional closings. The per share purchase price was $0.70, and we received gross proceeds of approximately $23.2 million. In previous closings in August 2018 and June 2019, we sold to investors, in private placements, an aggregate of 33,189,295 shares of Series A convertible preferred stock at the same per share purchase price for additional gross proceeds of $23.2 million.</w:t>
      </w:r>
    </w:p>
    <w:p>
      <w:pPr>
        <w:spacing w:after="0" w:line="17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i w:val="1"/>
          <w:iCs w:val="1"/>
          <w:color w:val="auto"/>
        </w:rPr>
        <w:t xml:space="preserve">Series B Convertible Preferred Stock Financings. </w:t>
      </w:r>
      <w:r>
        <w:rPr>
          <w:rFonts w:ascii="Arial" w:cs="Arial" w:eastAsia="Arial" w:hAnsi="Arial"/>
          <w:sz w:val="18"/>
          <w:szCs w:val="18"/>
          <w:color w:val="auto"/>
        </w:rPr>
        <w:t>In April 2021, we entered into a Series B preferred stock purchase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sold to investors, in private placements, an aggregate of 78,211,116 shares of Series B convertible preferred stock. The per share purchase price was $1.35, and we received gross proceeds of approximately $105.6 million.</w:t>
      </w:r>
    </w:p>
    <w:p>
      <w:pPr>
        <w:spacing w:after="0" w:line="169" w:lineRule="exact"/>
        <w:rPr>
          <w:sz w:val="20"/>
          <w:szCs w:val="20"/>
          <w:color w:val="auto"/>
        </w:rPr>
      </w:pPr>
    </w:p>
    <w:p>
      <w:pPr>
        <w:ind w:left="120" w:right="280" w:firstLine="551"/>
        <w:spacing w:after="0" w:line="275" w:lineRule="auto"/>
        <w:rPr>
          <w:sz w:val="20"/>
          <w:szCs w:val="20"/>
          <w:color w:val="auto"/>
        </w:rPr>
      </w:pPr>
      <w:r>
        <w:rPr>
          <w:rFonts w:ascii="Arial" w:cs="Arial" w:eastAsia="Arial" w:hAnsi="Arial"/>
          <w:sz w:val="17"/>
          <w:szCs w:val="17"/>
          <w:i w:val="1"/>
          <w:iCs w:val="1"/>
          <w:color w:val="auto"/>
        </w:rPr>
        <w:t xml:space="preserve">Series C Convertible Preferred Stock Financings. </w:t>
      </w:r>
      <w:r>
        <w:rPr>
          <w:rFonts w:ascii="Arial" w:cs="Arial" w:eastAsia="Arial" w:hAnsi="Arial"/>
          <w:sz w:val="17"/>
          <w:szCs w:val="17"/>
          <w:color w:val="auto"/>
        </w:rPr>
        <w:t>In April 2023, we entered into a Series C preferred stock purchase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in April and May 2023 we sold to investors, in private placements, an aggregate of 142,857,138 shares of Series C convertible preferred stock. The per share purchase price was $0.70, and we received gross proceeds of approximately $100.0 million.</w:t>
      </w:r>
    </w:p>
    <w:p>
      <w:pPr>
        <w:spacing w:after="0" w:line="152"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The following table sets forth the aggregate number of shares acquired by the listed directors, executive officers, or holders of more than 5% of our capital stock, or their affiliates. Each outstanding share of convertible preferred stock, including the shares identified in the table below, will convert into shares of common stock at a ratio of one-for-one immediately prior to the closing of this offering.</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Series A</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Series B</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C</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62"/>
        </w:trPr>
        <w:tc>
          <w:tcPr>
            <w:tcW w:w="7160" w:type="dxa"/>
            <w:vAlign w:val="bottom"/>
            <w:gridSpan w:val="2"/>
            <w:vMerge w:val="restart"/>
          </w:tcPr>
          <w:p>
            <w:pPr>
              <w:ind w:left="3100"/>
              <w:spacing w:after="0"/>
              <w:rPr>
                <w:sz w:val="20"/>
                <w:szCs w:val="20"/>
                <w:color w:val="auto"/>
              </w:rPr>
            </w:pPr>
            <w:r>
              <w:rPr>
                <w:rFonts w:ascii="Arial" w:cs="Arial" w:eastAsia="Arial" w:hAnsi="Arial"/>
                <w:sz w:val="14"/>
                <w:szCs w:val="14"/>
                <w:b w:val="1"/>
                <w:bCs w:val="1"/>
                <w:color w:val="auto"/>
              </w:rPr>
              <w:t>Participants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96"/>
        </w:trPr>
        <w:tc>
          <w:tcPr>
            <w:tcW w:w="7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b w:val="1"/>
                <w:bCs w:val="1"/>
                <w:color w:val="auto"/>
              </w:rPr>
              <w:t>5% or Greater Stockholders</w:t>
            </w:r>
            <w:r>
              <w:rPr>
                <w:rFonts w:ascii="Arial" w:cs="Arial" w:eastAsia="Arial" w:hAnsi="Arial"/>
                <w:sz w:val="22"/>
                <w:szCs w:val="22"/>
                <w:b w:val="1"/>
                <w:bCs w:val="1"/>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ARCH Venture Partners</w:t>
            </w:r>
            <w:r>
              <w:rPr>
                <w:rFonts w:ascii="Arial" w:cs="Arial" w:eastAsia="Arial" w:hAnsi="Arial"/>
                <w:sz w:val="23"/>
                <w:szCs w:val="23"/>
                <w:color w:val="auto"/>
                <w:vertAlign w:val="superscript"/>
              </w:rPr>
              <w:t>(2)</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28,571,428</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4,444,445</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14,285,713</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Fidelity</w:t>
            </w:r>
            <w:r>
              <w:rPr>
                <w:rFonts w:ascii="Arial" w:cs="Arial" w:eastAsia="Arial" w:hAnsi="Arial"/>
                <w:sz w:val="23"/>
                <w:szCs w:val="23"/>
                <w:color w:val="auto"/>
                <w:vertAlign w:val="superscript"/>
              </w:rPr>
              <w:t>(3)</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14,814,815</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31,285,714</w:t>
            </w:r>
          </w:p>
        </w:tc>
        <w:tc>
          <w:tcPr>
            <w:tcW w:w="0" w:type="dxa"/>
            <w:vAlign w:val="bottom"/>
          </w:tcPr>
          <w:p>
            <w:pPr>
              <w:spacing w:after="0"/>
              <w:rPr>
                <w:sz w:val="1"/>
                <w:szCs w:val="1"/>
                <w:color w:val="auto"/>
              </w:rPr>
            </w:pPr>
          </w:p>
        </w:tc>
      </w:tr>
      <w:tr>
        <w:trPr>
          <w:trHeight w:val="202"/>
        </w:trPr>
        <w:tc>
          <w:tcPr>
            <w:tcW w:w="716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RA Capital Management, L.P.</w:t>
            </w:r>
            <w:r>
              <w:rPr>
                <w:rFonts w:ascii="Arial" w:cs="Arial" w:eastAsia="Arial" w:hAnsi="Arial"/>
                <w:sz w:val="23"/>
                <w:szCs w:val="23"/>
                <w:color w:val="auto"/>
                <w:vertAlign w:val="superscript"/>
              </w:rPr>
              <w:t>(4)</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20,000,000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16,428,571</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Bayer HealthCare LLC</w:t>
            </w:r>
            <w:r>
              <w:rPr>
                <w:rFonts w:ascii="Arial" w:cs="Arial" w:eastAsia="Arial" w:hAnsi="Arial"/>
                <w:sz w:val="23"/>
                <w:szCs w:val="23"/>
                <w:color w:val="auto"/>
                <w:vertAlign w:val="superscript"/>
              </w:rPr>
              <w:t>(5)</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28,571,428</w:t>
            </w: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Nextech VI Oncology SCSp</w:t>
            </w:r>
            <w:r>
              <w:rPr>
                <w:rFonts w:ascii="Arial" w:cs="Arial" w:eastAsia="Arial" w:hAnsi="Arial"/>
                <w:sz w:val="23"/>
                <w:szCs w:val="23"/>
                <w:color w:val="auto"/>
                <w:vertAlign w:val="superscript"/>
              </w:rPr>
              <w:t>(6)</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14,814,815</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8,157,544</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Vertex Global HC Fund II Pte. Ltd</w:t>
            </w:r>
            <w:r>
              <w:rPr>
                <w:rFonts w:ascii="Arial" w:cs="Arial" w:eastAsia="Arial" w:hAnsi="Arial"/>
                <w:sz w:val="23"/>
                <w:szCs w:val="23"/>
                <w:color w:val="auto"/>
                <w:vertAlign w:val="superscript"/>
              </w:rPr>
              <w:t>(7)</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10,000,000</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1,851,852</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6,526,035</w:t>
            </w: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Officers and Directors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Jonathan E. Lim, M.D.</w:t>
            </w:r>
            <w:r>
              <w:rPr>
                <w:rFonts w:ascii="Arial" w:cs="Arial" w:eastAsia="Arial" w:hAnsi="Arial"/>
                <w:sz w:val="23"/>
                <w:szCs w:val="23"/>
                <w:color w:val="auto"/>
                <w:vertAlign w:val="superscript"/>
              </w:rPr>
              <w:t>(8)</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10,000,000</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the section titled “Principal Stockholders.”</w:t>
      </w:r>
    </w:p>
    <w:p>
      <w:pPr>
        <w:spacing w:after="0" w:line="15" w:lineRule="exact"/>
        <w:rPr>
          <w:rFonts w:ascii="Arial" w:cs="Arial" w:eastAsia="Arial" w:hAnsi="Arial"/>
          <w:sz w:val="14"/>
          <w:szCs w:val="14"/>
          <w:color w:val="auto"/>
        </w:rPr>
      </w:pPr>
    </w:p>
    <w:p>
      <w:pPr>
        <w:ind w:left="540" w:right="580" w:hanging="424"/>
        <w:spacing w:after="0" w:line="264"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shares acquired by ARCH Venture Fund IX, L.P., ARCH Venture Fund IX Overage, L.P., and ARCH Venture Fund X Overage, L.P. Ms. Burow is a Managing Director of ARCH Venture Partners and a member of our board of directors.</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Dr. Lim, our Chairman and Co-founder, and Ms. Rubin, our Chief Financial Officer, are Venture Partners of ARCH Venture Partners.</w:t>
      </w:r>
    </w:p>
    <w:p>
      <w:pPr>
        <w:spacing w:after="0" w:line="1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shares acquired by Fidelity Advisor Series VII: Fidelity Advisor Biotechnology Fund, Fidelity Capital Trust: Fidelity Flex Small Cap Fund – Small Cap</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Growth Subportfolio, Fidelity Growth Company Commingled Pool, Fidelity Mt. Vernon Street Trust: Fidelity Series Growth Company Fund, Fidelity Securities Fund:</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Fidelity Small Cap Growth Fund, Fidelity Mt. Vernon Street Trust : Fidelity Growth Company K6 Fund, Fidelity Mt. Vernon Street Trust: Fidelity Growth Company Fund,</w:t>
      </w:r>
    </w:p>
    <w:p>
      <w:pPr>
        <w:spacing w:after="0" w:line="1" w:lineRule="exact"/>
        <w:rPr>
          <w:rFonts w:ascii="Arial" w:cs="Arial" w:eastAsia="Arial" w:hAnsi="Arial"/>
          <w:sz w:val="14"/>
          <w:szCs w:val="14"/>
          <w:color w:val="auto"/>
        </w:rPr>
      </w:pPr>
    </w:p>
    <w:p>
      <w:pPr>
        <w:ind w:left="540"/>
        <w:spacing w:after="0" w:line="241" w:lineRule="auto"/>
        <w:rPr>
          <w:rFonts w:ascii="Arial" w:cs="Arial" w:eastAsia="Arial" w:hAnsi="Arial"/>
          <w:sz w:val="14"/>
          <w:szCs w:val="14"/>
          <w:color w:val="auto"/>
        </w:rPr>
      </w:pPr>
      <w:r>
        <w:rPr>
          <w:rFonts w:ascii="Arial" w:cs="Arial" w:eastAsia="Arial" w:hAnsi="Arial"/>
          <w:sz w:val="14"/>
          <w:szCs w:val="14"/>
          <w:color w:val="auto"/>
        </w:rPr>
        <w:t>Fidelity Securities Fund: Fidelity Small Cap Growth K6 Fund, Fidelity Capital Trust: Fidelity Stock Selector Small Cap Fund and Fidelity Securities Fund: Fidelity Series Small Cap Opportunities Fund.</w:t>
      </w:r>
    </w:p>
    <w:p>
      <w:pPr>
        <w:ind w:left="540" w:hanging="424"/>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shares acquired by RA Capital Healthcare Fund, L.P. and RA Capital Nexus Fund II, L.P.</w:t>
      </w:r>
    </w:p>
    <w:p>
      <w:pPr>
        <w:spacing w:after="0" w:line="1" w:lineRule="exact"/>
        <w:rPr>
          <w:rFonts w:ascii="Arial" w:cs="Arial" w:eastAsia="Arial" w:hAnsi="Arial"/>
          <w:sz w:val="14"/>
          <w:szCs w:val="14"/>
          <w:color w:val="auto"/>
        </w:rPr>
      </w:pPr>
    </w:p>
    <w:p>
      <w:pPr>
        <w:ind w:left="540" w:right="200" w:hanging="424"/>
        <w:spacing w:after="0" w:line="24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Pucci is Senior Director, Venture Investments at Leaps by Bayer HealthCare LLC and a member of our board of directors. Dr. Pucci will resign from our board of directors immediately prior to the effectiveness of the registration statement of which this prospectus forms a part.</w:t>
      </w:r>
    </w:p>
    <w:p>
      <w:pPr>
        <w:ind w:left="540" w:right="20" w:hanging="424"/>
        <w:spacing w:after="0" w:line="24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shares acquired by Nextech VI GP S.à r.l. Nextech VI Oncology SCSp is an affiliate of Nextech Invest Ltd. Dr. Loven is a Managing Partner of Nextech Invest Ltd. and a member of our board of directors. Dr. Loven will resign from our board of directors immediately prior to the effectiveness of the registration statement of which this prospectus forms a part.</w:t>
      </w:r>
    </w:p>
    <w:p>
      <w:pPr>
        <w:spacing w:after="0" w:line="1" w:lineRule="exact"/>
        <w:rPr>
          <w:rFonts w:ascii="Arial" w:cs="Arial" w:eastAsia="Arial" w:hAnsi="Arial"/>
          <w:sz w:val="14"/>
          <w:szCs w:val="14"/>
          <w:color w:val="auto"/>
        </w:rPr>
      </w:pPr>
    </w:p>
    <w:p>
      <w:pPr>
        <w:ind w:left="540" w:right="360" w:hanging="424"/>
        <w:spacing w:after="0" w:line="24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Vertex Global HC Fund II Pte. Ltd. is an affiliate of Vertex Ventures HC. Dr. Brennan is a Managing Director of Vertex Ventures HC and a member of our board of directors.</w:t>
      </w:r>
    </w:p>
    <w:p>
      <w:pPr>
        <w:ind w:left="540" w:hanging="424"/>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shares acquired by City Hill, LLC. Dr. Lim is the Managing Partner of City Hill, LLC and our Chairman and Co-founder.</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1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entered into an investors’ rights agreement in August 2018, as last amended and restated in April 2023 (the Investors’ Rights Agreement), with the holders of our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four years after the closing of this offering. See the section titled “Description of Capital Stock—Registration Rights” for more information regarding these registration rights.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entered into a voting agreement in August 2018, as last amended and restated in April 2023 (the Voting Agreement), with the holders of our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Christine Brennan, Ph.D., Kristina Burow, Jamie Christensen, Ph.D., Zachary D. Hornby, Jennifer Lew, Jonathan Lim, M.D., Jakob Loven, Ph.D., Fabio Pucci, and Nancy Whiting, Pharm.D. Pursuant to the Voting Agreement, Mr. Hornby, as our Chief Executive Officer, serves on our board of directors as the CEO director. Mr. Hornby was initially selected to serve on our board of directors as representative of the holders of our common stock, Dr. Brennan and Ms. Burow were initially selected to serve on our board of directors as representatives of the holders of our Series A convertible preferred stock, Dr. Loven was initially selected to serve on our board of directors as a representative of the holders of our Series B convertible preferred stock, and Mr. Pucci was initially selected to serve on our board of directors as a representative of the holders of our Series C convertible preferred stock.</w:t>
      </w:r>
    </w:p>
    <w:p>
      <w:pPr>
        <w:spacing w:after="0" w:line="186" w:lineRule="exact"/>
        <w:rPr>
          <w:sz w:val="20"/>
          <w:szCs w:val="20"/>
          <w:color w:val="auto"/>
        </w:rPr>
      </w:pPr>
    </w:p>
    <w:p>
      <w:pPr>
        <w:ind w:left="120" w:right="380" w:firstLine="551"/>
        <w:spacing w:after="0" w:line="253" w:lineRule="auto"/>
        <w:rPr>
          <w:sz w:val="20"/>
          <w:szCs w:val="20"/>
          <w:color w:val="auto"/>
        </w:rPr>
      </w:pPr>
      <w:r>
        <w:rPr>
          <w:rFonts w:ascii="Arial" w:cs="Arial" w:eastAsia="Arial" w:hAnsi="Arial"/>
          <w:sz w:val="18"/>
          <w:szCs w:val="18"/>
          <w:color w:val="auto"/>
        </w:rPr>
        <w:t>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composition of our board of directors after this offering is described in more detail in the section titled “Management—-Board Composition and Election of Directors.”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Refusal and Co-Sale Agreement</w:t>
      </w:r>
    </w:p>
    <w:p>
      <w:pPr>
        <w:spacing w:after="0" w:line="21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entered into a right of first refusal and co-sale agreement in August 2018, as last amended and restated in April 2023 (the ROFR Agreement), with holders of our common stock affiliated with our executive officers, which entities are referred to in the ROFR Agreement as key holders, and certain other holders of convertible preferred stock, including the holders of more than 5% of our capital stock listed above. Pursuant to the ROFR Agreement, we have a right of first refusal on certain transfers of our shares by the key holders, holders of our convertible preferred stock have a secondary right of first refusal on such transfers, and such convertible preferred stockholders have a right of co-sale in respect of such transfers. The ROFR Agreement will terminate upon the closing of this offering.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21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76"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board of directors will adopt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PRINCIPAL STOCKHOLDERS</w:t>
      </w:r>
    </w:p>
    <w:p>
      <w:pPr>
        <w:spacing w:after="0" w:line="212"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31, 2023, and as adjusted to reflect the sale of shares of common stock in this offering, by:</w:t>
      </w:r>
    </w:p>
    <w:p>
      <w:pPr>
        <w:spacing w:after="0" w:line="59" w:lineRule="exact"/>
        <w:rPr>
          <w:sz w:val="20"/>
          <w:szCs w:val="20"/>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311,793,763 shares of common stock outstanding on December 31, 2023, which gives effect to the automatic conversion of all outstanding shares of our convertible preferred stock into 287,446,844 shares of our common stock immediately prior to the closing of this offering and includes 28,890 shares subject to forfeiture or a right of repurchase.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December 31, 2023 are considered outstanding, although these shares are not considered outstanding for purposes of computing the percentage ownership of any other person. The table below excludes any potential purchases in this offering by the beneficial owners identified in the table below.</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80"/>
          </w:cols>
          <w:pgMar w:left="320" w:top="455" w:right="5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Unless otherwise indicated, the address of each beneficial owner listed below is c/o Boundless Bio, Inc., 9880 Campus Point Drive, Suite 120, San Diego, CA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6040" w:type="dxa"/>
            <w:vAlign w:val="bottom"/>
            <w:vMerge w:val="restart"/>
          </w:tcPr>
          <w:p>
            <w:pPr>
              <w:spacing w:after="0"/>
              <w:rPr>
                <w:sz w:val="12"/>
                <w:szCs w:val="12"/>
                <w:color w:val="auto"/>
              </w:rPr>
            </w:pPr>
          </w:p>
        </w:tc>
        <w:tc>
          <w:tcPr>
            <w:tcW w:w="13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Beneficially</w:t>
            </w:r>
          </w:p>
        </w:tc>
        <w:tc>
          <w:tcPr>
            <w:tcW w:w="1080" w:type="dxa"/>
            <w:vAlign w:val="bottom"/>
            <w:gridSpan w:val="2"/>
          </w:tcPr>
          <w:p>
            <w:pPr>
              <w:jc w:val="right"/>
              <w:ind w:right="508"/>
              <w:spacing w:after="0" w:line="147" w:lineRule="exact"/>
              <w:rPr>
                <w:sz w:val="20"/>
                <w:szCs w:val="20"/>
                <w:color w:val="auto"/>
              </w:rPr>
            </w:pPr>
            <w:r>
              <w:rPr>
                <w:rFonts w:ascii="Arial" w:cs="Arial" w:eastAsia="Arial" w:hAnsi="Arial"/>
                <w:sz w:val="14"/>
                <w:szCs w:val="14"/>
                <w:b w:val="1"/>
                <w:bCs w:val="1"/>
                <w:color w:val="auto"/>
              </w:rPr>
              <w:t>Before</w:t>
            </w:r>
          </w:p>
        </w:tc>
        <w:tc>
          <w:tcPr>
            <w:tcW w:w="580" w:type="dxa"/>
            <w:vAlign w:val="bottom"/>
          </w:tcPr>
          <w:p>
            <w:pPr>
              <w:jc w:val="right"/>
              <w:ind w:right="32"/>
              <w:spacing w:after="0" w:line="147"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6040" w:type="dxa"/>
            <w:vAlign w:val="bottom"/>
            <w:vMerge w:val="continue"/>
          </w:tcPr>
          <w:p>
            <w:pPr>
              <w:spacing w:after="0"/>
              <w:rPr>
                <w:sz w:val="15"/>
                <w:szCs w:val="15"/>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Owned</w:t>
            </w:r>
          </w:p>
        </w:tc>
        <w:tc>
          <w:tcPr>
            <w:tcW w:w="1080" w:type="dxa"/>
            <w:vAlign w:val="bottom"/>
            <w:gridSpan w:val="2"/>
          </w:tcPr>
          <w:p>
            <w:pPr>
              <w:jc w:val="right"/>
              <w:ind w:right="448"/>
              <w:spacing w:after="0" w:line="158" w:lineRule="exact"/>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76"/>
        </w:trPr>
        <w:tc>
          <w:tcPr>
            <w:tcW w:w="78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Stockholders</w:t>
            </w: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ARCH Venture Partners</w:t>
            </w:r>
            <w:r>
              <w:rPr>
                <w:rFonts w:ascii="Arial" w:cs="Arial" w:eastAsia="Arial" w:hAnsi="Arial"/>
                <w:sz w:val="23"/>
                <w:szCs w:val="23"/>
                <w:color w:val="auto"/>
                <w:vertAlign w:val="superscript"/>
              </w:rPr>
              <w:t>(1)</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48,634,919</w:t>
            </w:r>
          </w:p>
        </w:tc>
        <w:tc>
          <w:tcPr>
            <w:tcW w:w="108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15.6%</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Fidelity</w:t>
            </w:r>
            <w:r>
              <w:rPr>
                <w:rFonts w:ascii="Arial" w:cs="Arial" w:eastAsia="Arial" w:hAnsi="Arial"/>
                <w:sz w:val="23"/>
                <w:szCs w:val="23"/>
                <w:color w:val="auto"/>
                <w:vertAlign w:val="superscript"/>
              </w:rPr>
              <w:t>(2)</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46,100,529</w:t>
            </w:r>
          </w:p>
        </w:tc>
        <w:tc>
          <w:tcPr>
            <w:tcW w:w="108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14.8%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RA Capital Management, L.P.</w:t>
            </w:r>
            <w:r>
              <w:rPr>
                <w:rFonts w:ascii="Arial" w:cs="Arial" w:eastAsia="Arial" w:hAnsi="Arial"/>
                <w:sz w:val="23"/>
                <w:szCs w:val="23"/>
                <w:color w:val="auto"/>
                <w:vertAlign w:val="superscript"/>
              </w:rPr>
              <w:t>(3)</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36,428,571</w:t>
            </w:r>
          </w:p>
        </w:tc>
        <w:tc>
          <w:tcPr>
            <w:tcW w:w="108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11.7%</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Bayer HealthCare LLC</w:t>
            </w:r>
            <w:r>
              <w:rPr>
                <w:rFonts w:ascii="Arial" w:cs="Arial" w:eastAsia="Arial" w:hAnsi="Arial"/>
                <w:sz w:val="23"/>
                <w:szCs w:val="23"/>
                <w:color w:val="auto"/>
                <w:vertAlign w:val="superscript"/>
              </w:rPr>
              <w:t>(4)</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28,571,428</w:t>
            </w:r>
          </w:p>
        </w:tc>
        <w:tc>
          <w:tcPr>
            <w:tcW w:w="108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9.2%</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Entities affiliated with Nextech VI Oncology SCSp</w:t>
            </w:r>
            <w:r>
              <w:rPr>
                <w:rFonts w:ascii="Arial" w:cs="Arial" w:eastAsia="Arial" w:hAnsi="Arial"/>
                <w:sz w:val="23"/>
                <w:szCs w:val="23"/>
                <w:color w:val="auto"/>
                <w:vertAlign w:val="superscript"/>
              </w:rPr>
              <w:t>(5)</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22,972,359</w:t>
            </w:r>
          </w:p>
        </w:tc>
        <w:tc>
          <w:tcPr>
            <w:tcW w:w="108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7.4%</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Vertex Global HC Fund II Pte. Ltd</w:t>
            </w:r>
            <w:r>
              <w:rPr>
                <w:rFonts w:ascii="Arial" w:cs="Arial" w:eastAsia="Arial" w:hAnsi="Arial"/>
                <w:sz w:val="23"/>
                <w:szCs w:val="23"/>
                <w:color w:val="auto"/>
                <w:vertAlign w:val="superscript"/>
              </w:rPr>
              <w:t>(6)</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18,377,887</w:t>
            </w:r>
          </w:p>
        </w:tc>
        <w:tc>
          <w:tcPr>
            <w:tcW w:w="108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Zachary D. Hornby</w:t>
            </w:r>
            <w:r>
              <w:rPr>
                <w:rFonts w:ascii="Arial" w:cs="Arial" w:eastAsia="Arial" w:hAnsi="Arial"/>
                <w:sz w:val="23"/>
                <w:szCs w:val="23"/>
                <w:color w:val="auto"/>
                <w:vertAlign w:val="superscript"/>
              </w:rPr>
              <w:t>(7)</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12,156,665</w:t>
            </w:r>
          </w:p>
        </w:tc>
        <w:tc>
          <w:tcPr>
            <w:tcW w:w="108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Klaus Wagner, M.D., Ph.D.</w:t>
            </w:r>
            <w:r>
              <w:rPr>
                <w:rFonts w:ascii="Arial" w:cs="Arial" w:eastAsia="Arial" w:hAnsi="Arial"/>
                <w:sz w:val="23"/>
                <w:szCs w:val="23"/>
                <w:color w:val="auto"/>
                <w:vertAlign w:val="superscript"/>
              </w:rPr>
              <w:t>(8)</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1,363,137</w:t>
            </w:r>
          </w:p>
        </w:tc>
        <w:tc>
          <w:tcPr>
            <w:tcW w:w="108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Chris Hassig, Ph.D.</w:t>
            </w:r>
            <w:r>
              <w:rPr>
                <w:rFonts w:ascii="Arial" w:cs="Arial" w:eastAsia="Arial" w:hAnsi="Arial"/>
                <w:sz w:val="23"/>
                <w:szCs w:val="23"/>
                <w:color w:val="auto"/>
                <w:vertAlign w:val="superscript"/>
              </w:rPr>
              <w:t>(9)</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2,529,165</w:t>
            </w:r>
          </w:p>
        </w:tc>
        <w:tc>
          <w:tcPr>
            <w:tcW w:w="10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Jonathan E. Lim, M.D.</w:t>
            </w:r>
            <w:r>
              <w:rPr>
                <w:rFonts w:ascii="Arial" w:cs="Arial" w:eastAsia="Arial" w:hAnsi="Arial"/>
                <w:sz w:val="23"/>
                <w:szCs w:val="23"/>
                <w:color w:val="auto"/>
                <w:vertAlign w:val="superscript"/>
              </w:rPr>
              <w:t>(10)</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13,018,412</w:t>
            </w:r>
          </w:p>
        </w:tc>
        <w:tc>
          <w:tcPr>
            <w:tcW w:w="108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4.2%</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Christine Brennan, Ph.D.</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Kristina Burow</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Jamie Christensen, Ph.D.</w:t>
            </w:r>
            <w:r>
              <w:rPr>
                <w:rFonts w:ascii="Arial" w:cs="Arial" w:eastAsia="Arial" w:hAnsi="Arial"/>
                <w:sz w:val="23"/>
                <w:szCs w:val="23"/>
                <w:color w:val="auto"/>
                <w:vertAlign w:val="superscript"/>
              </w:rPr>
              <w:t>(11)</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540,000</w:t>
            </w:r>
          </w:p>
        </w:tc>
        <w:tc>
          <w:tcPr>
            <w:tcW w:w="10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Jennifer Lew</w:t>
            </w:r>
            <w:r>
              <w:rPr>
                <w:rFonts w:ascii="Arial" w:cs="Arial" w:eastAsia="Arial" w:hAnsi="Arial"/>
                <w:sz w:val="23"/>
                <w:szCs w:val="23"/>
                <w:color w:val="auto"/>
                <w:vertAlign w:val="superscript"/>
              </w:rPr>
              <w:t>(12)</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392,222</w:t>
            </w:r>
          </w:p>
        </w:tc>
        <w:tc>
          <w:tcPr>
            <w:tcW w:w="108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Jakob Loven, Ph.D.</w:t>
            </w:r>
            <w:r>
              <w:rPr>
                <w:rFonts w:ascii="Arial" w:cs="Arial" w:eastAsia="Arial" w:hAnsi="Arial"/>
                <w:sz w:val="23"/>
                <w:szCs w:val="23"/>
                <w:color w:val="auto"/>
                <w:vertAlign w:val="superscript"/>
              </w:rPr>
              <w:t>(13)</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20" w:type="dxa"/>
            <w:vAlign w:val="bottom"/>
            <w:gridSpan w:val="2"/>
          </w:tcPr>
          <w:p>
            <w:pPr>
              <w:spacing w:after="0" w:line="202" w:lineRule="exact"/>
              <w:rPr>
                <w:sz w:val="20"/>
                <w:szCs w:val="20"/>
                <w:color w:val="auto"/>
              </w:rPr>
            </w:pPr>
            <w:r>
              <w:rPr>
                <w:rFonts w:ascii="Arial" w:cs="Arial" w:eastAsia="Arial" w:hAnsi="Arial"/>
                <w:sz w:val="16"/>
                <w:szCs w:val="16"/>
                <w:color w:val="auto"/>
              </w:rPr>
              <w:t>Fabio Pucci, Ph.D.</w:t>
            </w:r>
            <w:r>
              <w:rPr>
                <w:rFonts w:ascii="Arial" w:cs="Arial" w:eastAsia="Arial" w:hAnsi="Arial"/>
                <w:sz w:val="23"/>
                <w:szCs w:val="23"/>
                <w:color w:val="auto"/>
                <w:vertAlign w:val="superscript"/>
              </w:rPr>
              <w:t>(14)</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Nancy Whiting, Pharm.D.</w:t>
            </w:r>
            <w:r>
              <w:rPr>
                <w:rFonts w:ascii="Arial" w:cs="Arial" w:eastAsia="Arial" w:hAnsi="Arial"/>
                <w:sz w:val="23"/>
                <w:szCs w:val="23"/>
                <w:color w:val="auto"/>
                <w:vertAlign w:val="superscript"/>
              </w:rPr>
              <w:t>(15)</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540,000</w:t>
            </w:r>
          </w:p>
        </w:tc>
        <w:tc>
          <w:tcPr>
            <w:tcW w:w="10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9"/>
        </w:trPr>
        <w:tc>
          <w:tcPr>
            <w:tcW w:w="78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26"/>
                <w:szCs w:val="26"/>
                <w:color w:val="auto"/>
                <w:vertAlign w:val="superscript"/>
              </w:rPr>
              <w:t>(16)</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32,837,973</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5" w:lineRule="exact"/>
        <w:rPr>
          <w:sz w:val="20"/>
          <w:szCs w:val="20"/>
          <w:color w:val="auto"/>
        </w:rPr>
      </w:pPr>
    </w:p>
    <w:p>
      <w:pPr>
        <w:ind w:left="540" w:right="20" w:hanging="424"/>
        <w:spacing w:after="0" w:line="243"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12,033,332 shares of common stock held by ARCH Venture Fund IX, L.P. (AVF IX), 16,157,142 shares of common stock held by ARCH Venture Fund IX Overage, L.P. (AVF IX Overage), and 20,444,445 shares of common stock held by ARCH Venture Fund X Overage, L.P. (AVF X Overage). ARCH Venture Partners IX, L.P. (AVP IX LP) is the sole general partner of AVF IX. ARCH Venture Partners IX Overage, L.P. (AVP IX Overage LP) is the sole general partner of AVF IX Overage. ARCH Venture Partners IX, LLC (AVP IX LLC) is the sole general partner of each of AVP IX LP and AVP IX Overage LP. Keith Crandell, Robert Nelsen, and Clinton Bybee comprise the managing directors of AVP IX LLC (the AVP IX Managing Directors). AVP IX LP may be deemed to beneficially own the shares held by AVF IX; AVP IX Overage LP may be deemed to beneficially own the shares held by AVF IX Overage; AVP IX LLC may be deemed to beneficially own the shares held by AVF IX and AVF IX Overage; and each of the Managing Directors may be deemed to beneficially own the shares held by AVF IX and AVF IX Overage. ARCH Venture Partners X Overage, L.P. (AVP X Overage LP) is the sole general partner of AVF X Overage. ARCH Venture Partners X, LLC (AVP X LLC) is the sole general partner of AVP X Overage LP. Keith Crandell, Kristina Burow, Steven Gillis, and Robert Nelsen comprise the investment committee of AVP X LLC (the AVP X Committee Members). AVP X Overage LP may be deemed to beneficially own the shares held by AVF X Overage; AVP X LLC may be deemed to beneficially own the shares held by AVF X Overage; and each of the AVP X Committee Members may be deemed to share the power to direct the disposition and vote of the shares held by AVF X Overage. Each of AVP IX LP, AVP IX Overage LP, AVP IX LLC, the Managing Directors, AVP X Overage LP, AVP X LLC, and the AVP X Committee Members disclaims beneficial ownership except to any pecuniary interest therein. The address of the ARCH Venture Funds is 8755 W. Higgins Road, Suite 1025, Chicago, IL 60631. Ms. Burow, a member of our board of directors, owns an interest in AVP IX LP and AVP IX Overage LP but does not have voting or dispositive power over the shares held by AVF X and AVF IX Overage and disclaims beneficial ownership of such shares, except to the extent of any pecuniary interest therein.</w:t>
      </w:r>
    </w:p>
    <w:p>
      <w:pPr>
        <w:spacing w:after="0" w:line="11" w:lineRule="exact"/>
        <w:rPr>
          <w:rFonts w:ascii="Arial" w:cs="Arial" w:eastAsia="Arial" w:hAnsi="Arial"/>
          <w:sz w:val="14"/>
          <w:szCs w:val="14"/>
          <w:color w:val="auto"/>
        </w:rPr>
      </w:pPr>
    </w:p>
    <w:p>
      <w:pPr>
        <w:ind w:left="540" w:right="40" w:hanging="424"/>
        <w:spacing w:after="0" w:line="263"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All of the securities listed in the table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spacing w:after="0" w:line="256" w:lineRule="auto"/>
        <w:rPr>
          <w:sz w:val="20"/>
          <w:szCs w:val="20"/>
          <w:color w:val="auto"/>
        </w:rPr>
      </w:pPr>
      <w:r>
        <w:rPr>
          <w:rFonts w:ascii="Arial" w:cs="Arial" w:eastAsia="Arial" w:hAnsi="Arial"/>
          <w:sz w:val="14"/>
          <w:szCs w:val="14"/>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2" w:lineRule="exact"/>
        <w:rPr>
          <w:sz w:val="20"/>
          <w:szCs w:val="20"/>
          <w:color w:val="auto"/>
        </w:rPr>
      </w:pPr>
    </w:p>
    <w:p>
      <w:pPr>
        <w:ind w:left="540" w:hanging="424"/>
        <w:spacing w:after="0" w:line="249"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30,964,285 shares of common stock held by RA Capital Healthcare Fund, L.P. (RA Healthcare) and 5,464,286 shares of common stock held by RA Capital Nexus Fund II, L.P. (Nexus II). RA Capital Management, L.P. is the investment manager for RA Healthcare and Nexus II. The general partner of RA Capital Management, L.P. is RA Capital Management GP, LLC, of which Peter Kolchinsky, Ph.D. and Rajeev Shah are the managing members. RA Capital Management, L.P., RA Capital Management GP, LLC, Peter Kolchinsky, Ph.D., and Rajeev Shah may be deemed to have voting and investment power over the shares held of record by RA Healthcare and Nexus II. RA Capital Management, L.P., RA Capital Management GP, LLC, Peter Kolchinsky, Ph.D., and Rajeev Shah disclaim beneficial ownership of such shares, except to the extent of any pecuniary interest therein. The address of the entities listed above is 200 Berkeley Street, 18th Floor, Boston, Massachusetts 02116.</w:t>
      </w:r>
    </w:p>
    <w:p>
      <w:pPr>
        <w:spacing w:after="0" w:line="172" w:lineRule="exact"/>
        <w:rPr>
          <w:rFonts w:ascii="Arial" w:cs="Arial" w:eastAsia="Arial" w:hAnsi="Arial"/>
          <w:sz w:val="14"/>
          <w:szCs w:val="14"/>
          <w:color w:val="auto"/>
        </w:rPr>
      </w:pPr>
    </w:p>
    <w:p>
      <w:pPr>
        <w:ind w:left="540" w:right="40" w:hanging="424"/>
        <w:spacing w:after="0" w:line="250"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28,571,428 shares of common stock held by Bayer HealthCare LLC (BHC). Each of BHC, Bayer US Holding LP (BUSH LP), Bayer World Investments B.V. (BWI), and Bayer Aktiengesellschaft (Bayer AG) share voting and dispositive power over the shares of common stock held by BHC. BHC is controlled by BUSH LP. BWI is the general partner of BUSH LP. BWI is an indirect, wholly owned subsidiary of Bayer AG. Accordingly, Bayer AG may be deemed to be an indirect beneficial owner of the shares of common stock beneficially owned directly by BHC. The business address for BHC and BUSH LP is 100 Bayer Boulevard, Whippany, New Jersey 07981. The business address for BWI is Siriusdreef 36, 2132 WT Hoofddorp, The Netherlands 2132WT. The business address for Bayer AG is Bayerwerk, Gebaeude W11, Kaiser-Wilhelm-Allee 1, Leverkusen, Germany 51373.</w:t>
      </w:r>
    </w:p>
    <w:p>
      <w:pPr>
        <w:spacing w:after="0" w:line="6" w:lineRule="exact"/>
        <w:rPr>
          <w:rFonts w:ascii="Arial" w:cs="Arial" w:eastAsia="Arial" w:hAnsi="Arial"/>
          <w:sz w:val="14"/>
          <w:szCs w:val="14"/>
          <w:color w:val="auto"/>
        </w:rPr>
      </w:pPr>
    </w:p>
    <w:p>
      <w:pPr>
        <w:ind w:left="540" w:right="120" w:hanging="424"/>
        <w:spacing w:after="0" w:line="248"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22,972,359 shares of common stock held by Nextech VI Oncology SCSp (Nextech VI LP). Nextech VI GP S.à r.l. (Nextech VI GP) serves as the sole general partner of Nextech VI LP and has sole voting and investment control over the shares owned by Nextech VI LP and may be deemed to own beneficially the shares held by Nextech VI LP. Nextech VI GP owns no securities of the Company directly. Rocco Sgobbo, Costas Constantinides, and Ian Charoub are members of the board of managers of Nextech VI GP and share voting and dispositive power over the shares held by Nextech VI LP, and may be deemed to own beneficially the shares held by Nextech VI LP. The members of the board of managers own no securities of the Company directly. Each of the individuals and entities listed above expressly disclaims beneficial interest of the shares listed above except to the extent of any pecuniary interest therein. The principal business address of Nextech VI LP is: 8 rue Lou Hemmer, L-1748 Senningerberg, Grand-Duché de Luxembourg.</w:t>
      </w:r>
    </w:p>
    <w:p>
      <w:pPr>
        <w:spacing w:after="0" w:line="9" w:lineRule="exact"/>
        <w:rPr>
          <w:rFonts w:ascii="Arial" w:cs="Arial" w:eastAsia="Arial" w:hAnsi="Arial"/>
          <w:sz w:val="14"/>
          <w:szCs w:val="14"/>
          <w:color w:val="auto"/>
        </w:rPr>
      </w:pPr>
    </w:p>
    <w:p>
      <w:pPr>
        <w:ind w:left="540" w:right="80" w:hanging="424"/>
        <w:spacing w:after="0" w:line="252"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18,377,887 shares of common stock held by Vertex Global HC Fund II Pte. Ltd. (Vertex). Vertex is managed by Vertex Venture Management Pte. Ltd. (VVM) which is a private company limited by shares. VVM is deemed to have voting and dispositive power over the shares held by Vertex pursuant to a management agreement between Vertex and VVM whereby the divestment and voting decisions require the unanimous approval of the members of an investment committee established by VVM. The members of the investment committee are Ming Kian Teo, Kheng Nam Lee, and Kee Lock Chua. The address of Vertex is 250 North Bridge Road, #11-01 Raffles City Tower, Singapore 179101.</w:t>
      </w:r>
    </w:p>
    <w:p>
      <w:pPr>
        <w:spacing w:after="0" w:line="5" w:lineRule="exact"/>
        <w:rPr>
          <w:rFonts w:ascii="Arial" w:cs="Arial" w:eastAsia="Arial" w:hAnsi="Arial"/>
          <w:sz w:val="14"/>
          <w:szCs w:val="14"/>
          <w:color w:val="auto"/>
        </w:rPr>
      </w:pPr>
    </w:p>
    <w:p>
      <w:pPr>
        <w:ind w:left="540" w:right="12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5,000,000 shares of common stock held directly and 7,156,665 shares of common stock underlying options held by Mr. Hornby that are exercisable as of December 31, 2023 or that will become exercisable within 60 days after such date.</w:t>
      </w:r>
    </w:p>
    <w:p>
      <w:pPr>
        <w:ind w:left="540" w:right="14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1,363,137 shares of common stock underlying options held by Dr. Wagner that are exercisable as of December 31, 2023 or that will become exercisable within 60 days after such date.</w:t>
      </w:r>
    </w:p>
    <w:p>
      <w:pPr>
        <w:ind w:left="540" w:right="2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 500,000 shares of common stock held directly and (ii) 2,029,165 shares of common stock underlying options held by Dr. Hassig that are exercisable as of December 31, 2023 or that will become exercisable within 60 days after such date.</w:t>
      </w:r>
    </w:p>
    <w:p>
      <w:pPr>
        <w:ind w:left="540" w:right="34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2,000,000 shares of common stock held directly, (ii) 10,742,857 shares of common stock held by City Hill, LLC and (iii) 275,555 shares of common stock underlying options held by Dr. Lim that are exercisable as of December 31, 2023 or that will become exercisable within 60 days after such date.</w:t>
      </w:r>
    </w:p>
    <w:p>
      <w:pPr>
        <w:ind w:left="54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540,000 shares of common stock underlying options held by Dr. Christensen that are exercisable as of December 31, 2023 or that will become exercisable within 60 days after such date.</w:t>
      </w:r>
    </w:p>
    <w:p>
      <w:pPr>
        <w:ind w:left="540" w:right="4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392,222 shares of common stock underlying options held by Ms. Lew that are exercisable as of December 31, 2023 or that will become exercisable within 60 days after such date.</w:t>
      </w: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Loven will resign from our board of directors immediately prior to the effectiveness of the registration statement of which this prospectus forms a part.</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Pucci will resign from our board of directors immediately prior to the effectiveness of the registration statement of which this prospectus forms a part.</w:t>
      </w:r>
    </w:p>
    <w:p>
      <w:pPr>
        <w:spacing w:after="0" w:line="41" w:lineRule="exact"/>
        <w:rPr>
          <w:rFonts w:ascii="Arial" w:cs="Arial" w:eastAsia="Arial" w:hAnsi="Arial"/>
          <w:sz w:val="14"/>
          <w:szCs w:val="14"/>
          <w:color w:val="auto"/>
        </w:rPr>
      </w:pPr>
    </w:p>
    <w:p>
      <w:pPr>
        <w:ind w:left="540" w:right="280" w:hanging="424"/>
        <w:spacing w:after="0" w:line="27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540,000 shares of common stock underlying options held by Dr. Whiting that are exercisable as of December 31, 2023 or that will become exercisable within 60 days after such date.</w:t>
      </w:r>
    </w:p>
    <w:p>
      <w:pPr>
        <w:ind w:left="540" w:right="860" w:hanging="424"/>
        <w:spacing w:after="0" w:line="285"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the shares described in footnotes 7 through 14 above and an additional 2,298,372 shares of common stock underlying options exercisable as of December 31, 2023 or that will become exercisable within 60 days after such date held by our other executive officers.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w:t>
      </w:r>
    </w:p>
    <w:p>
      <w:pPr>
        <w:sectPr>
          <w:pgSz w:w="11900" w:h="16838" w:orient="portrait"/>
          <w:cols w:equalWidth="0" w:num="1">
            <w:col w:w="11120"/>
          </w:cols>
          <w:pgMar w:left="320" w:top="455" w:right="459" w:bottom="1440" w:gutter="0" w:footer="0" w:header="0"/>
        </w:sectPr>
      </w:pPr>
    </w:p>
    <w:p>
      <w:pPr>
        <w:spacing w:after="0" w:line="176" w:lineRule="exact"/>
        <w:rPr>
          <w:sz w:val="20"/>
          <w:szCs w:val="20"/>
          <w:color w:val="auto"/>
        </w:rPr>
      </w:pPr>
    </w:p>
    <w:p>
      <w:pPr>
        <w:jc w:val="both"/>
        <w:ind w:left="120" w:right="100" w:firstLine="551"/>
        <w:spacing w:after="0" w:line="271" w:lineRule="auto"/>
        <w:rPr>
          <w:sz w:val="20"/>
          <w:szCs w:val="20"/>
          <w:color w:val="auto"/>
        </w:rPr>
      </w:pPr>
      <w:r>
        <w:rPr>
          <w:rFonts w:ascii="Arial" w:cs="Arial" w:eastAsia="Arial" w:hAnsi="Arial"/>
          <w:sz w:val="18"/>
          <w:szCs w:val="18"/>
          <w:color w:val="auto"/>
        </w:rPr>
        <w:t>Following the closing of this offering, our authorized capital stock will consist of value per share, and shares of preferred stock, $0.0001 par value per share.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$0.0001 par</w:t>
      </w:r>
    </w:p>
    <w:p>
      <w:pPr>
        <w:spacing w:after="0" w:line="414" w:lineRule="exact"/>
        <w:rPr>
          <w:sz w:val="20"/>
          <w:szCs w:val="20"/>
          <w:color w:val="auto"/>
        </w:rPr>
      </w:pPr>
    </w:p>
    <w:p>
      <w:pPr>
        <w:sectPr>
          <w:pgSz w:w="11900" w:h="16838" w:orient="portrait"/>
          <w:cols w:equalWidth="0" w:num="2">
            <w:col w:w="7040" w:space="720"/>
            <w:col w:w="336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left="120" w:right="280" w:firstLine="551"/>
        <w:spacing w:after="0" w:line="254" w:lineRule="auto"/>
        <w:rPr>
          <w:sz w:val="20"/>
          <w:szCs w:val="20"/>
          <w:color w:val="auto"/>
        </w:rPr>
      </w:pPr>
      <w:r>
        <w:rPr>
          <w:rFonts w:ascii="Arial" w:cs="Arial" w:eastAsia="Arial" w:hAnsi="Arial"/>
          <w:sz w:val="17"/>
          <w:szCs w:val="17"/>
          <w:color w:val="auto"/>
        </w:rPr>
        <w:t>As of December 31, 2023, there were 311,793,763 shares of our common stock outstanding and held of record by 104 stockholders, including 28,890 shares of restricted common stock, which are subject to our right of repurchase, after giving effect to the automatic conversion of all outstanding shares of our convertible preferred stock into 287,446,844 shares of common stock, which will automatically occur immediately prior to the closing of this offering. Based on the number of shares of common stock outstanding as of</w:t>
      </w:r>
    </w:p>
    <w:p>
      <w:pPr>
        <w:ind w:left="120"/>
        <w:spacing w:after="0"/>
        <w:tabs>
          <w:tab w:leader="none" w:pos="6060" w:val="left"/>
        </w:tabs>
        <w:rPr>
          <w:sz w:val="20"/>
          <w:szCs w:val="20"/>
          <w:color w:val="auto"/>
        </w:rPr>
      </w:pPr>
      <w:r>
        <w:rPr>
          <w:rFonts w:ascii="Arial" w:cs="Arial" w:eastAsia="Arial" w:hAnsi="Arial"/>
          <w:sz w:val="18"/>
          <w:szCs w:val="18"/>
          <w:color w:val="auto"/>
        </w:rPr>
        <w:t>December 31, 2023, and further assuming the issuance by us of</w:t>
      </w:r>
      <w:r>
        <w:rPr>
          <w:sz w:val="20"/>
          <w:szCs w:val="20"/>
          <w:color w:val="auto"/>
        </w:rPr>
        <w:tab/>
      </w:r>
      <w:r>
        <w:rPr>
          <w:rFonts w:ascii="Arial" w:cs="Arial" w:eastAsia="Arial" w:hAnsi="Arial"/>
          <w:sz w:val="17"/>
          <w:szCs w:val="17"/>
          <w:color w:val="auto"/>
        </w:rPr>
        <w:t>shares of common stock in this offering, there will be</w:t>
      </w:r>
    </w:p>
    <w:p>
      <w:pPr>
        <w:ind w:left="120"/>
        <w:spacing w:after="0" w:line="236" w:lineRule="auto"/>
        <w:rPr>
          <w:sz w:val="20"/>
          <w:szCs w:val="20"/>
          <w:color w:val="auto"/>
        </w:rPr>
      </w:pPr>
      <w:r>
        <w:rPr>
          <w:rFonts w:ascii="Arial" w:cs="Arial" w:eastAsia="Arial" w:hAnsi="Arial"/>
          <w:sz w:val="18"/>
          <w:szCs w:val="18"/>
          <w:color w:val="auto"/>
        </w:rPr>
        <w:t>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titled“—Anti-Takeover Effects of Delaware Law and Our Certificate of Incorporation and Bylaws-Amendment of Charter Provisions” below.</w:t>
      </w:r>
    </w:p>
    <w:p>
      <w:pPr>
        <w:spacing w:after="0" w:line="18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may be adversely affected by the rights of the holders of shares of any series of preferred stock that we may designate and issue in the future.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color w:val="auto"/>
        </w:rPr>
        <w:t>Upon the closing of this offering, all of our previously outstanding shares of convertible preferred stock will have been converted into common stock, there will be no authorized shares of our previously outstanding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w:t>
      </w:r>
    </w:p>
    <w:p>
      <w:pPr>
        <w:jc w:val="both"/>
        <w:ind w:left="120" w:right="20"/>
        <w:spacing w:after="0"/>
        <w:rPr>
          <w:sz w:val="20"/>
          <w:szCs w:val="20"/>
          <w:color w:val="auto"/>
        </w:rPr>
      </w:pPr>
      <w:r>
        <w:rPr>
          <w:rFonts w:ascii="Arial" w:cs="Arial" w:eastAsia="Arial" w:hAnsi="Arial"/>
          <w:sz w:val="18"/>
          <w:szCs w:val="18"/>
          <w:color w:val="auto"/>
        </w:rPr>
        <w:t>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0"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12"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As of December 31, 2023, options to purchase 54,873,734 shares of our common stock were outstanding, of which 18,194,308 were vested and 19,653,198 were exercisable as of that date. For additional information regarding the terms of our 2018 Plan, see the section titled “Executive and Director Compensation— Equity Incentive Plans—2018 Equity Incentive Plan.”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1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As of December 31, 2023, upon the closing of this offering holders of 287,446,844 shares of our common stock, which includes all of the shares of common stock issuable upon the automatic conversion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2"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beginning six months following the effective date of the registration statement of which this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forms a part, the holders of at least 60% of the registrable securities then-held by major investors (as defined therein) request in writing that we effect a registration with respect to at least 40% of the registrable securities then outstanding,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we have already effected two registrations for the holders of registrable securities in response to these demand registration rights.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we become entitled under the Securities Act to register our shares on Form S-3, and the holders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60% of the registrable securities then-held by major investors request in writing that we effect a registration with respect to all or a part of the registrable securities then outstanding where the anticipated aggregate offering price, net of expenses, is at least $15.0 million,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w:t>
      </w:r>
    </w:p>
    <w:p>
      <w:pPr>
        <w:spacing w:after="0" w:line="185"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02"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The registration rights terminate upon the earlier of (i) four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12" w:lineRule="exact"/>
        <w:rPr>
          <w:sz w:val="20"/>
          <w:szCs w:val="20"/>
          <w:color w:val="auto"/>
        </w:rPr>
      </w:pPr>
    </w:p>
    <w:p>
      <w:pPr>
        <w:ind w:left="120" w:right="120" w:firstLine="551"/>
        <w:spacing w:after="0" w:line="261"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02" w:lineRule="exact"/>
        <w:rPr>
          <w:sz w:val="20"/>
          <w:szCs w:val="20"/>
          <w:color w:val="auto"/>
        </w:rPr>
      </w:pPr>
    </w:p>
    <w:p>
      <w:pPr>
        <w:ind w:left="660"/>
        <w:spacing w:after="0"/>
        <w:tabs>
          <w:tab w:leader="none" w:pos="8100" w:val="left"/>
        </w:tabs>
        <w:rPr>
          <w:sz w:val="20"/>
          <w:szCs w:val="20"/>
          <w:color w:val="auto"/>
        </w:rPr>
      </w:pPr>
      <w:r>
        <w:rPr>
          <w:rFonts w:ascii="Arial" w:cs="Arial" w:eastAsia="Arial" w:hAnsi="Arial"/>
          <w:sz w:val="18"/>
          <w:szCs w:val="18"/>
          <w:color w:val="auto"/>
        </w:rPr>
        <w:t>The ability of our board of directors, without action by the stockholders, to issue up to</w:t>
      </w:r>
      <w:r>
        <w:rPr>
          <w:sz w:val="20"/>
          <w:szCs w:val="20"/>
          <w:color w:val="auto"/>
        </w:rPr>
        <w:tab/>
      </w:r>
      <w:r>
        <w:rPr>
          <w:rFonts w:ascii="Arial" w:cs="Arial" w:eastAsia="Arial" w:hAnsi="Arial"/>
          <w:sz w:val="17"/>
          <w:szCs w:val="17"/>
          <w:color w:val="auto"/>
        </w:rPr>
        <w:t>shares of undesignated preferred</w:t>
      </w:r>
    </w:p>
    <w:p>
      <w:pPr>
        <w:spacing w:after="0" w:line="1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2"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0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2"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0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02" w:lineRule="exact"/>
        <w:rPr>
          <w:sz w:val="20"/>
          <w:szCs w:val="20"/>
          <w:color w:val="auto"/>
        </w:rPr>
      </w:pPr>
    </w:p>
    <w:p>
      <w:pPr>
        <w:ind w:left="120" w:right="420" w:firstLine="551"/>
        <w:spacing w:after="0" w:line="301"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3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12" w:lineRule="exact"/>
        <w:rPr>
          <w:sz w:val="20"/>
          <w:szCs w:val="20"/>
          <w:color w:val="auto"/>
        </w:rPr>
      </w:pPr>
    </w:p>
    <w:p>
      <w:pPr>
        <w:ind w:left="660"/>
        <w:spacing w:after="0"/>
        <w:tabs>
          <w:tab w:leader="none" w:pos="6300" w:val="left"/>
          <w:tab w:leader="none" w:pos="1074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Nasdaq Global Market Listing</w:t>
      </w:r>
    </w:p>
    <w:p>
      <w:pPr>
        <w:spacing w:after="0" w:line="212"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We have applied to list our common stock listed on the Nasdaq Global Market under the symbol “BOLD,” and this offering is contingent upon obtaining such approval.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1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For a discussion of liability and indemnification, see the section titled “Executive and Director Compensation—Limitations of Liability and Indemnification Matters.”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1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174" w:lineRule="exact"/>
        <w:rPr>
          <w:sz w:val="20"/>
          <w:szCs w:val="20"/>
          <w:color w:val="auto"/>
        </w:rPr>
      </w:pPr>
    </w:p>
    <w:p>
      <w:pPr>
        <w:ind w:left="120" w:right="580" w:firstLine="551"/>
        <w:spacing w:after="0" w:line="245" w:lineRule="auto"/>
        <w:rPr>
          <w:sz w:val="20"/>
          <w:szCs w:val="20"/>
          <w:color w:val="auto"/>
        </w:rPr>
      </w:pPr>
      <w:r>
        <w:rPr>
          <w:rFonts w:ascii="Arial" w:cs="Arial" w:eastAsia="Arial" w:hAnsi="Arial"/>
          <w:sz w:val="18"/>
          <w:szCs w:val="18"/>
          <w:color w:val="auto"/>
        </w:rPr>
        <w:t>Based on the number of shares of our common stock outstanding as of December 31, 2023, and assuming (i) the issuance of shares in this offering, (ii) the automatic conversion of all of our outstanding shares of convertible preferred stock into</w:t>
      </w:r>
    </w:p>
    <w:p>
      <w:pPr>
        <w:ind w:left="120" w:right="80"/>
        <w:spacing w:after="0" w:line="248" w:lineRule="auto"/>
        <w:rPr>
          <w:sz w:val="20"/>
          <w:szCs w:val="20"/>
          <w:color w:val="auto"/>
        </w:rPr>
      </w:pPr>
      <w:r>
        <w:rPr>
          <w:rFonts w:ascii="Arial" w:cs="Arial" w:eastAsia="Arial" w:hAnsi="Arial"/>
          <w:sz w:val="17"/>
          <w:szCs w:val="17"/>
          <w:color w:val="auto"/>
        </w:rPr>
        <w:t>287,446,844 shares of common stock and the related reclassification of the carrying value of the convertible preferred stock to permanent equity upon the closing of this offering, (iii) no exercise of the underwriters’ option to purchase additional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(iv) no exercise of outstanding options, we will have outstanding an aggregate of shares of common stock following the closing of this offering.</w:t>
      </w:r>
    </w:p>
    <w:p>
      <w:pPr>
        <w:spacing w:after="0" w:line="15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6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1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w:t>
      </w:r>
    </w:p>
    <w:p>
      <w:pPr>
        <w:spacing w:after="0" w:line="183"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Goldman Sachs &amp; Co. LLC, Leerink Partners LLC, Piper Sandler &amp; Co., and Guggenheim Securities,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59"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Trading Plans</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0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20"/>
          </w:cols>
          <w:pgMar w:left="320" w:top="455" w:right="459" w:bottom="1440" w:gutter="0" w:footer="0" w:header="0"/>
        </w:sectPr>
      </w:pPr>
    </w:p>
    <w:p>
      <w:pPr>
        <w:spacing w:after="0" w:line="8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immediately after this offering, assuming no exercise of the underwriters’ option to purchase additional shares; or</w:t>
      </w:r>
    </w:p>
    <w:p>
      <w:pPr>
        <w:spacing w:after="0" w:line="59" w:lineRule="exact"/>
        <w:rPr>
          <w:sz w:val="20"/>
          <w:szCs w:val="20"/>
          <w:color w:val="auto"/>
        </w:rPr>
      </w:pPr>
    </w:p>
    <w:p>
      <w:pPr>
        <w:sectPr>
          <w:pgSz w:w="11900" w:h="16838" w:orient="portrait"/>
          <w:cols w:equalWidth="0" w:num="2">
            <w:col w:w="1060" w:space="360"/>
            <w:col w:w="9700"/>
          </w:cols>
          <w:pgMar w:left="320" w:top="455" w:right="459" w:bottom="1440" w:gutter="0" w:footer="0" w:header="0"/>
          <w:type w:val="continuous"/>
        </w:sectPr>
      </w:pPr>
    </w:p>
    <w:p>
      <w:pPr>
        <w:ind w:left="1420" w:right="20" w:hanging="427"/>
        <w:spacing w:after="0" w:line="271"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15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12"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In general, under Rule 701 as currently in effect, any of an issuer’s employees, directors, officers, consultants, or advisors who purchase shares from the issuer in connection with a compensatory stock</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5" w:right="45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w:t>
      </w:r>
    </w:p>
    <w:p>
      <w:pPr>
        <w:spacing w:after="0" w:line="179"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closing of this offering, holders of 287,446,844 shares of our common stock, which includes all of the shares of common stock issuable upon the automatic conversion of our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Stock—Registration Rights” for additional information. Shares covered by a registration statement will be eligible for sale in the public market upon the expiration or release from the terms of the lock-up agreements described above.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UNITED STATES FEDERAL INCOME TAX CONSEQUENCES TO NON-U.S. HOLDERS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0"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w:t>
      </w:r>
    </w:p>
    <w:p>
      <w:pPr>
        <w:spacing w:after="0" w:line="82" w:lineRule="exact"/>
        <w:rPr>
          <w:sz w:val="20"/>
          <w:szCs w:val="20"/>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1420" w:right="180" w:hanging="427"/>
        <w:spacing w:after="0" w:line="271"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9" w:lineRule="exact"/>
        <w:rPr>
          <w:rFonts w:ascii="Arial" w:cs="Arial" w:eastAsia="Arial" w:hAnsi="Arial"/>
          <w:sz w:val="18"/>
          <w:szCs w:val="18"/>
          <w:color w:val="auto"/>
        </w:rPr>
      </w:pPr>
    </w:p>
    <w:p>
      <w:pPr>
        <w:ind w:left="1420" w:hanging="427"/>
        <w:spacing w:after="0" w:line="271"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1420" w:right="300" w:hanging="427"/>
        <w:spacing w:after="0" w:line="271"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59" w:lineRule="exact"/>
        <w:rPr>
          <w:rFonts w:ascii="Arial" w:cs="Arial" w:eastAsia="Arial" w:hAnsi="Arial"/>
          <w:sz w:val="18"/>
          <w:szCs w:val="18"/>
          <w:color w:val="auto"/>
        </w:rPr>
      </w:pPr>
    </w:p>
    <w:p>
      <w:pPr>
        <w:ind w:left="1420" w:hanging="427"/>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1420" w:right="260" w:hanging="427"/>
        <w:spacing w:after="0" w:line="271"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54" w:lineRule="exact"/>
        <w:rPr>
          <w:sz w:val="20"/>
          <w:szCs w:val="20"/>
          <w:color w:val="auto"/>
        </w:rPr>
      </w:pPr>
    </w:p>
    <w:p>
      <w:pPr>
        <w:ind w:left="120" w:right="500" w:firstLine="551"/>
        <w:spacing w:after="0" w:line="247"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12"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4" w:lineRule="exact"/>
        <w:rPr>
          <w:sz w:val="20"/>
          <w:szCs w:val="20"/>
          <w:color w:val="auto"/>
        </w:rPr>
      </w:pPr>
    </w:p>
    <w:p>
      <w:pPr>
        <w:ind w:left="1420" w:hanging="427"/>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420" w:right="120" w:hanging="427"/>
        <w:spacing w:after="0" w:line="253"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in the subsection titled “—Sale or Other Taxable Disposition” below.</w:t>
      </w:r>
    </w:p>
    <w:p>
      <w:pPr>
        <w:spacing w:after="0" w:line="18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9"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Subject to the discussion below of backup withholding and withholding under FATCA (defined below), a Non-U.S. Holder will not be subject to U.S. federal income tax on any gain realized upon the sale or other taxable disposition of our common stock unless:</w:t>
      </w:r>
    </w:p>
    <w:p>
      <w:pPr>
        <w:spacing w:after="0" w:line="59" w:lineRule="exact"/>
        <w:rPr>
          <w:sz w:val="20"/>
          <w:szCs w:val="20"/>
          <w:color w:val="auto"/>
        </w:rPr>
      </w:pPr>
    </w:p>
    <w:p>
      <w:pPr>
        <w:jc w:val="both"/>
        <w:ind w:left="1420" w:right="100" w:hanging="427"/>
        <w:spacing w:after="0" w:line="25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74" w:lineRule="exact"/>
        <w:rPr>
          <w:rFonts w:ascii="Arial" w:cs="Arial" w:eastAsia="Arial" w:hAnsi="Arial"/>
          <w:sz w:val="18"/>
          <w:szCs w:val="18"/>
          <w:color w:val="auto"/>
        </w:rPr>
      </w:pPr>
    </w:p>
    <w:p>
      <w:pPr>
        <w:ind w:left="1420" w:right="60" w:hanging="427"/>
        <w:spacing w:after="0" w:line="271"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9" w:lineRule="exact"/>
        <w:rPr>
          <w:rFonts w:ascii="Arial" w:cs="Arial" w:eastAsia="Arial" w:hAnsi="Arial"/>
          <w:sz w:val="18"/>
          <w:szCs w:val="18"/>
          <w:color w:val="auto"/>
        </w:rPr>
      </w:pPr>
    </w:p>
    <w:p>
      <w:pPr>
        <w:ind w:left="1420" w:right="620" w:hanging="427"/>
        <w:spacing w:after="0" w:line="271"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54" w:lineRule="exact"/>
        <w:rPr>
          <w:sz w:val="20"/>
          <w:szCs w:val="20"/>
          <w:color w:val="auto"/>
        </w:rPr>
      </w:pPr>
    </w:p>
    <w:p>
      <w:pPr>
        <w:jc w:val="both"/>
        <w:ind w:left="120" w:right="500" w:firstLine="551"/>
        <w:spacing w:after="0" w:line="253"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9" w:lineRule="exact"/>
        <w:rPr>
          <w:sz w:val="20"/>
          <w:szCs w:val="20"/>
          <w:color w:val="auto"/>
        </w:rPr>
      </w:pPr>
    </w:p>
    <w:p>
      <w:pPr>
        <w:jc w:val="both"/>
        <w:ind w:left="120" w:right="200" w:firstLine="551"/>
        <w:spacing w:after="0" w:line="247"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constructively, 5% or less of our common stock throughout the shorter of the five-year period ending on the date of the sale or other taxable disposition or the Non-U.S. Holder’s holding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4" w:lineRule="exact"/>
        <w:rPr>
          <w:sz w:val="20"/>
          <w:szCs w:val="20"/>
          <w:color w:val="auto"/>
        </w:rPr>
      </w:pPr>
    </w:p>
    <w:p>
      <w:pPr>
        <w:ind w:left="120" w:right="120" w:firstLine="551"/>
        <w:spacing w:after="0" w:line="301"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Withholding taxes may be imposed under Sections 1471 to 1474 of the Code (such Sections are commonly referred to as the Foreign Account Tax Compliance Act (FATCA)) on certain types of payments made to non -U.S.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w:t>
      </w:r>
    </w:p>
    <w:p>
      <w:pPr>
        <w:spacing w:after="0" w:line="179" w:lineRule="exact"/>
        <w:rPr>
          <w:sz w:val="20"/>
          <w:szCs w:val="20"/>
          <w:color w:val="auto"/>
        </w:rPr>
      </w:pPr>
    </w:p>
    <w:p>
      <w:pPr>
        <w:ind w:left="120" w:right="480" w:firstLine="551"/>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Leerink Partners LLC, Piper Sandler &amp; Co., and Guggenheim Securities, LLC are the representatives of the underwriters.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28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0"/>
        </w:trPr>
        <w:tc>
          <w:tcPr>
            <w:tcW w:w="5260" w:type="dxa"/>
            <w:vAlign w:val="bottom"/>
            <w:vMerge w:val="continue"/>
          </w:tcPr>
          <w:p>
            <w:pPr>
              <w:spacing w:after="0"/>
              <w:rPr>
                <w:sz w:val="14"/>
                <w:szCs w:val="14"/>
                <w:color w:val="auto"/>
              </w:rPr>
            </w:pPr>
          </w:p>
        </w:tc>
        <w:tc>
          <w:tcPr>
            <w:tcW w:w="5080" w:type="dxa"/>
            <w:vAlign w:val="bottom"/>
          </w:tcPr>
          <w:p>
            <w:pPr>
              <w:jc w:val="center"/>
              <w:ind w:left="428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Leerink Partners LLC</w:t>
      </w:r>
    </w:p>
    <w:p>
      <w:pPr>
        <w:ind w:left="120"/>
        <w:spacing w:after="0" w:line="234" w:lineRule="auto"/>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-1905</wp:posOffset>
            </wp:positionV>
            <wp:extent cx="12255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6"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tbl>
      <w:tblPr>
        <w:tblLayout w:type="fixed"/>
        <w:tblInd w:w="120" w:type="dxa"/>
        <w:tblCellMar>
          <w:top w:w="0" w:type="dxa"/>
          <w:left w:w="0" w:type="dxa"/>
          <w:bottom w:w="0" w:type="dxa"/>
          <w:right w:w="0" w:type="dxa"/>
        </w:tblCellMar>
      </w:tblPr>
      <w:tr>
        <w:trPr>
          <w:trHeight w:val="198"/>
        </w:trPr>
        <w:tc>
          <w:tcPr>
            <w:tcW w:w="9460" w:type="dxa"/>
            <w:vAlign w:val="bottom"/>
            <w:gridSpan w:val="3"/>
          </w:tcPr>
          <w:p>
            <w:pPr>
              <w:spacing w:after="0" w:line="198" w:lineRule="exact"/>
              <w:rPr>
                <w:sz w:val="20"/>
                <w:szCs w:val="20"/>
                <w:color w:val="auto"/>
              </w:rPr>
            </w:pPr>
            <w:r>
              <w:rPr>
                <w:rFonts w:ascii="Arial" w:cs="Arial" w:eastAsia="Arial" w:hAnsi="Arial"/>
                <w:sz w:val="18"/>
                <w:szCs w:val="18"/>
                <w:color w:val="auto"/>
              </w:rPr>
              <w:t>Such amounts are shown assuming both no exercise and full exercise of the underwriters’ option to purchase up to an</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r>
              <w:rPr>
                <w:rFonts w:ascii="Arial" w:cs="Arial" w:eastAsia="Arial" w:hAnsi="Arial"/>
                <w:sz w:val="18"/>
                <w:szCs w:val="18"/>
                <w:color w:val="auto"/>
              </w:rPr>
              <w:t>additional</w:t>
            </w:r>
          </w:p>
        </w:tc>
        <w:tc>
          <w:tcPr>
            <w:tcW w:w="8180" w:type="dxa"/>
            <w:vAlign w:val="bottom"/>
            <w:gridSpan w:val="2"/>
          </w:tcPr>
          <w:p>
            <w:pPr>
              <w:jc w:val="right"/>
              <w:ind w:right="4959"/>
              <w:spacing w:after="0"/>
              <w:rPr>
                <w:sz w:val="20"/>
                <w:szCs w:val="20"/>
                <w:color w:val="auto"/>
              </w:rPr>
            </w:pPr>
            <w:r>
              <w:rPr>
                <w:rFonts w:ascii="Arial" w:cs="Arial" w:eastAsia="Arial" w:hAnsi="Arial"/>
                <w:sz w:val="18"/>
                <w:szCs w:val="18"/>
                <w:color w:val="auto"/>
              </w:rPr>
              <w:t>shares of common stock from us.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87"/>
        </w:trPr>
        <w:tc>
          <w:tcPr>
            <w:tcW w:w="128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59"/>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279"/>
              <w:spacing w:after="0" w:line="196" w:lineRule="exact"/>
              <w:rPr>
                <w:sz w:val="20"/>
                <w:szCs w:val="20"/>
                <w:color w:val="auto"/>
              </w:rPr>
            </w:pPr>
            <w:r>
              <w:rPr>
                <w:rFonts w:ascii="Arial" w:cs="Arial" w:eastAsia="Arial" w:hAnsi="Arial"/>
                <w:sz w:val="18"/>
                <w:szCs w:val="18"/>
                <w:color w:val="auto"/>
                <w:w w:val="79"/>
              </w:rPr>
              <w:t>$</w:t>
            </w:r>
          </w:p>
        </w:tc>
      </w:tr>
      <w:tr>
        <w:trPr>
          <w:trHeight w:val="239"/>
        </w:trPr>
        <w:tc>
          <w:tcPr>
            <w:tcW w:w="1280" w:type="dxa"/>
            <w:vAlign w:val="bottom"/>
          </w:tcPr>
          <w:p>
            <w:pPr>
              <w:spacing w:after="0"/>
              <w:rPr>
                <w:sz w:val="20"/>
                <w:szCs w:val="20"/>
                <w:color w:val="auto"/>
              </w:rPr>
            </w:pPr>
            <w:r>
              <w:rPr>
                <w:rFonts w:ascii="Arial" w:cs="Arial" w:eastAsia="Arial" w:hAnsi="Arial"/>
                <w:sz w:val="18"/>
                <w:szCs w:val="18"/>
                <w:color w:val="auto"/>
              </w:rPr>
              <w:t>Total</w:t>
            </w:r>
          </w:p>
        </w:tc>
        <w:tc>
          <w:tcPr>
            <w:tcW w:w="8180" w:type="dxa"/>
            <w:vAlign w:val="bottom"/>
            <w:gridSpan w:val="2"/>
          </w:tcPr>
          <w:p>
            <w:pPr>
              <w:jc w:val="right"/>
              <w:ind w:right="125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79"/>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w:t>
      </w:r>
    </w:p>
    <w:p>
      <w:pPr>
        <w:ind w:left="120" w:right="180" w:hanging="4"/>
        <w:spacing w:after="0" w:line="250" w:lineRule="auto"/>
        <w:tabs>
          <w:tab w:leader="none" w:pos="2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 LLC, Leerink Partners LLC, Piper Sandler &amp; Co., and Guggenheim Securities, LLC. This agreement does not apply to any existing employee benefit plans. See the section titled “Shares Eligible for Future Sale” for a discussion of certain transfer restrictions.</w:t>
      </w:r>
    </w:p>
    <w:p>
      <w:pPr>
        <w:spacing w:after="0" w:line="172"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the Company and the representatives. Among</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169"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We have applied to list our common stock on the Nasdaq Global Market under the symbol “BOLD,” and this offering is contingent upon obtaining such approval.</w:t>
      </w:r>
    </w:p>
    <w:p>
      <w:pPr>
        <w:spacing w:after="0" w:line="15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9"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ectPr>
          <w:pgSz w:w="11900" w:h="16838" w:orient="portrait"/>
          <w:cols w:equalWidth="0" w:num="1">
            <w:col w:w="11080"/>
          </w:cols>
          <w:pgMar w:left="320" w:top="455" w:right="499" w:bottom="1440" w:gutter="0" w:footer="0" w:header="0"/>
        </w:sectPr>
      </w:pP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 We have agreed to reimburse the underwriters for certain of their expenses in an amount up to $</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69" w:lineRule="exact"/>
        <w:rPr>
          <w:sz w:val="20"/>
          <w:szCs w:val="20"/>
          <w:color w:val="auto"/>
        </w:rPr>
      </w:pPr>
    </w:p>
    <w:p>
      <w:pPr>
        <w:sectPr>
          <w:pgSz w:w="11900" w:h="16838" w:orient="portrait"/>
          <w:cols w:equalWidth="0" w:num="2">
            <w:col w:w="10420" w:space="340"/>
            <w:col w:w="320"/>
          </w:cols>
          <w:pgMar w:left="320" w:top="455" w:right="49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5" w:right="49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their respective affiliates may in the future provide, a variety of these services to us and to persons and entities with relationships with us, for which they will receive customary fees and expenses.</w:t>
      </w:r>
    </w:p>
    <w:p>
      <w:pPr>
        <w:spacing w:after="0" w:line="15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Affiliates of Piper Sandler &amp; Co. purchased 8,839,914 shares of our Series C convertible preferred stock in our May 2023 Series C</w:t>
      </w:r>
    </w:p>
    <w:p>
      <w:pPr>
        <w:spacing w:after="0" w:line="1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convertible preferred stock financing. Those shares of Series C convertible preferred stock will automatically convert into shares of our common stock immediately prior to and in connection with the closing of this offering. All such shares are subject to the 180-day lock-up restrictions pursuant to FINRA Rule 5110(g).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2"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203"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080" w:right="760" w:hanging="532"/>
        <w:spacing w:after="0" w:line="271"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Conduct Authority, except that the shares may be offered to the public in the United Kingdom at any time:</w:t>
      </w:r>
    </w:p>
    <w:p>
      <w:pPr>
        <w:spacing w:after="0" w:line="117"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080" w:right="460" w:hanging="532"/>
        <w:spacing w:after="0" w:line="271"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6"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6"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83"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83"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6"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0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02" w:lineRule="exact"/>
        <w:rPr>
          <w:sz w:val="20"/>
          <w:szCs w:val="20"/>
          <w:color w:val="auto"/>
        </w:rPr>
      </w:pPr>
    </w:p>
    <w:p>
      <w:pPr>
        <w:ind w:left="120" w:firstLine="551"/>
        <w:spacing w:after="0" w:line="259" w:lineRule="auto"/>
        <w:rPr>
          <w:sz w:val="20"/>
          <w:szCs w:val="20"/>
          <w:color w:val="auto"/>
        </w:rPr>
      </w:pPr>
      <w:r>
        <w:rPr>
          <w:rFonts w:ascii="Arial" w:cs="Arial" w:eastAsia="Arial" w:hAnsi="Arial"/>
          <w:sz w:val="17"/>
          <w:szCs w:val="17"/>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16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The financial statements of Boundless Bio, Inc. as of December 31, 2021 and 2022, and for each of the years in the two-year period ended December 31, 2022,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5"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also maintain a website at www.boundlessbio.com.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5" w:right="47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7"/>
        </w:trPr>
        <w:tc>
          <w:tcPr>
            <w:tcW w:w="89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0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w w:val="99"/>
              </w:rPr>
              <w:t>BOUNDLESS BIO, INC.</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6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99"/>
              </w:rPr>
              <w:t>INDEX TO FINANCIAL STATEMENTS</w:t>
            </w: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20"/>
        </w:trPr>
        <w:tc>
          <w:tcPr>
            <w:tcW w:w="120" w:type="dxa"/>
            <w:vAlign w:val="bottom"/>
          </w:tcPr>
          <w:p>
            <w:pPr>
              <w:spacing w:after="0"/>
              <w:rPr>
                <w:sz w:val="24"/>
                <w:szCs w:val="24"/>
                <w:color w:val="auto"/>
              </w:rPr>
            </w:pPr>
          </w:p>
        </w:tc>
        <w:tc>
          <w:tcPr>
            <w:tcW w:w="882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7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r>
      <w:tr>
        <w:trPr>
          <w:trHeight w:val="176"/>
        </w:trPr>
        <w:tc>
          <w:tcPr>
            <w:tcW w:w="120" w:type="dxa"/>
            <w:vAlign w:val="bottom"/>
          </w:tcPr>
          <w:p>
            <w:pPr>
              <w:spacing w:after="0"/>
              <w:rPr>
                <w:sz w:val="15"/>
                <w:szCs w:val="15"/>
                <w:color w:val="auto"/>
              </w:rPr>
            </w:pPr>
          </w:p>
        </w:tc>
        <w:tc>
          <w:tcPr>
            <w:tcW w:w="4600" w:type="dxa"/>
            <w:vAlign w:val="bottom"/>
            <w:tcBorders>
              <w:top w:val="single" w:sz="8" w:color="CCEEFF"/>
              <w:bottom w:val="single" w:sz="8" w:color="0000EE"/>
            </w:tcBorders>
            <w:gridSpan w:val="9"/>
            <w:shd w:val="clear" w:color="auto" w:fill="CCEEFF"/>
          </w:tcPr>
          <w:p>
            <w:pPr>
              <w:spacing w:after="0" w:line="136" w:lineRule="exact"/>
              <w:rPr>
                <w:sz w:val="20"/>
                <w:szCs w:val="20"/>
                <w:color w:val="auto"/>
              </w:rPr>
            </w:pPr>
            <w:r>
              <w:rPr>
                <w:rFonts w:ascii="Arial" w:cs="Arial" w:eastAsia="Arial" w:hAnsi="Arial"/>
                <w:sz w:val="15"/>
                <w:szCs w:val="15"/>
                <w:color w:val="0000EE"/>
              </w:rPr>
              <w:t>Report of Independent Registered Public Accounting Firm</w:t>
            </w:r>
          </w:p>
        </w:tc>
        <w:tc>
          <w:tcPr>
            <w:tcW w:w="42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F-2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126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8"/>
              </w:rPr>
              <w:t>Balance Sheets</w:t>
            </w:r>
          </w:p>
        </w:tc>
        <w:tc>
          <w:tcPr>
            <w:tcW w:w="7560" w:type="dxa"/>
            <w:vAlign w:val="bottom"/>
            <w:gridSpan w:val="11"/>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F-3</w:t>
            </w:r>
          </w:p>
        </w:tc>
      </w:tr>
      <w:tr>
        <w:trPr>
          <w:trHeight w:val="176"/>
        </w:trPr>
        <w:tc>
          <w:tcPr>
            <w:tcW w:w="120" w:type="dxa"/>
            <w:vAlign w:val="bottom"/>
          </w:tcPr>
          <w:p>
            <w:pPr>
              <w:spacing w:after="0"/>
              <w:rPr>
                <w:sz w:val="15"/>
                <w:szCs w:val="15"/>
                <w:color w:val="auto"/>
              </w:rPr>
            </w:pPr>
          </w:p>
        </w:tc>
        <w:tc>
          <w:tcPr>
            <w:tcW w:w="88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Statements of Operations and Comprehensive Loss</w:t>
            </w:r>
          </w:p>
        </w:tc>
        <w:tc>
          <w:tcPr>
            <w:tcW w:w="17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F-4</w:t>
            </w:r>
          </w:p>
        </w:tc>
      </w:tr>
      <w:tr>
        <w:trPr>
          <w:trHeight w:val="27"/>
        </w:trPr>
        <w:tc>
          <w:tcPr>
            <w:tcW w:w="1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3"/>
        </w:trPr>
        <w:tc>
          <w:tcPr>
            <w:tcW w:w="120" w:type="dxa"/>
            <w:vAlign w:val="bottom"/>
          </w:tcPr>
          <w:p>
            <w:pPr>
              <w:spacing w:after="0"/>
              <w:rPr>
                <w:sz w:val="15"/>
                <w:szCs w:val="15"/>
                <w:color w:val="auto"/>
              </w:rPr>
            </w:pPr>
          </w:p>
        </w:tc>
        <w:tc>
          <w:tcPr>
            <w:tcW w:w="5400" w:type="dxa"/>
            <w:vAlign w:val="bottom"/>
            <w:tcBorders>
              <w:bottom w:val="single" w:sz="8" w:color="0000EE"/>
            </w:tcBorders>
            <w:gridSpan w:val="11"/>
          </w:tcPr>
          <w:p>
            <w:pPr>
              <w:spacing w:after="0" w:line="176" w:lineRule="exact"/>
              <w:rPr>
                <w:sz w:val="20"/>
                <w:szCs w:val="20"/>
                <w:color w:val="auto"/>
              </w:rPr>
            </w:pPr>
            <w:r>
              <w:rPr>
                <w:rFonts w:ascii="Arial" w:cs="Arial" w:eastAsia="Arial" w:hAnsi="Arial"/>
                <w:sz w:val="18"/>
                <w:szCs w:val="18"/>
                <w:color w:val="0000EE"/>
                <w:w w:val="99"/>
              </w:rPr>
              <w:t>Statements of Convertible Preferred Stock and Stockholders’ Deficit</w:t>
            </w:r>
          </w:p>
        </w:tc>
        <w:tc>
          <w:tcPr>
            <w:tcW w:w="3420" w:type="dxa"/>
            <w:vAlign w:val="bottom"/>
            <w:gridSpan w:val="2"/>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F-5</w:t>
            </w:r>
          </w:p>
        </w:tc>
      </w:tr>
      <w:tr>
        <w:trPr>
          <w:trHeight w:val="183"/>
        </w:trPr>
        <w:tc>
          <w:tcPr>
            <w:tcW w:w="120" w:type="dxa"/>
            <w:vAlign w:val="bottom"/>
          </w:tcPr>
          <w:p>
            <w:pPr>
              <w:spacing w:after="0"/>
              <w:rPr>
                <w:sz w:val="15"/>
                <w:szCs w:val="15"/>
                <w:color w:val="auto"/>
              </w:rPr>
            </w:pPr>
          </w:p>
        </w:tc>
        <w:tc>
          <w:tcPr>
            <w:tcW w:w="21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8"/>
              </w:rPr>
              <w:t>Statements of Cash Flows</w:t>
            </w:r>
          </w:p>
        </w:tc>
        <w:tc>
          <w:tcPr>
            <w:tcW w:w="6720" w:type="dxa"/>
            <w:vAlign w:val="bottom"/>
            <w:tcBorders>
              <w:bottom w:val="single" w:sz="8" w:color="CCEEFF"/>
            </w:tcBorders>
            <w:gridSpan w:val="10"/>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F-6</w:t>
            </w:r>
          </w:p>
        </w:tc>
      </w:tr>
      <w:tr>
        <w:trPr>
          <w:trHeight w:val="176"/>
        </w:trPr>
        <w:tc>
          <w:tcPr>
            <w:tcW w:w="120" w:type="dxa"/>
            <w:vAlign w:val="bottom"/>
          </w:tcPr>
          <w:p>
            <w:pPr>
              <w:spacing w:after="0"/>
              <w:rPr>
                <w:sz w:val="15"/>
                <w:szCs w:val="15"/>
                <w:color w:val="auto"/>
              </w:rPr>
            </w:pPr>
          </w:p>
        </w:tc>
        <w:tc>
          <w:tcPr>
            <w:tcW w:w="240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9"/>
              </w:rPr>
              <w:t>Notes to Financial Statements</w:t>
            </w:r>
          </w:p>
        </w:tc>
        <w:tc>
          <w:tcPr>
            <w:tcW w:w="6420" w:type="dxa"/>
            <w:vAlign w:val="bottom"/>
            <w:gridSpan w:val="8"/>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F-7</w:t>
            </w:r>
          </w:p>
        </w:tc>
      </w:tr>
      <w:tr>
        <w:trPr>
          <w:trHeight w:val="426"/>
        </w:trPr>
        <w:tc>
          <w:tcPr>
            <w:tcW w:w="120" w:type="dxa"/>
            <w:vAlign w:val="bottom"/>
          </w:tcPr>
          <w:p>
            <w:pPr>
              <w:spacing w:after="0"/>
              <w:rPr>
                <w:sz w:val="24"/>
                <w:szCs w:val="24"/>
                <w:color w:val="auto"/>
              </w:rPr>
            </w:pPr>
          </w:p>
        </w:tc>
        <w:tc>
          <w:tcPr>
            <w:tcW w:w="8820" w:type="dxa"/>
            <w:vAlign w:val="bottom"/>
            <w:gridSpan w:val="1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120" w:type="dxa"/>
            <w:vAlign w:val="bottom"/>
          </w:tcPr>
          <w:p>
            <w:pPr>
              <w:spacing w:after="0"/>
              <w:rPr>
                <w:sz w:val="15"/>
                <w:szCs w:val="15"/>
                <w:color w:val="auto"/>
              </w:rPr>
            </w:pPr>
          </w:p>
        </w:tc>
        <w:tc>
          <w:tcPr>
            <w:tcW w:w="88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Sheets</w:t>
            </w:r>
          </w:p>
        </w:tc>
        <w:tc>
          <w:tcPr>
            <w:tcW w:w="2200" w:type="dxa"/>
            <w:vAlign w:val="bottom"/>
            <w:gridSpan w:val="3"/>
            <w:shd w:val="clear" w:color="auto" w:fill="CCEEFF"/>
          </w:tcPr>
          <w:p>
            <w:pPr>
              <w:ind w:left="1760"/>
              <w:spacing w:after="0" w:line="176" w:lineRule="exact"/>
              <w:rPr>
                <w:sz w:val="20"/>
                <w:szCs w:val="20"/>
                <w:color w:val="auto"/>
              </w:rPr>
            </w:pPr>
            <w:r>
              <w:rPr>
                <w:rFonts w:ascii="Arial" w:cs="Arial" w:eastAsia="Arial" w:hAnsi="Arial"/>
                <w:sz w:val="18"/>
                <w:szCs w:val="18"/>
                <w:color w:val="auto"/>
              </w:rPr>
              <w:t>F-29</w:t>
            </w:r>
          </w:p>
        </w:tc>
      </w:tr>
      <w:tr>
        <w:trPr>
          <w:trHeight w:val="27"/>
        </w:trPr>
        <w:tc>
          <w:tcPr>
            <w:tcW w:w="1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3"/>
        </w:trPr>
        <w:tc>
          <w:tcPr>
            <w:tcW w:w="120" w:type="dxa"/>
            <w:vAlign w:val="bottom"/>
          </w:tcPr>
          <w:p>
            <w:pPr>
              <w:spacing w:after="0"/>
              <w:rPr>
                <w:sz w:val="15"/>
                <w:szCs w:val="15"/>
                <w:color w:val="auto"/>
              </w:rPr>
            </w:pPr>
          </w:p>
        </w:tc>
        <w:tc>
          <w:tcPr>
            <w:tcW w:w="5100" w:type="dxa"/>
            <w:vAlign w:val="bottom"/>
            <w:tcBorders>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99"/>
              </w:rPr>
              <w:t>Condensed Statements of Operations and Comprehensive Loss</w:t>
            </w:r>
          </w:p>
        </w:tc>
        <w:tc>
          <w:tcPr>
            <w:tcW w:w="3720" w:type="dxa"/>
            <w:vAlign w:val="bottom"/>
            <w:gridSpan w:val="3"/>
          </w:tcPr>
          <w:p>
            <w:pPr>
              <w:spacing w:after="0"/>
              <w:rPr>
                <w:sz w:val="15"/>
                <w:szCs w:val="15"/>
                <w:color w:val="auto"/>
              </w:rPr>
            </w:pPr>
          </w:p>
        </w:tc>
        <w:tc>
          <w:tcPr>
            <w:tcW w:w="2200" w:type="dxa"/>
            <w:vAlign w:val="bottom"/>
            <w:gridSpan w:val="3"/>
          </w:tcPr>
          <w:p>
            <w:pPr>
              <w:ind w:left="1760"/>
              <w:spacing w:after="0" w:line="176" w:lineRule="exact"/>
              <w:rPr>
                <w:sz w:val="20"/>
                <w:szCs w:val="20"/>
                <w:color w:val="auto"/>
              </w:rPr>
            </w:pPr>
            <w:r>
              <w:rPr>
                <w:rFonts w:ascii="Arial" w:cs="Arial" w:eastAsia="Arial" w:hAnsi="Arial"/>
                <w:sz w:val="18"/>
                <w:szCs w:val="18"/>
                <w:color w:val="auto"/>
              </w:rPr>
              <w:t>F-30</w:t>
            </w:r>
          </w:p>
        </w:tc>
      </w:tr>
      <w:tr>
        <w:trPr>
          <w:trHeight w:val="183"/>
        </w:trPr>
        <w:tc>
          <w:tcPr>
            <w:tcW w:w="120" w:type="dxa"/>
            <w:vAlign w:val="bottom"/>
          </w:tcPr>
          <w:p>
            <w:pPr>
              <w:spacing w:after="0"/>
              <w:rPr>
                <w:sz w:val="15"/>
                <w:szCs w:val="15"/>
                <w:color w:val="auto"/>
              </w:rPr>
            </w:pPr>
          </w:p>
        </w:tc>
        <w:tc>
          <w:tcPr>
            <w:tcW w:w="88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Condensed Statements of Convertible Preferred Stock and Stockholders’ Deficit</w:t>
            </w:r>
          </w:p>
        </w:tc>
        <w:tc>
          <w:tcPr>
            <w:tcW w:w="2200" w:type="dxa"/>
            <w:vAlign w:val="bottom"/>
            <w:gridSpan w:val="3"/>
            <w:shd w:val="clear" w:color="auto" w:fill="CCEEFF"/>
          </w:tcPr>
          <w:p>
            <w:pPr>
              <w:ind w:left="1760"/>
              <w:spacing w:after="0" w:line="176" w:lineRule="exact"/>
              <w:rPr>
                <w:sz w:val="20"/>
                <w:szCs w:val="20"/>
                <w:color w:val="auto"/>
              </w:rPr>
            </w:pPr>
            <w:r>
              <w:rPr>
                <w:rFonts w:ascii="Arial" w:cs="Arial" w:eastAsia="Arial" w:hAnsi="Arial"/>
                <w:sz w:val="18"/>
                <w:szCs w:val="18"/>
                <w:color w:val="auto"/>
              </w:rPr>
              <w:t>F-31</w:t>
            </w:r>
          </w:p>
        </w:tc>
      </w:tr>
      <w:tr>
        <w:trPr>
          <w:trHeight w:val="175"/>
        </w:trPr>
        <w:tc>
          <w:tcPr>
            <w:tcW w:w="120" w:type="dxa"/>
            <w:vAlign w:val="bottom"/>
          </w:tcPr>
          <w:p>
            <w:pPr>
              <w:spacing w:after="0"/>
              <w:rPr>
                <w:sz w:val="15"/>
                <w:szCs w:val="15"/>
                <w:color w:val="auto"/>
              </w:rPr>
            </w:pPr>
          </w:p>
        </w:tc>
        <w:tc>
          <w:tcPr>
            <w:tcW w:w="63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Condensed Statements of Cash Flows</w:t>
            </w:r>
          </w:p>
        </w:tc>
        <w:tc>
          <w:tcPr>
            <w:tcW w:w="2460" w:type="dxa"/>
            <w:vAlign w:val="bottom"/>
            <w:tcBorders>
              <w:top w:val="single" w:sz="8" w:color="CCEEFF"/>
            </w:tcBorders>
          </w:tcPr>
          <w:p>
            <w:pPr>
              <w:spacing w:after="0"/>
              <w:rPr>
                <w:sz w:val="15"/>
                <w:szCs w:val="15"/>
                <w:color w:val="auto"/>
              </w:rPr>
            </w:pPr>
          </w:p>
        </w:tc>
        <w:tc>
          <w:tcPr>
            <w:tcW w:w="2200" w:type="dxa"/>
            <w:vAlign w:val="bottom"/>
            <w:tcBorders>
              <w:top w:val="single" w:sz="8" w:color="CCEEFF"/>
            </w:tcBorders>
            <w:gridSpan w:val="3"/>
          </w:tcPr>
          <w:p>
            <w:pPr>
              <w:ind w:left="1760"/>
              <w:spacing w:after="0" w:line="176" w:lineRule="exact"/>
              <w:rPr>
                <w:sz w:val="20"/>
                <w:szCs w:val="20"/>
                <w:color w:val="auto"/>
              </w:rPr>
            </w:pPr>
            <w:r>
              <w:rPr>
                <w:rFonts w:ascii="Arial" w:cs="Arial" w:eastAsia="Arial" w:hAnsi="Arial"/>
                <w:sz w:val="18"/>
                <w:szCs w:val="18"/>
                <w:color w:val="auto"/>
              </w:rPr>
              <w:t>F-32</w:t>
            </w:r>
          </w:p>
        </w:tc>
      </w:tr>
      <w:tr>
        <w:trPr>
          <w:trHeight w:val="27"/>
        </w:trPr>
        <w:tc>
          <w:tcPr>
            <w:tcW w:w="1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120" w:type="dxa"/>
            <w:vAlign w:val="bottom"/>
          </w:tcPr>
          <w:p>
            <w:pPr>
              <w:spacing w:after="0"/>
              <w:rPr>
                <w:sz w:val="15"/>
                <w:szCs w:val="15"/>
                <w:color w:val="auto"/>
              </w:rPr>
            </w:pPr>
          </w:p>
        </w:tc>
        <w:tc>
          <w:tcPr>
            <w:tcW w:w="88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Financial Statements</w:t>
            </w:r>
          </w:p>
        </w:tc>
        <w:tc>
          <w:tcPr>
            <w:tcW w:w="2200" w:type="dxa"/>
            <w:vAlign w:val="bottom"/>
            <w:gridSpan w:val="3"/>
            <w:shd w:val="clear" w:color="auto" w:fill="CCEEFF"/>
          </w:tcPr>
          <w:p>
            <w:pPr>
              <w:ind w:left="1760"/>
              <w:spacing w:after="0" w:line="176" w:lineRule="exact"/>
              <w:rPr>
                <w:sz w:val="20"/>
                <w:szCs w:val="20"/>
                <w:color w:val="auto"/>
              </w:rPr>
            </w:pPr>
            <w:r>
              <w:rPr>
                <w:rFonts w:ascii="Arial" w:cs="Arial" w:eastAsia="Arial" w:hAnsi="Arial"/>
                <w:sz w:val="18"/>
                <w:szCs w:val="18"/>
                <w:color w:val="auto"/>
              </w:rPr>
              <w:t>F-33</w:t>
            </w:r>
          </w:p>
        </w:tc>
      </w:tr>
      <w:tr>
        <w:trPr>
          <w:trHeight w:val="369"/>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gridSpan w:val="3"/>
          </w:tcPr>
          <w:p>
            <w:pPr>
              <w:jc w:val="center"/>
              <w:ind w:right="2920"/>
              <w:spacing w:after="0"/>
              <w:rPr>
                <w:sz w:val="20"/>
                <w:szCs w:val="20"/>
                <w:color w:val="auto"/>
              </w:rPr>
            </w:pPr>
            <w:r>
              <w:rPr>
                <w:rFonts w:ascii="Arial" w:cs="Arial" w:eastAsia="Arial" w:hAnsi="Arial"/>
                <w:sz w:val="18"/>
                <w:szCs w:val="18"/>
                <w:color w:val="auto"/>
              </w:rPr>
              <w:t>F-1</w:t>
            </w:r>
          </w:p>
        </w:tc>
        <w:tc>
          <w:tcPr>
            <w:tcW w:w="17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Boundless Bio, Inc.:</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10"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have audited the accompanying balance sheets of Boundless Bio, Inc. (the Company) as of December 31, 2021 and 2022, the related statements of operations and comprehensive loss, convertible preferred stock and stockholders’ deficit, and cash flows for the years then ended, and the related notes (collectively, the financial statements). In our opinion, the financial statements present fairly, in all material respects, the financial position of the Company as of December 31, 2021 and 2022, and the results of its operations and its cash flows for the years then ended in conformity with U.S. generally accepted accounting principles.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210"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1, 2023</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 share data, and liquidation value)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79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83"/>
        </w:trPr>
        <w:tc>
          <w:tcPr>
            <w:tcW w:w="79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34,289</w:t>
            </w:r>
          </w:p>
        </w:tc>
        <w:tc>
          <w:tcPr>
            <w:tcW w:w="4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10,951</w:t>
            </w: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38,744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55,766</w:t>
            </w: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1,320</w:t>
            </w:r>
          </w:p>
        </w:tc>
      </w:tr>
      <w:tr>
        <w:trPr>
          <w:trHeight w:val="210"/>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68,037</w:t>
            </w:r>
          </w:p>
        </w:tc>
        <w:tc>
          <w:tcPr>
            <w:tcW w:w="220" w:type="dxa"/>
            <w:vAlign w:val="bottom"/>
          </w:tcPr>
          <w:p>
            <w:pPr>
              <w:spacing w:after="0"/>
              <w:rPr>
                <w:sz w:val="18"/>
                <w:szCs w:val="18"/>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34,988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2,752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2,922</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 net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4,804</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533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533</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533</w:t>
            </w:r>
          </w:p>
        </w:tc>
      </w:tr>
      <w:tr>
        <w:trPr>
          <w:trHeight w:val="209"/>
        </w:trPr>
        <w:tc>
          <w:tcPr>
            <w:tcW w:w="7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76,829</w:t>
            </w:r>
          </w:p>
        </w:tc>
        <w:tc>
          <w:tcPr>
            <w:tcW w:w="22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1,978</w:t>
            </w:r>
          </w:p>
        </w:tc>
        <w:tc>
          <w:tcPr>
            <w:tcW w:w="4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2,838</w:t>
            </w: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2,459</w:t>
            </w:r>
          </w:p>
        </w:tc>
      </w:tr>
      <w:tr>
        <w:trPr>
          <w:trHeight w:val="203"/>
        </w:trPr>
        <w:tc>
          <w:tcPr>
            <w:tcW w:w="7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Lease liabilities, current portion</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2,338</w:t>
            </w:r>
          </w:p>
        </w:tc>
      </w:tr>
      <w:tr>
        <w:trPr>
          <w:trHeight w:val="209"/>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Unvested common stock</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r>
      <w:tr>
        <w:trPr>
          <w:trHeight w:val="203"/>
        </w:trPr>
        <w:tc>
          <w:tcPr>
            <w:tcW w:w="7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7,728</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Lease liabilities, non-current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2,845</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common stock, non-current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r>
      <w:tr>
        <w:trPr>
          <w:trHeight w:val="21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220" w:type="dxa"/>
            <w:vAlign w:val="bottom"/>
          </w:tcPr>
          <w:p>
            <w:pPr>
              <w:spacing w:after="0"/>
              <w:rPr>
                <w:sz w:val="18"/>
                <w:szCs w:val="18"/>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84"/>
        </w:trPr>
        <w:tc>
          <w:tcPr>
            <w:tcW w:w="7900" w:type="dxa"/>
            <w:vAlign w:val="bottom"/>
          </w:tcPr>
          <w:p>
            <w:pPr>
              <w:spacing w:after="0" w:line="183" w:lineRule="exact"/>
              <w:rPr>
                <w:sz w:val="20"/>
                <w:szCs w:val="20"/>
                <w:color w:val="auto"/>
              </w:rPr>
            </w:pPr>
            <w:r>
              <w:rPr>
                <w:rFonts w:ascii="Arial" w:cs="Arial" w:eastAsia="Arial" w:hAnsi="Arial"/>
                <w:sz w:val="18"/>
                <w:szCs w:val="18"/>
                <w:color w:val="auto"/>
              </w:rPr>
              <w:t>Convertible preferred stock, $0.0001 par value; 144,589,706 shares authorized, issued,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outstanding as of December 31, 2021 and 2022; liquidation preference of $152.1 million as of</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7900" w:type="dxa"/>
            <w:vAlign w:val="bottom"/>
          </w:tcPr>
          <w:p>
            <w:pPr>
              <w:ind w:left="180"/>
              <w:spacing w:after="0"/>
              <w:rPr>
                <w:sz w:val="20"/>
                <w:szCs w:val="20"/>
                <w:color w:val="auto"/>
              </w:rPr>
            </w:pPr>
            <w:r>
              <w:rPr>
                <w:rFonts w:ascii="Arial" w:cs="Arial" w:eastAsia="Arial" w:hAnsi="Arial"/>
                <w:sz w:val="18"/>
                <w:szCs w:val="18"/>
                <w:color w:val="auto"/>
              </w:rPr>
              <w:t>December 31, 2021 and 2022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147,946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147,946</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84"/>
        </w:trPr>
        <w:tc>
          <w:tcPr>
            <w:tcW w:w="7900" w:type="dxa"/>
            <w:vAlign w:val="bottom"/>
          </w:tcPr>
          <w:p>
            <w:pPr>
              <w:ind w:left="360"/>
              <w:spacing w:after="0" w:line="183" w:lineRule="exact"/>
              <w:rPr>
                <w:sz w:val="20"/>
                <w:szCs w:val="20"/>
                <w:color w:val="auto"/>
              </w:rPr>
            </w:pPr>
            <w:r>
              <w:rPr>
                <w:rFonts w:ascii="Arial" w:cs="Arial" w:eastAsia="Arial" w:hAnsi="Arial"/>
                <w:sz w:val="18"/>
                <w:szCs w:val="18"/>
                <w:color w:val="auto"/>
              </w:rPr>
              <w:t>Common stock, $0.0001 par value; 200,000,000 shares authorized; 22,910,241 shares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900" w:type="dxa"/>
            <w:vAlign w:val="bottom"/>
          </w:tcPr>
          <w:p>
            <w:pPr>
              <w:ind w:left="540"/>
              <w:spacing w:after="0" w:line="202" w:lineRule="exact"/>
              <w:rPr>
                <w:sz w:val="20"/>
                <w:szCs w:val="20"/>
                <w:color w:val="auto"/>
              </w:rPr>
            </w:pPr>
            <w:r>
              <w:rPr>
                <w:rFonts w:ascii="Arial" w:cs="Arial" w:eastAsia="Arial" w:hAnsi="Arial"/>
                <w:sz w:val="18"/>
                <w:szCs w:val="18"/>
                <w:color w:val="auto"/>
              </w:rPr>
              <w:t>issued and 19,641,492 shares outstanding as of December 31, 2021; 23,396,350 shares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7900" w:type="dxa"/>
            <w:vAlign w:val="bottom"/>
          </w:tcPr>
          <w:p>
            <w:pPr>
              <w:ind w:left="540"/>
              <w:spacing w:after="0"/>
              <w:rPr>
                <w:sz w:val="20"/>
                <w:szCs w:val="20"/>
                <w:color w:val="auto"/>
              </w:rPr>
            </w:pPr>
            <w:r>
              <w:rPr>
                <w:rFonts w:ascii="Arial" w:cs="Arial" w:eastAsia="Arial" w:hAnsi="Arial"/>
                <w:sz w:val="18"/>
                <w:szCs w:val="18"/>
                <w:color w:val="auto"/>
              </w:rPr>
              <w:t>issued and 22,762,041 shares outstanding as of December 31, 2022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2,758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5,375</w:t>
            </w:r>
          </w:p>
        </w:tc>
      </w:tr>
      <w:tr>
        <w:trPr>
          <w:trHeight w:val="202"/>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(40,774)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(86,675)</w:t>
            </w:r>
          </w:p>
        </w:tc>
      </w:tr>
      <w:tr>
        <w:trPr>
          <w:trHeight w:val="217"/>
        </w:trPr>
        <w:tc>
          <w:tcPr>
            <w:tcW w:w="79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(81,696)</w:t>
            </w:r>
          </w:p>
        </w:tc>
        <w:tc>
          <w:tcPr>
            <w:tcW w:w="220" w:type="dxa"/>
            <w:vAlign w:val="bottom"/>
          </w:tcPr>
          <w:p>
            <w:pPr>
              <w:spacing w:after="0"/>
              <w:rPr>
                <w:sz w:val="18"/>
                <w:szCs w:val="18"/>
                <w:color w:val="auto"/>
              </w:rPr>
            </w:pPr>
          </w:p>
        </w:tc>
      </w:tr>
      <w:tr>
        <w:trPr>
          <w:trHeight w:val="203"/>
        </w:trPr>
        <w:tc>
          <w:tcPr>
            <w:tcW w:w="7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5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113,719</w:t>
            </w:r>
          </w:p>
        </w:tc>
        <w:tc>
          <w:tcPr>
            <w:tcW w:w="4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76,829</w:t>
            </w:r>
          </w:p>
        </w:tc>
      </w:tr>
      <w:tr>
        <w:trPr>
          <w:trHeight w:val="20"/>
        </w:trPr>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9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19,278</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37,159</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6,023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(25,301)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(46,469)</w:t>
            </w:r>
          </w:p>
        </w:tc>
        <w:tc>
          <w:tcPr>
            <w:tcW w:w="0" w:type="dxa"/>
            <w:vAlign w:val="bottom"/>
          </w:tcPr>
          <w:p>
            <w:pPr>
              <w:spacing w:after="0"/>
              <w:rPr>
                <w:sz w:val="1"/>
                <w:szCs w:val="1"/>
                <w:color w:val="auto"/>
              </w:rPr>
            </w:pPr>
          </w:p>
        </w:tc>
      </w:tr>
      <w:tr>
        <w:trPr>
          <w:trHeight w:val="202"/>
        </w:trPr>
        <w:tc>
          <w:tcPr>
            <w:tcW w:w="79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0"/>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(1.50)</w:t>
            </w:r>
          </w:p>
        </w:tc>
        <w:tc>
          <w:tcPr>
            <w:tcW w:w="42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Weighted-average shares used in net loss per common share calculation</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(25,210)</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(45,901)</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investments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160" w:type="dxa"/>
            <w:vAlign w:val="bottom"/>
            <w:tcBorders>
              <w:right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71"/>
        </w:trPr>
        <w:tc>
          <w:tcPr>
            <w:tcW w:w="2300" w:type="dxa"/>
            <w:vAlign w:val="bottom"/>
          </w:tcPr>
          <w:p>
            <w:pPr>
              <w:spacing w:after="0"/>
              <w:rPr>
                <w:sz w:val="14"/>
                <w:szCs w:val="14"/>
                <w:color w:val="auto"/>
              </w:rPr>
            </w:pPr>
          </w:p>
        </w:tc>
        <w:tc>
          <w:tcPr>
            <w:tcW w:w="216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4"/>
                <w:szCs w:val="14"/>
                <w:color w:val="auto"/>
              </w:rPr>
            </w:pPr>
          </w:p>
        </w:tc>
        <w:tc>
          <w:tcPr>
            <w:tcW w:w="1460" w:type="dxa"/>
            <w:vAlign w:val="bottom"/>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300" w:type="dxa"/>
            <w:vAlign w:val="bottom"/>
          </w:tcPr>
          <w:p>
            <w:pPr>
              <w:spacing w:after="0"/>
              <w:rPr>
                <w:sz w:val="13"/>
                <w:szCs w:val="13"/>
                <w:color w:val="auto"/>
              </w:rPr>
            </w:pPr>
          </w:p>
        </w:tc>
        <w:tc>
          <w:tcPr>
            <w:tcW w:w="106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r>
      <w:tr>
        <w:trPr>
          <w:trHeight w:val="164"/>
        </w:trPr>
        <w:tc>
          <w:tcPr>
            <w:tcW w:w="23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Balance as of</w:t>
            </w: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21"/>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66,378,590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42,628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14,681,250</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(14,377)</w:t>
            </w:r>
          </w:p>
        </w:tc>
      </w:tr>
      <w:tr>
        <w:trPr>
          <w:trHeight w:val="184"/>
        </w:trPr>
        <w:tc>
          <w:tcPr>
            <w:tcW w:w="2300" w:type="dxa"/>
            <w:vAlign w:val="bottom"/>
          </w:tcPr>
          <w:p>
            <w:pPr>
              <w:ind w:left="180"/>
              <w:spacing w:after="0" w:line="183" w:lineRule="exact"/>
              <w:rPr>
                <w:sz w:val="20"/>
                <w:szCs w:val="20"/>
                <w:color w:val="auto"/>
              </w:rPr>
            </w:pPr>
            <w:r>
              <w:rPr>
                <w:rFonts w:ascii="Arial" w:cs="Arial" w:eastAsia="Arial" w:hAnsi="Arial"/>
                <w:sz w:val="18"/>
                <w:szCs w:val="18"/>
                <w:color w:val="auto"/>
              </w:rPr>
              <w:t>Issuance of Series B</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30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300" w:type="dxa"/>
            <w:vAlign w:val="bottom"/>
          </w:tcPr>
          <w:p>
            <w:pPr>
              <w:ind w:left="360"/>
              <w:spacing w:after="0" w:line="202" w:lineRule="exact"/>
              <w:rPr>
                <w:sz w:val="20"/>
                <w:szCs w:val="20"/>
                <w:color w:val="auto"/>
              </w:rPr>
            </w:pPr>
            <w:r>
              <w:rPr>
                <w:rFonts w:ascii="Arial" w:cs="Arial" w:eastAsia="Arial" w:hAnsi="Arial"/>
                <w:sz w:val="18"/>
                <w:szCs w:val="18"/>
                <w:color w:val="auto"/>
              </w:rPr>
              <w:t>stock, net of issuance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300" w:type="dxa"/>
            <w:vAlign w:val="bottom"/>
          </w:tcPr>
          <w:p>
            <w:pPr>
              <w:ind w:left="360"/>
              <w:spacing w:after="0"/>
              <w:rPr>
                <w:sz w:val="20"/>
                <w:szCs w:val="20"/>
                <w:color w:val="auto"/>
              </w:rPr>
            </w:pPr>
            <w:r>
              <w:rPr>
                <w:rFonts w:ascii="Arial" w:cs="Arial" w:eastAsia="Arial" w:hAnsi="Arial"/>
                <w:sz w:val="18"/>
                <w:szCs w:val="18"/>
                <w:color w:val="auto"/>
              </w:rPr>
              <w:t>costs of $268</w:t>
            </w:r>
          </w:p>
        </w:tc>
        <w:tc>
          <w:tcPr>
            <w:tcW w:w="1060" w:type="dxa"/>
            <w:vAlign w:val="bottom"/>
          </w:tcPr>
          <w:p>
            <w:pPr>
              <w:jc w:val="right"/>
              <w:spacing w:after="0"/>
              <w:rPr>
                <w:sz w:val="20"/>
                <w:szCs w:val="20"/>
                <w:color w:val="auto"/>
              </w:rPr>
            </w:pPr>
            <w:r>
              <w:rPr>
                <w:rFonts w:ascii="Arial" w:cs="Arial" w:eastAsia="Arial" w:hAnsi="Arial"/>
                <w:sz w:val="18"/>
                <w:szCs w:val="18"/>
                <w:color w:val="auto"/>
              </w:rPr>
              <w:t>78,211,116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105,318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230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Vesting of founder</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2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and restricted</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1"/>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2300" w:type="dxa"/>
            <w:vAlign w:val="bottom"/>
          </w:tcPr>
          <w:p>
            <w:pPr>
              <w:ind w:left="180"/>
              <w:spacing w:after="0" w:line="183" w:lineRule="exact"/>
              <w:rPr>
                <w:sz w:val="20"/>
                <w:szCs w:val="20"/>
                <w:color w:val="auto"/>
              </w:rPr>
            </w:pPr>
            <w:r>
              <w:rPr>
                <w:rFonts w:ascii="Arial" w:cs="Arial" w:eastAsia="Arial" w:hAnsi="Arial"/>
                <w:sz w:val="18"/>
                <w:szCs w:val="18"/>
                <w:color w:val="auto"/>
              </w:rPr>
              <w:t>Vesting of early</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300" w:type="dxa"/>
            <w:vAlign w:val="bottom"/>
          </w:tcPr>
          <w:p>
            <w:pPr>
              <w:ind w:left="360"/>
              <w:spacing w:after="0" w:line="202" w:lineRule="exact"/>
              <w:rPr>
                <w:sz w:val="20"/>
                <w:szCs w:val="20"/>
                <w:color w:val="auto"/>
              </w:rPr>
            </w:pPr>
            <w:r>
              <w:rPr>
                <w:rFonts w:ascii="Arial" w:cs="Arial" w:eastAsia="Arial" w:hAnsi="Arial"/>
                <w:sz w:val="18"/>
                <w:szCs w:val="18"/>
                <w:color w:val="auto"/>
              </w:rPr>
              <w:t>exercised stock</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300" w:type="dxa"/>
            <w:vAlign w:val="bottom"/>
          </w:tcPr>
          <w:p>
            <w:pPr>
              <w:ind w:left="360"/>
              <w:spacing w:after="0"/>
              <w:rPr>
                <w:sz w:val="20"/>
                <w:szCs w:val="20"/>
                <w:color w:val="auto"/>
              </w:rPr>
            </w:pPr>
            <w:r>
              <w:rPr>
                <w:rFonts w:ascii="Arial" w:cs="Arial" w:eastAsia="Arial" w:hAnsi="Arial"/>
                <w:sz w:val="18"/>
                <w:szCs w:val="18"/>
                <w:color w:val="auto"/>
              </w:rPr>
              <w:t>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1,362,500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1,297,742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w:t>
            </w:r>
          </w:p>
        </w:tc>
      </w:tr>
      <w:tr>
        <w:trPr>
          <w:trHeight w:val="184"/>
        </w:trPr>
        <w:tc>
          <w:tcPr>
            <w:tcW w:w="2300" w:type="dxa"/>
            <w:vAlign w:val="bottom"/>
          </w:tcPr>
          <w:p>
            <w:pPr>
              <w:ind w:left="180"/>
              <w:spacing w:after="0" w:line="183" w:lineRule="exact"/>
              <w:rPr>
                <w:sz w:val="20"/>
                <w:szCs w:val="20"/>
                <w:color w:val="auto"/>
              </w:rPr>
            </w:pPr>
            <w:r>
              <w:rPr>
                <w:rFonts w:ascii="Arial" w:cs="Arial" w:eastAsia="Arial" w:hAnsi="Arial"/>
                <w:sz w:val="18"/>
                <w:szCs w:val="18"/>
                <w:color w:val="auto"/>
              </w:rPr>
              <w:t>Stock-based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230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r>
      <w:tr>
        <w:trPr>
          <w:trHeight w:val="184"/>
        </w:trPr>
        <w:tc>
          <w:tcPr>
            <w:tcW w:w="230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Unrealized loss on short-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investments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09"/>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(25,210)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(25,210)</w:t>
            </w:r>
          </w:p>
        </w:tc>
      </w:tr>
      <w:tr>
        <w:trPr>
          <w:trHeight w:val="184"/>
        </w:trPr>
        <w:tc>
          <w:tcPr>
            <w:tcW w:w="23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Balance as of</w:t>
            </w: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144,589,706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147,946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19,641,492</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(38,189)</w:t>
            </w:r>
          </w:p>
        </w:tc>
      </w:tr>
      <w:tr>
        <w:trPr>
          <w:trHeight w:val="191"/>
        </w:trPr>
        <w:tc>
          <w:tcPr>
            <w:tcW w:w="2300" w:type="dxa"/>
            <w:vAlign w:val="bottom"/>
          </w:tcPr>
          <w:p>
            <w:pPr>
              <w:ind w:left="180"/>
              <w:spacing w:after="0" w:line="191" w:lineRule="exact"/>
              <w:rPr>
                <w:sz w:val="20"/>
                <w:szCs w:val="20"/>
                <w:color w:val="auto"/>
              </w:rPr>
            </w:pPr>
            <w:r>
              <w:rPr>
                <w:rFonts w:ascii="Arial" w:cs="Arial" w:eastAsia="Arial" w:hAnsi="Arial"/>
                <w:sz w:val="18"/>
                <w:szCs w:val="18"/>
                <w:color w:val="auto"/>
              </w:rPr>
              <w:t>Vesting of founder</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300" w:type="dxa"/>
            <w:vAlign w:val="bottom"/>
          </w:tcPr>
          <w:p>
            <w:pPr>
              <w:ind w:left="360"/>
              <w:spacing w:after="0" w:line="202" w:lineRule="exact"/>
              <w:rPr>
                <w:sz w:val="20"/>
                <w:szCs w:val="20"/>
                <w:color w:val="auto"/>
              </w:rPr>
            </w:pPr>
            <w:r>
              <w:rPr>
                <w:rFonts w:ascii="Arial" w:cs="Arial" w:eastAsia="Arial" w:hAnsi="Arial"/>
                <w:sz w:val="18"/>
                <w:szCs w:val="18"/>
                <w:color w:val="auto"/>
              </w:rPr>
              <w:t>shares and restricted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300" w:type="dxa"/>
            <w:vAlign w:val="bottom"/>
          </w:tcPr>
          <w:p>
            <w:pPr>
              <w:ind w:left="360"/>
              <w:spacing w:after="0"/>
              <w:rPr>
                <w:sz w:val="20"/>
                <w:szCs w:val="20"/>
                <w:color w:val="auto"/>
              </w:rPr>
            </w:pPr>
            <w:r>
              <w:rPr>
                <w:rFonts w:ascii="Arial" w:cs="Arial" w:eastAsia="Arial" w:hAnsi="Arial"/>
                <w:sz w:val="18"/>
                <w:szCs w:val="18"/>
                <w:color w:val="auto"/>
              </w:rPr>
              <w:t>stock awards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1,279,166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230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Vesting of early</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2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 stock</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1"/>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477,217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184"/>
        </w:trPr>
        <w:tc>
          <w:tcPr>
            <w:tcW w:w="230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Stock-based</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r>
      <w:tr>
        <w:trPr>
          <w:trHeight w:val="184"/>
        </w:trPr>
        <w:tc>
          <w:tcPr>
            <w:tcW w:w="2300" w:type="dxa"/>
            <w:vAlign w:val="bottom"/>
          </w:tcPr>
          <w:p>
            <w:pPr>
              <w:ind w:left="180"/>
              <w:spacing w:after="0" w:line="183" w:lineRule="exact"/>
              <w:rPr>
                <w:sz w:val="20"/>
                <w:szCs w:val="20"/>
                <w:color w:val="auto"/>
              </w:rPr>
            </w:pPr>
            <w:r>
              <w:rPr>
                <w:rFonts w:ascii="Arial" w:cs="Arial" w:eastAsia="Arial" w:hAnsi="Arial"/>
                <w:sz w:val="18"/>
                <w:szCs w:val="18"/>
                <w:color w:val="auto"/>
              </w:rPr>
              <w:t>Unrealized loss on short-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2300" w:type="dxa"/>
            <w:vAlign w:val="bottom"/>
          </w:tcPr>
          <w:p>
            <w:pPr>
              <w:ind w:left="360"/>
              <w:spacing w:after="0"/>
              <w:rPr>
                <w:sz w:val="20"/>
                <w:szCs w:val="20"/>
                <w:color w:val="auto"/>
              </w:rPr>
            </w:pPr>
            <w:r>
              <w:rPr>
                <w:rFonts w:ascii="Arial" w:cs="Arial" w:eastAsia="Arial" w:hAnsi="Arial"/>
                <w:sz w:val="18"/>
                <w:szCs w:val="18"/>
                <w:color w:val="auto"/>
              </w:rPr>
              <w:t>term investments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(45,901)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(45,901)</w:t>
            </w:r>
          </w:p>
        </w:tc>
      </w:tr>
      <w:tr>
        <w:trPr>
          <w:trHeight w:val="191"/>
        </w:trPr>
        <w:tc>
          <w:tcPr>
            <w:tcW w:w="230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as of</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2300" w:type="dxa"/>
            <w:vAlign w:val="bottom"/>
          </w:tcPr>
          <w:p>
            <w:pPr>
              <w:ind w:left="180"/>
              <w:spacing w:after="0"/>
              <w:rPr>
                <w:sz w:val="20"/>
                <w:szCs w:val="20"/>
                <w:color w:val="auto"/>
              </w:rPr>
            </w:pPr>
            <w:r>
              <w:rPr>
                <w:rFonts w:ascii="Arial" w:cs="Arial" w:eastAsia="Arial" w:hAnsi="Arial"/>
                <w:sz w:val="18"/>
                <w:szCs w:val="18"/>
                <w:b w:val="1"/>
                <w:bCs w:val="1"/>
                <w:color w:val="auto"/>
              </w:rPr>
              <w:t>December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144,589,706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147,946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22,762,041</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(86,675)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(81,696)</w:t>
            </w:r>
          </w:p>
        </w:tc>
      </w:tr>
      <w:tr>
        <w:trPr>
          <w:trHeight w:val="20"/>
        </w:trPr>
        <w:tc>
          <w:tcPr>
            <w:tcW w:w="2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0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(25,210)</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(45,901)</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Adjustments to reconcile net loss to net cash used in operating</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1,158</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investments, net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lease expense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540"/>
              <w:spacing w:after="0" w:line="202" w:lineRule="exact"/>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(1,602)</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1,224</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3"/>
        </w:trPr>
        <w:tc>
          <w:tcPr>
            <w:tcW w:w="8020" w:type="dxa"/>
            <w:vAlign w:val="bottom"/>
          </w:tcPr>
          <w:p>
            <w:pPr>
              <w:ind w:left="720"/>
              <w:spacing w:after="0" w:line="202" w:lineRule="exact"/>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(459)</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(23,248)</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(39,596)</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investments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(77,490)</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(42,598)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Maturities of investments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20,239</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59,796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(2,034)</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9"/>
        </w:trPr>
        <w:tc>
          <w:tcPr>
            <w:tcW w:w="8020" w:type="dxa"/>
            <w:vAlign w:val="bottom"/>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180"/>
              <w:spacing w:after="0" w:line="183" w:lineRule="exact"/>
              <w:rPr>
                <w:sz w:val="20"/>
                <w:szCs w:val="20"/>
                <w:color w:val="auto"/>
              </w:rPr>
            </w:pPr>
            <w:r>
              <w:rPr>
                <w:rFonts w:ascii="Arial" w:cs="Arial" w:eastAsia="Arial" w:hAnsi="Arial"/>
                <w:sz w:val="18"/>
                <w:szCs w:val="18"/>
                <w:color w:val="auto"/>
              </w:rPr>
              <w:t>Proceeds from issuance of convertible preferred stock and preferred stock purchase right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20" w:type="dxa"/>
            <w:vAlign w:val="bottom"/>
          </w:tcPr>
          <w:p>
            <w:pPr>
              <w:ind w:left="360"/>
              <w:spacing w:after="0"/>
              <w:rPr>
                <w:sz w:val="20"/>
                <w:szCs w:val="20"/>
                <w:color w:val="auto"/>
              </w:rPr>
            </w:pPr>
            <w:r>
              <w:rPr>
                <w:rFonts w:ascii="Arial" w:cs="Arial" w:eastAsia="Arial" w:hAnsi="Arial"/>
                <w:sz w:val="18"/>
                <w:szCs w:val="18"/>
                <w:color w:val="auto"/>
              </w:rPr>
              <w:t>liabilities, net of issuance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105,318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22,993</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(23,338)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11,829</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34,822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34,822</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cash, cash equivalents, and restricted cash</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34,289</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34,822</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Recognition of operating lease asset at adoption of ASC 842</w:t>
            </w:r>
          </w:p>
        </w:tc>
        <w:tc>
          <w:tcPr>
            <w:tcW w:w="300" w:type="dxa"/>
            <w:vAlign w:val="bottom"/>
            <w:gridSpan w:val="2"/>
            <w:shd w:val="clear" w:color="auto" w:fill="CCEEFF"/>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Addition to ROU assets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of early exercised stock options</w:t>
            </w:r>
          </w:p>
        </w:tc>
        <w:tc>
          <w:tcPr>
            <w:tcW w:w="300" w:type="dxa"/>
            <w:vAlign w:val="bottom"/>
            <w:gridSpan w:val="2"/>
            <w:shd w:val="clear" w:color="auto" w:fill="CCEEFF"/>
          </w:tcPr>
          <w:p>
            <w:pPr>
              <w:jc w:val="right"/>
              <w:ind w:right="127"/>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Unpaid property and equipment purchases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7200" w:hanging="4"/>
        <w:spacing w:after="0" w:line="360" w:lineRule="auto"/>
        <w:tabs>
          <w:tab w:leader="none" w:pos="5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Description of Business</w:t>
      </w:r>
    </w:p>
    <w:p>
      <w:pPr>
        <w:ind w:left="120" w:right="80" w:firstLine="440"/>
        <w:spacing w:after="0" w:line="266" w:lineRule="auto"/>
        <w:rPr>
          <w:sz w:val="20"/>
          <w:szCs w:val="20"/>
          <w:color w:val="auto"/>
        </w:rPr>
      </w:pPr>
      <w:r>
        <w:rPr>
          <w:rFonts w:ascii="Arial" w:cs="Arial" w:eastAsia="Arial" w:hAnsi="Arial"/>
          <w:sz w:val="17"/>
          <w:szCs w:val="17"/>
          <w:color w:val="auto"/>
        </w:rPr>
        <w:t>Boundless Bio, Inc. (the Company) is a clinical-stage precision oncology company dedicated to unlocking a new paradigm in cancer therapeutics to address the significant unmet need in patients with oncogene amplified tumors by targeting extrachromosomal DNA (ecDNA). The Company is focused on designing and developing small molecule drugs called ecDNA-directed therapeutic candidates (ecDTx). The Company was incorporated in the state of Delaware on April 10, 2018 and is headquartered in San Diego, California.</w:t>
      </w:r>
    </w:p>
    <w:p>
      <w:pPr>
        <w:spacing w:after="0" w:line="13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Since the Company commenced operations in 2018, it has devoted substantially all of its efforts and resources to organizing and staffing the company, business planning, raising capital, building its proprietary Spyglass platform, discovering its ecDTx,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w:t>
      </w:r>
    </w:p>
    <w:p>
      <w:pPr>
        <w:spacing w:after="0" w:line="133"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As of December 31, 2022, the Company had an accumulated deficit of $86.7 million and cash, cash equivalents and short-term investments of $66.7 million. The Company has incurred significant operating losses and negative cash flows from its operations and expects that it will continue to do so into the foreseeable future as it continues its development of, seeks regulatory approval for, and potentially commercializes any of its ecDTx and seeks to discover, and develop additional ecDTx, utilizes third parties to manufacture its ecDTx and related raw materials, hires additional personnel, and expands and protects its intellectual property. If the Company obtains regulatory approval for any of its ecDTx, it expects to incur significant commercialization expenses related to product sales, marketing, manufacturing, and distribution. As such, the Company will need to continue to raise a substantial amount of funds until it is able to generate revenues to fund its development activities and operations. Since its inception, the Company has funded its operations from the gross proceeds from the sale and issuance of its convertible preferred stock.</w:t>
      </w:r>
    </w:p>
    <w:p>
      <w:pPr>
        <w:spacing w:after="0" w:line="143" w:lineRule="exact"/>
        <w:rPr>
          <w:sz w:val="20"/>
          <w:szCs w:val="20"/>
          <w:color w:val="auto"/>
        </w:rPr>
      </w:pPr>
    </w:p>
    <w:p>
      <w:pPr>
        <w:ind w:left="120" w:right="20" w:firstLine="440"/>
        <w:spacing w:after="0" w:line="252" w:lineRule="auto"/>
        <w:rPr>
          <w:sz w:val="20"/>
          <w:szCs w:val="20"/>
          <w:color w:val="auto"/>
        </w:rPr>
      </w:pPr>
      <w:r>
        <w:rPr>
          <w:rFonts w:ascii="Arial" w:cs="Arial" w:eastAsia="Arial" w:hAnsi="Arial"/>
          <w:sz w:val="17"/>
          <w:szCs w:val="17"/>
          <w:color w:val="auto"/>
        </w:rPr>
        <w:t>The Company does not have any products approved for sale and has not generated any revenue to date. The Company does not expect to generate any revenue from product sales until it successfully completes development and obtains regulatory approval for one or more of its ecDTx, which the Company expects will take a number of years and may never occur. The Company will need substantial additional funding to support its continuing operations and pursue its long-term business plan, including to complete the development and commercialization of its ecDTx, if approved. Accordingly, until such time as the Company can generate significant revenue from sales of its ecDTx, if ever, the Company expects to finance its future cash needs through equity offerings, debt financings, or other capital sources, including potential collaborations, licenses, and other similar arrangements. However, the Company may be unable to raise additional funds or enter into such other arrangements when needed on favorable terms or at all. The Company’s failure to raise capital or enter into such other arrangements when needed would have a negative impact on its financial condition and could force it to delay, limit, reduce, or terminate its research and development programs or other operations, or grant rights to develop and market ecDTx that the Company would otherwise prefer to develop and market itself. Although there can be no assurance that the Company will be successful in acquiring additional funding, that projections of future working capital needs will prove accurate, or that any additional funding would be sufficient to continue operations in future years, the Company believes that its existing cash, and cash equivalents and investments securities, in addition to the gross proceeds of $100.0 million raised from the issuance of 142,857,138 shares of its Series C convertible preferred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stock during April and May 2023 (see note 14), will be sufficient to fund operations for the next 12 months from the date these financial statements are available to be issued.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196" w:lineRule="exact"/>
        <w:rPr>
          <w:sz w:val="20"/>
          <w:szCs w:val="20"/>
          <w:color w:val="auto"/>
        </w:rPr>
      </w:pPr>
    </w:p>
    <w:p>
      <w:pPr>
        <w:ind w:left="120" w:right="6800" w:hanging="4"/>
        <w:spacing w:after="0" w:line="360" w:lineRule="auto"/>
        <w:tabs>
          <w:tab w:leader="none" w:pos="5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left="120" w:firstLine="440"/>
        <w:spacing w:after="0" w:line="24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w:t>
      </w:r>
    </w:p>
    <w:p>
      <w:pPr>
        <w:spacing w:after="0" w:line="147"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On an ongoing basis, management evaluates its estimates, primarily related to stock-based compensation, the fair value of its investments and common stock, and accrued research and development costs.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the valuation of stock options require the selection of appropriate valuation methodologies and models, and significant judgment in evaluating ranges of assumptions and financial inputs.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2"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Cash and cash equivalents include cash in readily available checking and money market accounts.</w:t>
      </w:r>
    </w:p>
    <w:p>
      <w:pPr>
        <w:spacing w:after="0" w:line="113"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The balance reflected in these financial statements as restricted cash represents a deposit account pledged as collateral to secure a standby letter of credit required as a security deposit on one of the Company’s leased facilities. The Company has classified the restricted cash as a noncurrent asset on its balance sheets as of December 31, 2021 and 2022.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Financial instruments, which potentially subject the Company to the concentration of credit risk, consist primarily of cash, cash equivalents and investments. The Company maintains deposits in federally insured financial institutions which exceeded federally insured limits by $1.6 million.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15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—Quoted prices in active markets for identical assets or liabilities.</w:t>
      </w:r>
    </w:p>
    <w:p>
      <w:pPr>
        <w:spacing w:after="0" w:line="104" w:lineRule="exact"/>
        <w:rPr>
          <w:sz w:val="20"/>
          <w:szCs w:val="20"/>
          <w:color w:val="auto"/>
        </w:rPr>
      </w:pPr>
    </w:p>
    <w:p>
      <w:pPr>
        <w:ind w:left="560" w:right="420"/>
        <w:spacing w:after="0" w:line="271"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observable, either directly or indirectly, for substantially the full term of the asset or liability.</w:t>
      </w:r>
    </w:p>
    <w:p>
      <w:pPr>
        <w:spacing w:after="0" w:line="46" w:lineRule="exact"/>
        <w:rPr>
          <w:sz w:val="20"/>
          <w:szCs w:val="20"/>
          <w:color w:val="auto"/>
        </w:rPr>
      </w:pPr>
    </w:p>
    <w:p>
      <w:pPr>
        <w:ind w:left="560"/>
        <w:spacing w:after="0" w:line="271"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or liabilities, including pricing models, discounted cash flow methodologies and similar techniques.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and amortization. Depreciation and amortization are recorded using the straight-line method over the estimated useful lives of the related assets, which ranges from three to seven years. Leasehold improvements are amortized on a straight-line basis over the shorter of the estimated useful lives of the assets or the remaining lease term. Repairs and maintenance charges that do not increase the useful life of the assets are charged to operating expenses as incurred.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2"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The Company leases real estate facilities under non-cancellable operating leases with various expiration dates through fiscal year 2034.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147"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 xml:space="preserve">Prior to January 1, 2021, the Company accounted for its leases under </w:t>
      </w:r>
      <w:r>
        <w:rPr>
          <w:rFonts w:ascii="Arial" w:cs="Arial" w:eastAsia="Arial" w:hAnsi="Arial"/>
          <w:sz w:val="18"/>
          <w:szCs w:val="18"/>
          <w:i w:val="1"/>
          <w:iCs w:val="1"/>
          <w:color w:val="auto"/>
        </w:rPr>
        <w:t>ASC 840, Leases</w:t>
      </w:r>
      <w:r>
        <w:rPr>
          <w:rFonts w:ascii="Arial" w:cs="Arial" w:eastAsia="Arial" w:hAnsi="Arial"/>
          <w:sz w:val="18"/>
          <w:szCs w:val="18"/>
          <w:color w:val="auto"/>
        </w:rPr>
        <w:t xml:space="preserve"> (ASC 840). 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January 1, 2021. The Company elected the package of practical expedients for transition under which the Company did not reassess its prior conclusions about lease identification, lease classification, and initial direct costs. Additionally, the Company elected the “hindsight” and “land easement” practical expedients for transition under which conclusions around lease term, impairment, and land easements will not be reassessed. The Company did not apply the portfolio approach to its lease agreements.</w:t>
      </w:r>
    </w:p>
    <w:p>
      <w:pPr>
        <w:spacing w:after="0" w:line="13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Operating leases are included in operating lease assets and in operating lease liabilities in the accompanying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do not provide an implicit rate, the Company estimates its incremental borrowing rate based on the information available at lease commencement date for borrowings with a similar term.</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ind w:left="120" w:right="480" w:firstLine="440"/>
        <w:spacing w:after="0" w:line="253"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in making decisions regarding resource allocation and assessing performance. The Company views its operations and manages its business as one operating segment.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Company’s convertible preferred stock is classified as temporary equity in the accompanying balance sheets and excluded from stockholders’ deficit as the potential redemption of such stock is outside the Company’s control and would require the redemption of the then-outstanding convertible preferred stock. The convertible preferred stock is not redeemable except for in the event of a liquidation, dissolution, or winding up of the Company. Costs incurred in connection with the issuance of convertible preferred stock are recorded as a reduction of gross proceeds from issuance. The Company does not accrete the carrying values of the preferred stock to the redemption values since the occurrence of these events was not considered probable as of December 31, 2021 and 2022. Subsequent adjustments of the carrying values to the ultimate redemption values will be made only when it becomes probable that these events will occur.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benefits, and stock-based compensation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w:t>
      </w:r>
    </w:p>
    <w:p>
      <w:pPr>
        <w:spacing w:after="0" w:line="18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rendered. Non-refundable advance payments for goods or services that will be used or rendered for future R&amp;D activities are deferred and capitalized as prepaid expenses until the related goods are delivered or services are performed.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General and administrative (G&amp;A) expenses consist primarily of personnel-related expenses, including salaries,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w:t>
      </w:r>
    </w:p>
    <w:p>
      <w:pPr>
        <w:spacing w:after="0" w:line="176" w:lineRule="exact"/>
        <w:rPr>
          <w:sz w:val="20"/>
          <w:szCs w:val="20"/>
          <w:color w:val="auto"/>
        </w:rPr>
      </w:pPr>
    </w:p>
    <w:p>
      <w:pPr>
        <w:ind w:left="120" w:right="560" w:firstLine="440"/>
        <w:spacing w:after="0" w:line="271" w:lineRule="auto"/>
        <w:rPr>
          <w:sz w:val="20"/>
          <w:szCs w:val="20"/>
          <w:color w:val="auto"/>
        </w:rPr>
      </w:pPr>
      <w:r>
        <w:rPr>
          <w:rFonts w:ascii="Arial" w:cs="Arial" w:eastAsia="Arial" w:hAnsi="Arial"/>
          <w:sz w:val="18"/>
          <w:szCs w:val="18"/>
          <w:color w:val="auto"/>
        </w:rPr>
        <w:t>Costs related to filing and pursuing patent applications are recorded as G&amp;A expense and are expensed as incurred since the recoverability of such expenditures is uncertain.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Company expenses stock-based compensation over the requisite service period (usually the vesting period) on a straight-line basis, net of actual forfeitures during the period, based on the estimated grant-date fair value of the awards. The fair value of each stock option grant is estimated on the date of grant using the Black-Scholes option pricing model, which requires inputs based on certain subjective assumptions, including the:</w:t>
      </w:r>
    </w:p>
    <w:p>
      <w:pPr>
        <w:spacing w:after="0" w:line="79" w:lineRule="exact"/>
        <w:rPr>
          <w:sz w:val="20"/>
          <w:szCs w:val="20"/>
          <w:color w:val="auto"/>
        </w:rPr>
      </w:pPr>
    </w:p>
    <w:p>
      <w:pPr>
        <w:ind w:left="1080" w:right="20" w:hanging="424"/>
        <w:spacing w:after="0" w:line="23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Due to the absence of an active market for the Company’s common stock,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xml:space="preserve"> to estimate the fair value of its common stock. In determining the fair value of the restricted stock awards, the Company has considered the fair value of the common stock as of the grant date. The fair value of the common stock has been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 Company’s industry; and external market conditions affecting the biopharmaceutical industry and trends within the biopharmaceutical industry.</w:t>
      </w:r>
    </w:p>
    <w:p>
      <w:pPr>
        <w:spacing w:after="0" w:line="94" w:lineRule="exact"/>
        <w:rPr>
          <w:rFonts w:ascii="Arial" w:cs="Arial" w:eastAsia="Arial" w:hAnsi="Arial"/>
          <w:sz w:val="18"/>
          <w:szCs w:val="18"/>
          <w:color w:val="auto"/>
        </w:rPr>
      </w:pPr>
    </w:p>
    <w:p>
      <w:pPr>
        <w:jc w:val="both"/>
        <w:ind w:left="1080" w:right="20" w:hanging="424"/>
        <w:spacing w:after="0" w:line="25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Given that the Company’s common stock is privately held, there is no active trading market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assumption is based on volatilities of a peer group of similar companies whose share prices are publicly available. The peer group was developed based on companies in the biotechnology industry.</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080" w:right="660" w:hanging="424"/>
        <w:spacing w:after="0" w:line="271"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assumption on the U.S. Treasury’s rates for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zero-coupon bonds with maturities similar to those of the expected term of the award being valued.</w:t>
      </w:r>
    </w:p>
    <w:p>
      <w:pPr>
        <w:spacing w:after="0" w:line="59" w:lineRule="exact"/>
        <w:rPr>
          <w:rFonts w:ascii="Arial" w:cs="Arial" w:eastAsia="Arial" w:hAnsi="Arial"/>
          <w:sz w:val="18"/>
          <w:szCs w:val="18"/>
          <w:color w:val="auto"/>
        </w:rPr>
      </w:pPr>
    </w:p>
    <w:p>
      <w:pPr>
        <w:ind w:left="1080" w:right="360" w:hanging="424"/>
        <w:spacing w:after="0" w:line="25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of time that options are expected to be outstanding. Because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significant historical exercise behavior, it determines the expected life assumption using the simplified method, which is an average of the contractual term of the option and its vesting period.</w:t>
      </w:r>
    </w:p>
    <w:p>
      <w:pPr>
        <w:spacing w:after="0" w:line="74"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used an expected dividend yield of zero, as it has never paid dividends on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has no present intention of doing so in the foreseeable future.</w:t>
      </w:r>
    </w:p>
    <w:p>
      <w:pPr>
        <w:spacing w:after="0" w:line="15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8"/>
          <w:szCs w:val="18"/>
          <w:color w:val="auto"/>
        </w:rPr>
        <w:t>For restricted stock awards, the fair value of the award is the estimated fair value of the Company’s common stock on the grant date, as determined by the Company’s Board of Directors.</w:t>
      </w:r>
    </w:p>
    <w:p>
      <w:pPr>
        <w:spacing w:after="0" w:line="154"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The assumptions used in calculating the fair value of stock-based awards represent management’s best estimates and involve inherent uncertainties and the application of management’s judgment.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to estimate the fair value of its common stock. In determining the exercise prices for options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preferences, and privileges of the convertible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taxable temporary differences,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Interest and penalties are included as a component of income tax expense.</w:t>
      </w:r>
    </w:p>
    <w:p>
      <w:pPr>
        <w:spacing w:after="0" w:line="17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Any resulting unrecognized tax benefits are included within the related tax liability.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Comprehensive loss consists of net loss and unrealized gains and losses on the Company’s available-for-sale investments. The Company reports all components of comprehensive income (loss) in the statements of operations and comprehensive loss in the period in which they are recognized.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Company’s potentially dilutive securities, which include its convertible preferred stock, options to purchase common stock and common stock subject to repurchase related to unvested restricted stock and options early exercised, have been excluded from the computation of diluted net loss per share as the effect would reduce the net loss per share. Therefore, the weighted-average number of shares of common stock outstanding used to calculate both basic and diluted net loss per share is the same.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FASB standards’ effective dates.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left="120" w:right="220" w:firstLine="440"/>
        <w:spacing w:after="0" w:line="244" w:lineRule="auto"/>
        <w:rPr>
          <w:sz w:val="20"/>
          <w:szCs w:val="20"/>
          <w:color w:val="auto"/>
        </w:rPr>
      </w:pPr>
      <w:r>
        <w:rPr>
          <w:rFonts w:ascii="Arial" w:cs="Arial" w:eastAsia="Arial" w:hAnsi="Arial"/>
          <w:sz w:val="18"/>
          <w:szCs w:val="18"/>
          <w:color w:val="auto"/>
        </w:rPr>
        <w:t xml:space="preserve">In February 2016, the FASB issued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requiring entities to recognize assets and liabilities arising from financing and operating leases, along with additional qualitative and quantitative disclosures. ASC 842 is effective for private companies for fiscal years beginning after December 15, 2021. The Company adopted ASC 842 on January 1, 2021. At adoption, the Company recorded a right-of-use asset of $766,000, reduced the balance of its deferred rent liability by $70,000, and booked a corresponding operating lease liability of approximately $836,000.</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 xml:space="preserve">In June 2016, the FASB issued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(ASU 2016-13)</w:t>
      </w:r>
      <w:r>
        <w:rPr>
          <w:rFonts w:ascii="Arial" w:cs="Arial" w:eastAsia="Arial" w:hAnsi="Arial"/>
          <w:sz w:val="18"/>
          <w:szCs w:val="18"/>
          <w:color w:val="auto"/>
        </w:rPr>
        <w:t>, which changed the impairment model for most financial assets and certain other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for credit losses on available-for-sale debt securities are recognized, rather than direct reductions in the amortized cost of the investments, even if impairment is considered to be other-than-temporary. The new model also requires the estimation of lifetime expected credit losses and corresponding recognition of allowance for losses on trade and other receivables, held-to-maturity debt securities, loans, and other instruments held at amortized cost. ASU 2016-13 also requires certain recurring disclosures. ASU 2016-13 is effective for private companies for fiscal years beginning after December 15, 2022. Adoption of this standard is not expected to have a material impact on the Company’s financial statements.</w:t>
      </w:r>
    </w:p>
    <w:p>
      <w:pPr>
        <w:spacing w:after="0" w:line="329"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 (in thousands)</w:t>
            </w:r>
          </w:p>
        </w:tc>
        <w:tc>
          <w:tcPr>
            <w:tcW w:w="220" w:type="dxa"/>
            <w:vAlign w:val="bottom"/>
          </w:tcPr>
          <w:p>
            <w:pPr>
              <w:spacing w:after="0"/>
              <w:rPr>
                <w:sz w:val="14"/>
                <w:szCs w:val="1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Fair Value Measurements Using</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40" w:type="dxa"/>
            <w:vAlign w:val="bottom"/>
            <w:gridSpan w:val="2"/>
          </w:tcPr>
          <w:p>
            <w:pPr>
              <w:jc w:val="right"/>
              <w:ind w:right="840"/>
              <w:spacing w:after="0" w:line="155"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Money market funds (1)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31,833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31,833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 (2)</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20,182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20,182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obligations (3)</w:t>
            </w:r>
          </w:p>
        </w:tc>
        <w:tc>
          <w:tcPr>
            <w:tcW w:w="2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15,923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15,923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securities (4)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8,261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8,261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Corporate debt securities (4)</w:t>
            </w:r>
          </w:p>
        </w:tc>
        <w:tc>
          <w:tcPr>
            <w:tcW w:w="2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29,366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29,366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105,565</w:t>
            </w: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31,833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73,732</w:t>
            </w:r>
          </w:p>
        </w:tc>
        <w:tc>
          <w:tcPr>
            <w:tcW w:w="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Included in cash and cash equivalents on the balance sheets.</w:t>
      </w:r>
    </w:p>
    <w:p>
      <w:pPr>
        <w:spacing w:after="0" w:line="15" w:lineRule="exact"/>
        <w:rPr>
          <w:rFonts w:ascii="Arial" w:cs="Arial" w:eastAsia="Arial" w:hAnsi="Arial"/>
          <w:sz w:val="14"/>
          <w:szCs w:val="14"/>
          <w:color w:val="auto"/>
        </w:rPr>
      </w:pP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Included in short-term investments on the balance sheets.</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Included in long-term investments on the balance sheets.</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Included in short-term and long-term investments on the balance sheets.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 (in thousands)</w:t>
            </w:r>
          </w:p>
        </w:tc>
        <w:tc>
          <w:tcPr>
            <w:tcW w:w="24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60" w:type="dxa"/>
            <w:vAlign w:val="bottom"/>
            <w:gridSpan w:val="2"/>
          </w:tcPr>
          <w:p>
            <w:pPr>
              <w:jc w:val="right"/>
              <w:ind w:right="86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Money market funds (1)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9,078</w:t>
            </w:r>
          </w:p>
        </w:tc>
        <w:tc>
          <w:tcPr>
            <w:tcW w:w="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9,078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 (2)</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obligations (2)</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34,898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34,898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securities (2)</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Corporate debt securities (2)</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17,279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17,279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64,844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9,078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55,766</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Included in cash and cash equivalents on the balance sheets.</w:t>
      </w:r>
    </w:p>
    <w:p>
      <w:pPr>
        <w:spacing w:after="0" w:line="15" w:lineRule="exact"/>
        <w:rPr>
          <w:rFonts w:ascii="Arial" w:cs="Arial" w:eastAsia="Arial" w:hAnsi="Arial"/>
          <w:sz w:val="14"/>
          <w:szCs w:val="14"/>
          <w:color w:val="auto"/>
        </w:rPr>
      </w:pPr>
    </w:p>
    <w:p>
      <w:pPr>
        <w:ind w:left="540" w:hanging="424"/>
        <w:spacing w:after="0"/>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Included in short-term investments on the balance sheets.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of assets between fair value levels during the years ended December 31, 2021 or 2022.</w:t>
      </w:r>
    </w:p>
    <w:p>
      <w:pPr>
        <w:spacing w:after="0" w:line="360"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0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summarizes investments accounted for as available-for-sale securities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Acquisition</w:t>
            </w:r>
          </w:p>
        </w:tc>
        <w:tc>
          <w:tcPr>
            <w:tcW w:w="11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14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rPr>
              <w:t>Estimated Fair</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31,833</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31,833</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20,182</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government obligations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15,974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8,275</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29,476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29,366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105,740</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31,833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38,744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line="202" w:lineRule="exact"/>
              <w:rPr>
                <w:sz w:val="20"/>
                <w:szCs w:val="20"/>
                <w:color w:val="auto"/>
              </w:rPr>
            </w:pPr>
            <w:r>
              <w:rPr>
                <w:rFonts w:ascii="Arial" w:cs="Arial" w:eastAsia="Arial" w:hAnsi="Arial"/>
                <w:sz w:val="18"/>
                <w:szCs w:val="18"/>
                <w:color w:val="auto"/>
              </w:rPr>
              <w:t>Long-term investments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equivalents and investments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105,565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Acquisition</w:t>
            </w:r>
          </w:p>
        </w:tc>
        <w:tc>
          <w:tcPr>
            <w:tcW w:w="11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14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rPr>
              <w:t>Estimated Fair</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9,078</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9,078</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3,484</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3,484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government obligations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35,209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34,898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17,366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17,279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55,766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8"/>
          <w:szCs w:val="18"/>
          <w:color w:val="auto"/>
        </w:rPr>
        <w:t>On December 31, 2021 and 2022, the remaining contractual maturities of all the Company’s available-for-sale investments were less than 24 months. As of December 31, 2021 and 2022, the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has not established an allowance for credit losses for any of its available-for-sale securities.</w:t>
      </w:r>
    </w:p>
    <w:p>
      <w:pPr>
        <w:spacing w:after="0" w:line="212"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As of December 31, 2022, there were 18 available-for-sale securities with an estimated fair value of $50.3 million in gross unrealized loss positions. Based on its review of these investments, the Company believes that the unrealized losses reflected the impact of the rising interest rate environment and were not other-than-temporary in nature.</w:t>
      </w:r>
    </w:p>
    <w:p>
      <w:pPr>
        <w:spacing w:after="0" w:line="317"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160" w:type="dxa"/>
            <w:vAlign w:val="bottom"/>
            <w:tcBorders>
              <w:bottom w:val="single" w:sz="8" w:color="CCEEFF"/>
            </w:tcBorders>
          </w:tcPr>
          <w:p>
            <w:pPr>
              <w:spacing w:after="0"/>
              <w:rPr>
                <w:sz w:val="13"/>
                <w:szCs w:val="13"/>
                <w:color w:val="auto"/>
              </w:rPr>
            </w:pPr>
          </w:p>
        </w:tc>
        <w:tc>
          <w:tcPr>
            <w:tcW w:w="23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3,861</w:t>
            </w:r>
          </w:p>
        </w:tc>
        <w:tc>
          <w:tcPr>
            <w:tcW w:w="22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Computers and software</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622</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204</w:t>
            </w:r>
          </w:p>
        </w:tc>
      </w:tr>
      <w:tr>
        <w:trPr>
          <w:trHeight w:val="27"/>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4,733</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1,811</w:t>
            </w:r>
          </w:p>
        </w:tc>
      </w:tr>
      <w:tr>
        <w:trPr>
          <w:trHeight w:val="27"/>
        </w:trPr>
        <w:tc>
          <w:tcPr>
            <w:tcW w:w="6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 net</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2,752</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2,922</w:t>
            </w:r>
          </w:p>
        </w:tc>
      </w:tr>
      <w:tr>
        <w:trPr>
          <w:trHeight w:val="20"/>
        </w:trPr>
        <w:tc>
          <w:tcPr>
            <w:tcW w:w="6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Depreciation and amortization expense related to property and equipment was $0.7 million and $0.9 million, respectively, for the years ended December 31, 2021 and 2022.</w:t>
      </w:r>
    </w:p>
    <w:p>
      <w:pPr>
        <w:spacing w:after="0" w:line="302"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10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consisted of the following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1,402</w:t>
            </w:r>
          </w:p>
        </w:tc>
        <w:tc>
          <w:tcPr>
            <w:tcW w:w="220" w:type="dxa"/>
            <w:vAlign w:val="bottom"/>
            <w:shd w:val="clear" w:color="auto" w:fill="CCEEFF"/>
          </w:tcPr>
          <w:p>
            <w:pPr>
              <w:spacing w:after="0"/>
              <w:rPr>
                <w:sz w:val="17"/>
                <w:szCs w:val="17"/>
                <w:color w:val="auto"/>
              </w:rPr>
            </w:pPr>
          </w:p>
        </w:tc>
      </w:tr>
      <w:tr>
        <w:trPr>
          <w:trHeight w:val="203"/>
        </w:trPr>
        <w:tc>
          <w:tcPr>
            <w:tcW w:w="8460" w:type="dxa"/>
            <w:vAlign w:val="bottom"/>
          </w:tcPr>
          <w:p>
            <w:pPr>
              <w:spacing w:after="0" w:line="202" w:lineRule="exact"/>
              <w:rPr>
                <w:sz w:val="20"/>
                <w:szCs w:val="20"/>
                <w:color w:val="auto"/>
              </w:rPr>
            </w:pPr>
            <w:r>
              <w:rPr>
                <w:rFonts w:ascii="Arial" w:cs="Arial" w:eastAsia="Arial" w:hAnsi="Arial"/>
                <w:sz w:val="18"/>
                <w:szCs w:val="18"/>
                <w:color w:val="auto"/>
              </w:rPr>
              <w:t>Research and development accruals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967</w:t>
            </w:r>
          </w:p>
        </w:tc>
      </w:tr>
      <w:tr>
        <w:trPr>
          <w:trHeight w:val="203"/>
        </w:trPr>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469</w:t>
            </w: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9"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05"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2019 Lease</w:t>
      </w:r>
    </w:p>
    <w:p>
      <w:pPr>
        <w:spacing w:after="0" w:line="10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In June 2019, the Company entered into a non-cancelable lease for lab and office space in La Jolla, California (the 2019 Lease) under a lease that ended in September 2022. The balance sheet as of December 31, 2021, reflected an ROU asset of $0.3 million and an operating lease liability of $ 0.4 million in connection with the 2019 Lease. The estimated incremental borrowing rate used in determining the Company’s ROU asset and operating lease liability as of December 31, 2021 was approximately 8.0%.</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Lease</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In March 2021, as amended in November 2021, the Company entered into a non-cancelable operating lease for a facility in San Diego, California (the 2022 Lease). The 2022 Lease had an initial term that ended in May 2024, although this was subsequently amended such that this lease now ends on that date occurring 14 days after the lease commencement date for the 2024 Lease (see below). The 2022 Lease provides for the rental of lab and office space, contains rent escalation provisions, and obligates the Company to pay a portion of the operating costs related to the underlying multitenant facility. Rental payments under the 2022 Lease commenced in mid-January 2022. Although there is no specific end date for this lease, as of December 31, 2022, the Company anticipates that the expiration of the 2022 Lease will occur in early-January 2025. Based on this estimate, the Company has recorded an ROU asset and related operating lease liability of $6.1 million for this property. The Company’s estimated incremental borrowing rate of approximately 8.0% was used in its present value calculation as the 2022 Lease does not have a stated rate and the implicit rate was not readily determinable.</w:t>
      </w:r>
    </w:p>
    <w:p>
      <w:pPr>
        <w:spacing w:after="0" w:line="183"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As of December 31, 2022, estimated future minimum lease payments under the 2022 Lease totaled $5.6 million, including imputed interest of approximately $0.4 million. Future payments under the 2022 Lease will total $2.7 million in each of 2023 and 2024, with the remaining $ 0.2 million being paid in 2025. The Company’s balance sheet at December 31, 2022 reflects operating lease liabilities totaling $5.2 million for this facility comprised of a current lease liability of $2.3 million and a non-current lease liability of $2.9 million.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Lease</w:t>
      </w:r>
    </w:p>
    <w:p>
      <w:pPr>
        <w:spacing w:after="0" w:line="1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7"/>
          <w:szCs w:val="17"/>
          <w:color w:val="auto"/>
        </w:rPr>
        <w:t>In December 2021, the Company entered into a non -cancelable facility lease for approximately 80,000 square feet of lab and office space in La Jolla, California (the 2024 Lease). The facility to be occupied by the Company under the 2024 lease will be built to the Company’s specifications; the 2024 Lease agreement includes tenant improvement allowances totaling $22.0 million, repayment of which is included in the future minimum lease payments called for under the agreement. Although construction and design of this property will be the responsibility of the lessor, the Company will be involved in certain aspects of the construction and design of certain interior features and leasehold improvements that will be beneficial to the Company to better suit its business needs and intended purpose of the space.</w:t>
      </w:r>
    </w:p>
    <w:p>
      <w:pPr>
        <w:spacing w:after="0" w:line="16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As of December 31, 2022, construction of the property underlying the 2024 Lease has not yet begun, and as such, the commencement date of the 2024 lease is yet to be determined. At completion of construction, the Company will occupy the facility for a 120-month term, with payments under the lease commencing after a six-month rent abatement period and continuing through the conclusion of the term. At December 31, 2022, the Company anticipates the occupancy date for this property to be December 31, 2024, although this date is an estimate, which is subject to change. The 2024 Lease includes base lease payments aggregating $71.9 million, as well as additional charges for common area maintenance and property taxes. The Company has the right to extend the term of the 2024 Lease for an additional 60 months.</w:t>
      </w:r>
    </w:p>
    <w:p>
      <w:pPr>
        <w:spacing w:after="0" w:line="18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8"/>
          <w:szCs w:val="18"/>
          <w:color w:val="auto"/>
        </w:rPr>
        <w:t>Additionally, as a security deposit under this agreement, the Company is required to maintain a standby letter-of-credit in the amount of $0.5 million, which must remain in place until November 2034.</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Company has made upfront payments under its lease agreements totaling $0.8 million, $0.5 million of which is included in other long-term assets on the balance sheet as of December 31, 2022 with the remainder included in other current assets.</w:t>
      </w:r>
    </w:p>
    <w:p>
      <w:pPr>
        <w:spacing w:after="0" w:line="154"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For the year ended December 31, 2021, payments associated with the Company’s lease arrangements totaled $0.9 million, which included operating lease costs of $0.5 million, variable lease costs of $0.3 million and short-term lease costs of $0.1 million. Cash paid for operating lease liabilities during the year ended December 31, 2021 totaled $0.6 million.</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For the year ended December 31, 2022, payments associated with the Company’s lease arrangements totaled $1.7 million, which included operating lease costs of $1.4 million, variable lease costs of $0.2 million and short-term lease costs of $0.1 million. Cash paid for operating lease liabilities during the year ended December 31, 2022 totaled $1.4 million.</w:t>
      </w:r>
    </w:p>
    <w:p>
      <w:pPr>
        <w:spacing w:after="0" w:line="317" w:lineRule="exact"/>
        <w:rPr>
          <w:sz w:val="20"/>
          <w:szCs w:val="20"/>
          <w:color w:val="auto"/>
        </w:rPr>
      </w:pPr>
    </w:p>
    <w:p>
      <w:pPr>
        <w:ind w:left="120" w:right="7700" w:hanging="4"/>
        <w:spacing w:after="0" w:line="360" w:lineRule="auto"/>
        <w:tabs>
          <w:tab w:leader="none" w:pos="5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Contracts</w:t>
      </w:r>
    </w:p>
    <w:p>
      <w:pPr>
        <w:ind w:left="120" w:firstLine="440"/>
        <w:spacing w:after="0" w:line="253" w:lineRule="auto"/>
        <w:rPr>
          <w:sz w:val="20"/>
          <w:szCs w:val="20"/>
          <w:color w:val="auto"/>
        </w:rPr>
      </w:pPr>
      <w:r>
        <w:rPr>
          <w:rFonts w:ascii="Arial" w:cs="Arial" w:eastAsia="Arial" w:hAnsi="Arial"/>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because of these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2021 and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0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2021 and 2022.</w:t>
      </w:r>
    </w:p>
    <w:p>
      <w:pPr>
        <w:spacing w:after="0" w:line="322"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and B Convertible Preferred Stock</w:t>
      </w:r>
    </w:p>
    <w:p>
      <w:pPr>
        <w:spacing w:after="0" w:line="1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In August 2018, the Company entered into a Series A convertible preferred stock purchase agreement (Series A SPA) under which it issued 7,142,857 shares of its Series A convertible preferred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stock, for cash, at a price of $0.70 per share, resulting in aggregate net proceeds of $ 4.9 million (the Initial Series A Closing). The Series A SPA contained provisions that potentially obligated the Company to sell an additional 28,571,429 shares of its Series A convertible preferred stock at $0.70 per share in two additional closings upon the approval by the Company’s Board of Directors or at the option of the investors who participated in the Initial Series A Closing, which purchase right terminated upon certain specified events, including an initial public offering of the Company, if any. If an Initial Series A Closing purchaser failed to purchase all of its required shares in the subsequent Series A closings, each of the shares of the Company’s Series A convertible preferred stock held by such purchaser automatically converted into one-tenth of a share of common stock.</w:t>
      </w:r>
    </w:p>
    <w:p>
      <w:pPr>
        <w:spacing w:after="0" w:line="185"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In June 2019, the Company amended the Series A SPA (the Amended Series A SPA) and issued 26,046,438 shares of its Series A convertible preferred stock for cash, at a price of $ 0.70 per share, resulting in aggregate net proceeds of $18.1 million in the second closing (Second Series A Closing). The Amended Series A SPA provided for a third closing (Third Closing) of 33,189,295 shares of Series A convertible preferred stock (the Third Closing Shares) upon the approval of the Company’s Board of Directors or the approval of the two Series A convertible preferred stockholders’ representatives on the Company’s Board of Directors or upon the achievement of certain milestones defined in the Amended Series A SPA. Additionally, the investors who participated in the Second Series A Closing had the right to purchase some or all of the Third Closing shares allocated to them at any time prior to the Company’s completion of the Third Closing, which purchase right terminated upon certain specified events, including an initial public offering of the Company, if any. If a Second Series A Closing purchaser failed to purchase all of its required Third Closing, each of the shares of the Company’s Series A convertible preferred stock held by such purchaser would automatically convert into one-tenth of a share of common stock.</w:t>
      </w:r>
    </w:p>
    <w:p>
      <w:pPr>
        <w:spacing w:after="0" w:line="180"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In July 2020, the Company completed the Third Closing under the Amended the Series A SPA and issued an additional 33,189,295 shares of its Series A convertible preferred stock for cash, at a price of $0.70 per share, resulting in aggregate net proceeds of $23.2 million in the Third Closing.</w:t>
      </w:r>
    </w:p>
    <w:p>
      <w:pPr>
        <w:spacing w:after="0" w:line="169"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Company determined its obligation to issue additional shares of its Series A convertible preferred stock in the Initial Series A Closing represented freestanding financial instruments that required liability classification. These freestanding convertible preferred stock purchase right liabilities for each of the two additional closings were initially recorded at fair value, with fair value changes recognized in the statements of operations and comprehensive loss. As of the Initial Series A Closing in August 2018, the estimated fair value of the convertible preferred stock purchase right liabilities was $ 1.9 million. The Company recorded subsequent changes in the fair value of these liabilities as changes in the fair value of convertible preferred stock purchase right liabilities in the accompanying statements of operations and comprehensive loss.</w:t>
      </w:r>
    </w:p>
    <w:p>
      <w:pPr>
        <w:spacing w:after="0" w:line="185"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On April 23, 2021, the Company entered into a Series B convertible preferred stock purchase agreement under which it issued 78,211,116 shares of its Series B convertible preferred stock for cash, at a price of $1.35 per share, resulting in aggregate net proceeds of $105.3 million. The obligation to issue additional shares of the Company’s Series A convertible preferred stock was terminated in connection with the Series B financing.</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Preferences, and Privileges of Convertible Preferred Stock</w:t>
      </w:r>
    </w:p>
    <w:p>
      <w:pPr>
        <w:spacing w:after="0" w:line="102"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The holders of the Company’s Series A and B convertible preferred stock (collectively, Preferred Stock) have the following rights, preferences, and privileges: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Company cannot declare and pay any common stock dividends without first declaring and paying dividends, as defined in the terms of the Company’s amended and restated certificate of incorporation, to the convertible preferred stockholders. The holders of Preferred Stock are entitled to receive, when, as and if declared by the Company’s Board of Directors, noncumulative dividends at the rate of 6.0% of the applicable original issue price of such Preferred Stock (Original Issue Price), subject to appropriate adjustment in the event of any stock dividend, stock split, combination, or other similar recapitalization with respect to the Preferred Stock. No dividends have been declared as of December 31, 2022.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in the Company’s amended and restated certificate of incorporation), each holder of Preferred Stock is entitled to receive, prior and in preference to any distributions to the common stockholders, an amount equal to the greater of (i) the Original Issue Price per share, plus any declared but unpaid dividends thereon or (ii) the amount such holder would have received if such holder had converted its shares into common stock immediately prior to such liquidation event. If the assets available for distribution to the holders of Preferred Stock are insufficient to pay such holders the full amounts to which they are entitled, the assets available for distribution will be distributed on a pro rata basis among the holders of the Preferred Stock in proportion to the respective amounts that would otherwise be payable in respect of such stock. After payments have been made in full to the holders of Preferred Stock, then, to the extent available, the remaining amounts would be distributed among the holders of the common stock, pro rata based on the number of shares held by each holder.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02"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shares of Preferred Stock are convertible into an equal number of shares of common stock, at the option of the holder, subject to certain anti-dilution adjustments. Each share of Preferred Stock will be automatically converted into common stock, (A) immediately upon the closing of a firmly underwritten public offering pursuant to an effective registration statement under the Securities Act of 1933, as amended, covering the offer and sale of common stock for the account of the Company in which the aggregate gross proceeds is at least $50.0 million and the public offering price of at least $1.6875 per share, subject to appropriate adjustment in the event of any stock dividend, stock split, combination 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other similar recapitalization (Qualified IPO Price), (B) at any time upon the affirmative election of the holders of at least 60% of the outstanding shares of the Preferred Stock, including at least one of the holders holding, together with its affiliates, the most, the second most or the third most shares of Series B Preferred Stock, or (C) the closing of a transaction pursuant to which (i) the Company is merged into, or otherwise combines with, a special purpose acquisition company, or subsidiary thereof, listed on a national securities exchange (SPAC Entity) at a value per share of at least the Qualified IPO Price and (ii) the shares of capital stock of the Company immediately outstanding prior to such transaction are converted to or exchanged for shares of capital stock that represent a majority, by voting power, of the capital stock of the SPAC Entity.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0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Preferred Stock does not have redemption rights, except for the contingent redemption upon the occurrence of a Deemed Liquidation Event (as defined in the Company’s amended and restated certificate of incorporation).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0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the Preferred Stock then outstanding. The common stock has no preemptive rights, conversion rights, redemption rights or sinking fund provisions, and there are no dividends in arrears or default. All shares of common stock have equal distribution, liquidation and voting rights, and have no preferences or exchange rights.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Stock</w:t>
      </w:r>
    </w:p>
    <w:p>
      <w:pPr>
        <w:spacing w:after="0" w:line="10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In May 2018, the Company issued 13,760,000 shares of its common stock to certain founders, employees, and consultants (the Founders Stock) at a price of $0.001 per share. Of the 13,760,000 shares issued, 2,760,000 shares were issued fully vested and 11,000,000 were subject to vesting, generally over a period of four years. The repurchase liability for the Founders Stock was nominal for all periods presented. Unvested common stock is not included in outstanding shares on the balance sheets.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unvested Founders Stock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40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Unvested</w:t>
            </w:r>
          </w:p>
        </w:tc>
      </w:tr>
      <w:tr>
        <w:trPr>
          <w:trHeight w:val="171"/>
        </w:trPr>
        <w:tc>
          <w:tcPr>
            <w:tcW w:w="40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52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2,479,166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4020" w:type="dxa"/>
            <w:vAlign w:val="bottom"/>
          </w:tcPr>
          <w:p>
            <w:pPr>
              <w:spacing w:after="0" w:line="202" w:lineRule="exact"/>
              <w:rPr>
                <w:sz w:val="20"/>
                <w:szCs w:val="20"/>
                <w:color w:val="auto"/>
              </w:rPr>
            </w:pPr>
            <w:r>
              <w:rPr>
                <w:rFonts w:ascii="Arial" w:cs="Arial" w:eastAsia="Arial" w:hAnsi="Arial"/>
                <w:sz w:val="18"/>
                <w:szCs w:val="18"/>
                <w:color w:val="auto"/>
              </w:rPr>
              <w:t>Shares vesting during the period</w:t>
            </w:r>
          </w:p>
        </w:tc>
        <w:tc>
          <w:tcPr>
            <w:tcW w:w="5220" w:type="dxa"/>
            <w:vAlign w:val="bottom"/>
          </w:tcPr>
          <w:p>
            <w:pPr>
              <w:spacing w:after="0"/>
              <w:rPr>
                <w:sz w:val="18"/>
                <w:szCs w:val="18"/>
                <w:color w:val="auto"/>
              </w:rPr>
            </w:pP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(1,750,000)</w:t>
            </w:r>
          </w:p>
        </w:tc>
      </w:tr>
      <w:tr>
        <w:trPr>
          <w:trHeight w:val="202"/>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2021</w:t>
            </w:r>
          </w:p>
        </w:tc>
        <w:tc>
          <w:tcPr>
            <w:tcW w:w="5220" w:type="dxa"/>
            <w:vAlign w:val="bottom"/>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729,166</w:t>
            </w:r>
          </w:p>
        </w:tc>
        <w:tc>
          <w:tcPr>
            <w:tcW w:w="120" w:type="dxa"/>
            <w:vAlign w:val="bottom"/>
            <w:shd w:val="clear" w:color="auto" w:fill="CCEEFF"/>
          </w:tcPr>
          <w:p>
            <w:pPr>
              <w:spacing w:after="0"/>
              <w:rPr>
                <w:sz w:val="17"/>
                <w:szCs w:val="17"/>
                <w:color w:val="auto"/>
              </w:rPr>
            </w:pPr>
          </w:p>
        </w:tc>
      </w:tr>
      <w:tr>
        <w:trPr>
          <w:trHeight w:val="210"/>
        </w:trPr>
        <w:tc>
          <w:tcPr>
            <w:tcW w:w="4020" w:type="dxa"/>
            <w:vAlign w:val="bottom"/>
          </w:tcPr>
          <w:p>
            <w:pPr>
              <w:spacing w:after="0" w:line="202" w:lineRule="exact"/>
              <w:rPr>
                <w:sz w:val="20"/>
                <w:szCs w:val="20"/>
                <w:color w:val="auto"/>
              </w:rPr>
            </w:pPr>
            <w:r>
              <w:rPr>
                <w:rFonts w:ascii="Arial" w:cs="Arial" w:eastAsia="Arial" w:hAnsi="Arial"/>
                <w:sz w:val="18"/>
                <w:szCs w:val="18"/>
                <w:color w:val="auto"/>
              </w:rPr>
              <w:t>Shares vesting during the period</w:t>
            </w:r>
          </w:p>
        </w:tc>
        <w:tc>
          <w:tcPr>
            <w:tcW w:w="5220" w:type="dxa"/>
            <w:vAlign w:val="bottom"/>
          </w:tcPr>
          <w:p>
            <w:pPr>
              <w:spacing w:after="0"/>
              <w:rPr>
                <w:sz w:val="18"/>
                <w:szCs w:val="18"/>
                <w:color w:val="auto"/>
              </w:rPr>
            </w:pP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(729,166)</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5220" w:type="dxa"/>
            <w:vAlign w:val="bottom"/>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7000" w:type="dxa"/>
            <w:vAlign w:val="bottom"/>
            <w:gridSpan w:val="3"/>
          </w:tcPr>
          <w:p>
            <w:pPr>
              <w:jc w:val="right"/>
              <w:ind w:right="5340"/>
              <w:spacing w:after="0"/>
              <w:rPr>
                <w:sz w:val="20"/>
                <w:szCs w:val="20"/>
                <w:color w:val="auto"/>
              </w:rPr>
            </w:pPr>
            <w:r>
              <w:rPr>
                <w:rFonts w:ascii="Arial" w:cs="Arial" w:eastAsia="Arial" w:hAnsi="Arial"/>
                <w:sz w:val="18"/>
                <w:szCs w:val="18"/>
                <w:color w:val="auto"/>
              </w:rPr>
              <w:t>F-22</w:t>
            </w:r>
          </w:p>
        </w:tc>
      </w:tr>
    </w:tbl>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0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Pursuant to the 2018 Equity Incentive Plan, in October and December 2018, the Company granted 5,217,500 shares of its restricted common stock to consultants of the Company at a price of $0.04 per share. The stock is subject to vesting, generally at 25% one year from the vesting commencement date and ratably each month thereafter for 36 months. Unvested common stock is not included in outstanding shares on the balance sheets.</w:t>
      </w:r>
    </w:p>
    <w:p>
      <w:pPr>
        <w:sectPr>
          <w:pgSz w:w="11900" w:h="16838" w:orient="portrait"/>
          <w:cols w:equalWidth="0" w:num="1">
            <w:col w:w="11140"/>
          </w:cols>
          <w:pgMar w:left="320" w:top="455" w:right="439" w:bottom="1440" w:gutter="0" w:footer="0" w:header="0"/>
        </w:sectPr>
      </w:pP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Company’s unvested restricted stock awards is as follows: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vesting during the period</w:t>
      </w:r>
    </w:p>
    <w:p>
      <w:pPr>
        <w:ind w:left="120"/>
        <w:spacing w:after="0" w:line="234" w:lineRule="auto"/>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Shares vesting during the period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Number of</w:t>
      </w:r>
    </w:p>
    <w:p>
      <w:pPr>
        <w:spacing w:after="0" w:line="15"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Unvested</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Shares</w:t>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1,100,000</w:t>
      </w:r>
    </w:p>
    <w:p>
      <w:pPr>
        <w:jc w:val="right"/>
        <w:ind w:right="60"/>
        <w:spacing w:after="0" w:line="234" w:lineRule="auto"/>
        <w:rPr>
          <w:sz w:val="20"/>
          <w:szCs w:val="20"/>
          <w:color w:val="auto"/>
        </w:rPr>
      </w:pPr>
      <w:r>
        <w:rPr>
          <w:rFonts w:ascii="Arial" w:cs="Arial" w:eastAsia="Arial" w:hAnsi="Arial"/>
          <w:sz w:val="18"/>
          <w:szCs w:val="18"/>
          <w:color w:val="auto"/>
        </w:rPr>
        <w:t>(550,000)</w:t>
      </w:r>
    </w:p>
    <w:p>
      <w:pPr>
        <w:jc w:val="right"/>
        <w:ind w:right="120"/>
        <w:spacing w:after="0" w:line="235" w:lineRule="auto"/>
        <w:rPr>
          <w:sz w:val="20"/>
          <w:szCs w:val="20"/>
          <w:color w:val="auto"/>
        </w:rPr>
      </w:pPr>
      <w:r>
        <w:rPr>
          <w:rFonts w:ascii="Arial" w:cs="Arial" w:eastAsia="Arial" w:hAnsi="Arial"/>
          <w:sz w:val="18"/>
          <w:szCs w:val="18"/>
          <w:color w:val="auto"/>
        </w:rPr>
        <w:t>550,000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-1905</wp:posOffset>
            </wp:positionV>
            <wp:extent cx="9086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3175</wp:posOffset>
            </wp:positionV>
            <wp:extent cx="90868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20320</wp:posOffset>
            </wp:positionV>
            <wp:extent cx="9086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200"/>
          </w:cols>
          <w:pgMar w:left="320" w:top="455" w:right="439" w:bottom="1440" w:gutter="0" w:footer="0" w:header="0"/>
          <w:type w:val="continuous"/>
        </w:sectPr>
      </w:pPr>
    </w:p>
    <w:p>
      <w:pPr>
        <w:spacing w:after="0" w:line="16" w:lineRule="exact"/>
        <w:rPr>
          <w:sz w:val="20"/>
          <w:szCs w:val="20"/>
          <w:color w:val="auto"/>
        </w:rPr>
      </w:pPr>
    </w:p>
    <w:p>
      <w:pPr>
        <w:ind w:left="120" w:right="900" w:firstLine="440"/>
        <w:spacing w:after="0" w:line="253" w:lineRule="auto"/>
        <w:rPr>
          <w:sz w:val="20"/>
          <w:szCs w:val="20"/>
          <w:color w:val="auto"/>
        </w:rPr>
      </w:pPr>
      <w:r>
        <w:rPr>
          <w:rFonts w:ascii="Arial" w:cs="Arial" w:eastAsia="Arial" w:hAnsi="Arial"/>
          <w:sz w:val="18"/>
          <w:szCs w:val="18"/>
          <w:color w:val="auto"/>
        </w:rPr>
        <w:t>The unrecognized compensation cost related to the above awards was nominal for all periods presented in these financial statements, as is the compensation costs associated with the vesting of these restricted stock awards during the years ended December 31, 2021 and 2022.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500" w:type="dxa"/>
            <w:vAlign w:val="bottom"/>
            <w:tcBorders>
              <w:bottom w:val="single" w:sz="8" w:color="auto"/>
            </w:tcBorders>
            <w:gridSpan w:val="4"/>
          </w:tcPr>
          <w:p>
            <w:pPr>
              <w:ind w:left="14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16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outstanding convertible preferred stock</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144,589,706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144,589,706</w:t>
            </w:r>
          </w:p>
        </w:tc>
        <w:tc>
          <w:tcPr>
            <w:tcW w:w="12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21,067,300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26,141,621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awards available for future issuance</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10,326,955</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4,766,525</w:t>
            </w: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175,983,961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175,497,852</w:t>
            </w:r>
          </w:p>
        </w:tc>
        <w:tc>
          <w:tcPr>
            <w:tcW w:w="12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6460" w:hanging="4"/>
        <w:spacing w:after="0" w:line="360" w:lineRule="auto"/>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and Stock-Based Compensation </w:t>
      </w:r>
      <w:r>
        <w:rPr>
          <w:rFonts w:ascii="Arial" w:cs="Arial" w:eastAsia="Arial" w:hAnsi="Arial"/>
          <w:sz w:val="18"/>
          <w:szCs w:val="18"/>
          <w:b w:val="1"/>
          <w:bCs w:val="1"/>
          <w:i w:val="1"/>
          <w:iCs w:val="1"/>
          <w:color w:val="auto"/>
        </w:rPr>
        <w:t>Equity Incentive Plan</w:t>
      </w:r>
    </w:p>
    <w:p>
      <w:pPr>
        <w:ind w:left="120" w:right="80" w:firstLine="440"/>
        <w:spacing w:after="0"/>
        <w:rPr>
          <w:sz w:val="20"/>
          <w:szCs w:val="20"/>
          <w:color w:val="auto"/>
        </w:rPr>
      </w:pPr>
      <w:r>
        <w:rPr>
          <w:rFonts w:ascii="Arial" w:cs="Arial" w:eastAsia="Arial" w:hAnsi="Arial"/>
          <w:sz w:val="18"/>
          <w:szCs w:val="18"/>
          <w:color w:val="auto"/>
        </w:rPr>
        <w:t>In December 2018, the Company adopted the 2018 Equity Incentive Plan (as amended, the Plan) which provides for the grant of incentive stock options, non-statutory stock options, restricted stock awards, restricted stock unit awards, and other stock awards to its employees, consultants, and directors. Recipients of option awards are eligible to purchase shares of the Company’s common stock at an exercise price equal to no less than the estimated fair market value of such stock on the date of grant. The maximum term of options granted under the Plan is ten years and, in general, the options issued under the Plan vest over a four-year period from the vesting commencement date. The Plan provides for the issuance of up to 40,711,163 shares of common stock, of which 4,766,525 shares remain available for future grant as of December 31, 2022. Shares of unused common stock that cover awards that are expired, terminated, surrendered, or canceled under the Plan without having been fully exercised will be available for future awards.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type w:val="continuous"/>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allows for the early exercise of stock option awards, which are then subject to repurchase by the Company at the lower of</w:t>
      </w:r>
    </w:p>
    <w:p>
      <w:pPr>
        <w:spacing w:after="0" w:line="14" w:lineRule="exact"/>
        <w:rPr>
          <w:sz w:val="20"/>
          <w:szCs w:val="20"/>
          <w:color w:val="auto"/>
        </w:rPr>
      </w:pPr>
    </w:p>
    <w:p>
      <w:pPr>
        <w:ind w:left="120" w:right="20" w:hanging="4"/>
        <w:spacing w:after="0" w:line="234" w:lineRule="auto"/>
        <w:tabs>
          <w:tab w:leader="none" w:pos="3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fair market value at the repurchase date or (ii) the original exercise price. The exercise price of these shares is initially recorded as a repurchase liability, which is amortized to shareholder’s equity as the shares vest. As of December 31, 2021 and 2022, options for 5,450,000 and 5,460,000 shares, respectively, had been early exercised for a total exercise price of $0.8 million. As of December 31, 2021 and 2022, 1,989,584 and 634,308 shares, respectively, remain unvested. The repurchase liability associated with these shares was</w:t>
      </w:r>
    </w:p>
    <w:p>
      <w:pPr>
        <w:spacing w:after="0" w:line="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$0.3 million and $0.1 million as of December 31, 2021 and 2022, respectively.</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under the Plan and certain other related information is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Price</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Term</w:t>
            </w:r>
          </w:p>
        </w:tc>
        <w:tc>
          <w:tcPr>
            <w:tcW w:w="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2021</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21,067,300</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1"/>
              </w:rPr>
              <w:t>0.40</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9.2 years</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2,191</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6,564,700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0.50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(486,109)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0.26</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Forfeited and expired</w:t>
            </w: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(1,004,270)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0.34</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2022</w:t>
            </w: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26,141,621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0.43</w:t>
            </w:r>
          </w:p>
        </w:tc>
        <w:tc>
          <w:tcPr>
            <w:tcW w:w="8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8.5 years</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220"/>
              <w:spacing w:after="0"/>
              <w:rPr>
                <w:sz w:val="20"/>
                <w:szCs w:val="20"/>
                <w:color w:val="auto"/>
              </w:rPr>
            </w:pPr>
            <w:r>
              <w:rPr>
                <w:rFonts w:ascii="Arial" w:cs="Arial" w:eastAsia="Arial" w:hAnsi="Arial"/>
                <w:sz w:val="18"/>
                <w:szCs w:val="18"/>
                <w:color w:val="auto"/>
              </w:rPr>
              <w:t>0.37</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rPr>
              <w:t>8.1 years</w:t>
            </w: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9,540,112</w:t>
            </w:r>
          </w:p>
        </w:tc>
        <w:tc>
          <w:tcPr>
            <w:tcW w:w="4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2022</w:t>
            </w:r>
          </w:p>
        </w:tc>
        <w:tc>
          <w:tcPr>
            <w:tcW w:w="14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9,540,112</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0.37</w:t>
            </w:r>
          </w:p>
        </w:tc>
        <w:tc>
          <w:tcPr>
            <w:tcW w:w="8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8.1 years</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40" w:right="320" w:hanging="424"/>
        <w:spacing w:after="0" w:line="285"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Aggregate intrinsic value in the above table is the difference between the estimated fair value of the Company’s common stock as of either December 31, 2021 or 2022, and the exercise price of stock options that had exercise prices below that value.</w:t>
      </w:r>
    </w:p>
    <w:p>
      <w:pPr>
        <w:spacing w:after="0" w:line="148"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options exercised during the years ended December 31, 2021 and 2022 had an intrinsic value at exercise of $439,000 and $120,000, respectively.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was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88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w:t>
            </w:r>
          </w:p>
        </w:tc>
        <w:tc>
          <w:tcPr>
            <w:tcW w:w="22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1,375</w:t>
            </w:r>
          </w:p>
        </w:tc>
      </w:tr>
      <w:tr>
        <w:trPr>
          <w:trHeight w:val="27"/>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1,158</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2,290</w:t>
            </w:r>
          </w:p>
        </w:tc>
      </w:tr>
      <w:tr>
        <w:trPr>
          <w:trHeight w:val="20"/>
        </w:trPr>
        <w:tc>
          <w:tcPr>
            <w:tcW w:w="5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7"/>
          <w:szCs w:val="17"/>
          <w:color w:val="auto"/>
        </w:rPr>
        <w:t>As of December 31, 2021 and 2022, unrecognized compensation cost related to outstanding time-based options was $5.9 million and $6.0 million, respectively, which is expected to be recognized over a weighted-average period of 2.7 years and 2.0 years, respectively.</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weighted-average assumptions used in the Black-Scholes option pricing model to determine the fair value of the stock options granted during the following periods were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5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4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CCEEFF"/>
            </w:tcBorders>
          </w:tcPr>
          <w:p>
            <w:pPr>
              <w:spacing w:after="0"/>
              <w:rPr>
                <w:sz w:val="13"/>
                <w:szCs w:val="13"/>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105%</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94%</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w:t>
            </w:r>
          </w:p>
        </w:tc>
      </w:tr>
      <w:tr>
        <w:trPr>
          <w:trHeight w:val="239"/>
        </w:trPr>
        <w:tc>
          <w:tcPr>
            <w:tcW w:w="8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weighted-average grant date per share fair value of the stock options granted during the years ended December 31, 2021 and 2022 was $0.40 and $0.39, respectively.</w:t>
      </w:r>
    </w:p>
    <w:p>
      <w:pPr>
        <w:spacing w:after="0" w:line="181" w:lineRule="exact"/>
        <w:rPr>
          <w:sz w:val="20"/>
          <w:szCs w:val="20"/>
          <w:color w:val="auto"/>
        </w:rPr>
      </w:pPr>
    </w:p>
    <w:p>
      <w:pPr>
        <w:ind w:left="660" w:hanging="544"/>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is subject to taxation in the United States and certain states therein, however, due to the net losses incurred in each of the years ended December 31, 2021 and 2022, the Company has not recorded a provision for income taxes for either year. A reconciliation of the federal statutory tax rate and the Company’s effective tax rate is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7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21.0%</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6.5</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3.8</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w:t>
            </w:r>
          </w:p>
        </w:tc>
      </w:tr>
      <w:tr>
        <w:trPr>
          <w:trHeight w:val="202"/>
        </w:trPr>
        <w:tc>
          <w:tcPr>
            <w:tcW w:w="87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(29.3)</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permanent differences</w:t>
            </w: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(0.7)</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w:t>
            </w:r>
          </w:p>
        </w:tc>
      </w:tr>
      <w:tr>
        <w:trPr>
          <w:trHeight w:val="210"/>
        </w:trPr>
        <w:tc>
          <w:tcPr>
            <w:tcW w:w="87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Company has established a full valuation allowance against its net deferred tax assets due to the uncertainty surrounding the realization of such assets that preclude it from determining that is more likely than not that such assets will be realized. The Company periodically evaluates the recoverability of the deferred tax assets. When it is determined that it is more likely than not that deferred assets are realizable, the valuation allowance will be reduced. Management’s assessment as of December 31, 2021 and 2022 considered the generation of pre-tax book losses, no ability to carryback its operating losses, the lack of feasible tax-planning strategies, the limited existing taxable temporary differences, and the subjective nature of forecasting future taxable income. During 2021 and 2022, total deferred tax assets increased by $7.5 million and $14.2 million, respectively. Due to its full valuation allowance position, the Company’s valuation allowance increased by the same amount during those time periods.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and 2022, the significant components of deferred income taxes are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526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3"/>
                <w:szCs w:val="13"/>
                <w:color w:val="auto"/>
              </w:rPr>
            </w:pPr>
          </w:p>
        </w:tc>
      </w:tr>
      <w:tr>
        <w:trPr>
          <w:trHeight w:val="182"/>
        </w:trPr>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w:t>
            </w:r>
          </w:p>
        </w:tc>
        <w:tc>
          <w:tcPr>
            <w:tcW w:w="2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11,382</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16,426</w:t>
            </w: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tax credits</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937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2,522</w:t>
            </w: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1,452</w:t>
            </w: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Capitalized R&amp;D</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6,969</w:t>
            </w: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w:t>
            </w: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1,083</w:t>
            </w:r>
          </w:p>
        </w:tc>
      </w:tr>
      <w:tr>
        <w:trPr>
          <w:trHeight w:val="210"/>
        </w:trPr>
        <w:tc>
          <w:tcPr>
            <w:tcW w:w="526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28,505</w:t>
            </w:r>
          </w:p>
        </w:tc>
        <w:tc>
          <w:tcPr>
            <w:tcW w:w="320" w:type="dxa"/>
            <w:vAlign w:val="bottom"/>
          </w:tcPr>
          <w:p>
            <w:pPr>
              <w:spacing w:after="0"/>
              <w:rPr>
                <w:sz w:val="18"/>
                <w:szCs w:val="18"/>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(12,906)</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(27,063)</w:t>
            </w:r>
          </w:p>
        </w:tc>
      </w:tr>
      <w:tr>
        <w:trPr>
          <w:trHeight w:val="209"/>
        </w:trPr>
        <w:tc>
          <w:tcPr>
            <w:tcW w:w="52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320" w:type="dxa"/>
            <w:vAlign w:val="bottom"/>
          </w:tcPr>
          <w:p>
            <w:pPr>
              <w:spacing w:after="0"/>
              <w:rPr>
                <w:sz w:val="18"/>
                <w:szCs w:val="18"/>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w:t>
            </w: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(1,346)</w:t>
            </w: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(96)</w:t>
            </w:r>
          </w:p>
        </w:tc>
      </w:tr>
      <w:tr>
        <w:trPr>
          <w:trHeight w:val="217"/>
        </w:trPr>
        <w:tc>
          <w:tcPr>
            <w:tcW w:w="526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320" w:type="dxa"/>
            <w:vAlign w:val="bottom"/>
          </w:tcPr>
          <w:p>
            <w:pPr>
              <w:spacing w:after="0"/>
              <w:rPr>
                <w:sz w:val="18"/>
                <w:szCs w:val="18"/>
                <w:color w:val="auto"/>
              </w:rPr>
            </w:pPr>
          </w:p>
        </w:tc>
      </w:tr>
      <w:tr>
        <w:trPr>
          <w:trHeight w:val="203"/>
        </w:trPr>
        <w:tc>
          <w:tcPr>
            <w:tcW w:w="5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deferred tax assets</w:t>
            </w:r>
          </w:p>
        </w:tc>
        <w:tc>
          <w:tcPr>
            <w:tcW w:w="2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As of December 31, 2021 and 2022, federal net operating loss (NOL) carryforwards totaled $40.9 million and $51.0 million, respectively, before consideration of limitations under Section 382 of the Internal Revenue Code of 1986, as amended (IRC). The Company also had state NOL carryforwards of $40.1 million and $81.5 million as of December 31, 2021 and 2022, respectively. Unused federal NOL’s carry forward indefinitely, while unused state NOL carryforwards begin to expire in 2040. As of December 31, 2021 and 2022, federal research tax credit carryforwards totaled approximately $0.7 million and $2.0 million, respectively, and state research tax credit carryforwards totaled approximately $0.9 million and $2.1 million, respectively. Unused federal credits begin to expire in 2040, while the unused state credits carry forward indefinitely.</w:t>
      </w:r>
    </w:p>
    <w:p>
      <w:pPr>
        <w:spacing w:after="0" w:line="14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Pursuant to IRC Sections 382 and 383, the Company’s ability to use its NOL and research tax credit carry 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Beginning in 2022, the Tax Cuts and Jobs Act of 2017 requires taxpayers to capitalize and amortize R&amp;D expenditures over five years for domestic research and 15 years for foreign research pursuant to Section 174 of the IRC.</w:t>
      </w:r>
    </w:p>
    <w:p>
      <w:pPr>
        <w:spacing w:after="0" w:line="127" w:lineRule="exact"/>
        <w:rPr>
          <w:sz w:val="20"/>
          <w:szCs w:val="20"/>
          <w:color w:val="auto"/>
        </w:rPr>
      </w:pPr>
    </w:p>
    <w:p>
      <w:pPr>
        <w:ind w:left="120" w:right="400" w:firstLine="440"/>
        <w:spacing w:after="0" w:line="247" w:lineRule="auto"/>
        <w:rPr>
          <w:sz w:val="20"/>
          <w:szCs w:val="20"/>
          <w:color w:val="auto"/>
        </w:rPr>
      </w:pPr>
      <w:r>
        <w:rPr>
          <w:rFonts w:ascii="Arial" w:cs="Arial" w:eastAsia="Arial" w:hAnsi="Arial"/>
          <w:sz w:val="18"/>
          <w:szCs w:val="18"/>
          <w:color w:val="auto"/>
        </w:rPr>
        <w:t>The Inflation Reduction Act of 2022 (IRA), which incorporates a Corporate Alternative Minimum Tax (CAMT), was signed on August 16, 2022. The changes will become effective for the tax years beginning after December 31, 2022. The CAMT will require companies to compute two separate calculations for federal income tax purposes and pay the greater of the new minimum tax or their regular tax liability. The IRA is not expected to have a material impact on the Company’s income tax position.</w:t>
      </w:r>
    </w:p>
    <w:p>
      <w:pPr>
        <w:spacing w:after="0" w:line="133"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There are no accruals for interest or tax penalties in the accompanying balance sheets, and the Company has not recognized any such interest or tax penalties in the accompanying statements of operations and comprehensive loss.</w:t>
      </w:r>
    </w:p>
    <w:p>
      <w:pPr>
        <w:spacing w:after="0" w:line="113"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Although it is not currently under a tax examination, all of the Company’s tax years remain open to audit in all of the tax jurisdictions in which it operates due to the Company’s net operating losses carryforwards.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Benefits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Activity in the Company’s gross unrecognized tax benefits was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related to prior year positions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Company policy is to recognize a tax benefit from uncertain tax positions when it is more likely than not that the position will be sustained upon examination, including resolutions of any related appeals or litigation processes, based on the technical merits. Due to the existence of the full valuation allowance, future changes in unrecognized tax benefits will not impact the Company’s effective tax rate. The Company does not foresee any material changes to its liability for uncertain tax benefits within the next 12 months.</w:t>
      </w:r>
    </w:p>
    <w:p>
      <w:pPr>
        <w:spacing w:after="0" w:line="201" w:lineRule="exact"/>
        <w:rPr>
          <w:sz w:val="20"/>
          <w:szCs w:val="20"/>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w:t>
      </w:r>
    </w:p>
    <w:p>
      <w:pPr>
        <w:spacing w:after="0" w:line="104"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The following table summarizes the computation of basic and diluted net loss per common share of the Company (in thousands, except per share data):</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(25,210)</w:t>
            </w:r>
          </w:p>
        </w:tc>
        <w:tc>
          <w:tcPr>
            <w:tcW w:w="7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Weighted-average shares used in net loss per common share calculation, basic and diluted</w:t>
            </w:r>
          </w:p>
        </w:tc>
        <w:tc>
          <w:tcPr>
            <w:tcW w:w="2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16,781</w:t>
            </w:r>
          </w:p>
        </w:tc>
        <w:tc>
          <w:tcPr>
            <w:tcW w:w="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320"/>
              <w:spacing w:after="0"/>
              <w:rPr>
                <w:sz w:val="20"/>
                <w:szCs w:val="20"/>
                <w:color w:val="auto"/>
              </w:rPr>
            </w:pPr>
            <w:r>
              <w:rPr>
                <w:rFonts w:ascii="Arial" w:cs="Arial" w:eastAsia="Arial" w:hAnsi="Arial"/>
                <w:sz w:val="18"/>
                <w:szCs w:val="18"/>
                <w:color w:val="auto"/>
              </w:rPr>
              <w:t>F-27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Company excluded the following potential shares of its common stock, presented based on amounts outstanding at each period end, from the computation of diluted net loss per share for the periods indicated because including them would have had an anti-dilutive effect: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386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160" w:type="dxa"/>
            <w:vAlign w:val="bottom"/>
            <w:tcBorders>
              <w:bottom w:val="single" w:sz="8" w:color="CCEEFF"/>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80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outstanding convertible preferred stock</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144,589,706</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144,589,706</w:t>
            </w:r>
          </w:p>
        </w:tc>
        <w:tc>
          <w:tcPr>
            <w:tcW w:w="12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21,067,300</w:t>
            </w:r>
          </w:p>
        </w:tc>
        <w:tc>
          <w:tcPr>
            <w:tcW w:w="1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26,141,621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1,279,165</w:t>
            </w:r>
          </w:p>
        </w:tc>
        <w:tc>
          <w:tcPr>
            <w:tcW w:w="1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1,989,584</w:t>
            </w:r>
          </w:p>
        </w:tc>
        <w:tc>
          <w:tcPr>
            <w:tcW w:w="180" w:type="dxa"/>
            <w:vAlign w:val="bottom"/>
          </w:tcPr>
          <w:p>
            <w:pPr>
              <w:spacing w:after="0"/>
              <w:rPr>
                <w:sz w:val="17"/>
                <w:szCs w:val="17"/>
                <w:color w:val="auto"/>
              </w:rPr>
            </w:pPr>
          </w:p>
        </w:tc>
        <w:tc>
          <w:tcPr>
            <w:tcW w:w="1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634,308</w:t>
            </w:r>
          </w:p>
        </w:tc>
      </w:tr>
      <w:tr>
        <w:trPr>
          <w:trHeight w:val="27"/>
        </w:trPr>
        <w:tc>
          <w:tcPr>
            <w:tcW w:w="716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168,925,755</w:t>
            </w:r>
          </w:p>
        </w:tc>
        <w:tc>
          <w:tcPr>
            <w:tcW w:w="1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171,365,635</w:t>
            </w:r>
          </w:p>
        </w:tc>
      </w:tr>
      <w:tr>
        <w:trPr>
          <w:trHeight w:val="20"/>
        </w:trPr>
        <w:tc>
          <w:tcPr>
            <w:tcW w:w="71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54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evaluated subsequent events occurring between the end of the most recent fiscal year and through September 1,</w:t>
      </w:r>
    </w:p>
    <w:p>
      <w:pPr>
        <w:spacing w:after="0" w:line="14" w:lineRule="exact"/>
        <w:rPr>
          <w:sz w:val="20"/>
          <w:szCs w:val="20"/>
          <w:color w:val="auto"/>
        </w:rPr>
      </w:pPr>
    </w:p>
    <w:p>
      <w:pPr>
        <w:ind w:left="120" w:right="540"/>
        <w:spacing w:after="0" w:line="250" w:lineRule="auto"/>
        <w:rPr>
          <w:sz w:val="20"/>
          <w:szCs w:val="20"/>
          <w:color w:val="auto"/>
        </w:rPr>
      </w:pPr>
      <w:r>
        <w:rPr>
          <w:rFonts w:ascii="Arial" w:cs="Arial" w:eastAsia="Arial" w:hAnsi="Arial"/>
          <w:sz w:val="18"/>
          <w:szCs w:val="18"/>
          <w:color w:val="auto"/>
        </w:rPr>
        <w:t>2023 (the date the Company’s financial statements were available to be issued) and has concluded that no subsequent events have occurred that require disclosure herein except as noted below.</w:t>
      </w:r>
    </w:p>
    <w:p>
      <w:pPr>
        <w:spacing w:after="0" w:line="14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7"/>
          <w:szCs w:val="17"/>
          <w:color w:val="auto"/>
        </w:rPr>
        <w:t>On March 10, 2023, Silicon Valley Bank (SVB) was closed by the California Department of Financial Protection and Innovation, which appointed the FDIC as receiver. At the time of the closure, the Company held assets valued at $2.2 million in deposit and restricted cash accounts with SVB. The Company received full access to the funds in its accounts on March 13, 2023. In light of actions by the federal government to fully protect deposit accounts, the Company’s operations were not impacted by the closure of Silicon Valley Bank.</w:t>
      </w:r>
    </w:p>
    <w:p>
      <w:pPr>
        <w:spacing w:after="0" w:line="119"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On April 5, 2023, the Company’s Board of Directors increased the number of shares authorized for issuance under the 2018 Equity Incentive Plan to 82,419,858.</w:t>
      </w:r>
    </w:p>
    <w:p>
      <w:pPr>
        <w:spacing w:after="0" w:line="113" w:lineRule="exact"/>
        <w:rPr>
          <w:sz w:val="20"/>
          <w:szCs w:val="20"/>
          <w:color w:val="auto"/>
        </w:rPr>
      </w:pPr>
    </w:p>
    <w:p>
      <w:pPr>
        <w:jc w:val="both"/>
        <w:ind w:left="120" w:right="360" w:firstLine="440"/>
        <w:spacing w:after="0" w:line="266" w:lineRule="auto"/>
        <w:rPr>
          <w:sz w:val="20"/>
          <w:szCs w:val="20"/>
          <w:color w:val="auto"/>
        </w:rPr>
      </w:pPr>
      <w:r>
        <w:rPr>
          <w:rFonts w:ascii="Arial" w:cs="Arial" w:eastAsia="Arial" w:hAnsi="Arial"/>
          <w:sz w:val="17"/>
          <w:szCs w:val="17"/>
          <w:color w:val="auto"/>
        </w:rPr>
        <w:t>During April and May 2023, the Company entered into a Series C convertible preferred stock purchase agreement under which it issued 142,857,138 shares of Series C convertible preferred stock for cash, at a price of $0.70 per share, resulting in aggregate gross proceeds of $100.0 million. In connection with this transaction, the Company’s Board of Directors increased the authorized number of shares of its convertible preferred stock to 287,446,845 and the number of authorized shares of its common stock to 402,600,000.</w:t>
      </w:r>
    </w:p>
    <w:p>
      <w:pPr>
        <w:spacing w:after="0" w:line="13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On June 13, 2023, the Company’s Board of Directors approved an option repricing to reprice certain underwater options to purchase the Company’s shares of common stock held by its employees (including officers of the Company) and non-employee directors. Under the option repricing, options with an exercise price at or above $0.50 per share, representing an aggregate of 19,871,066 shares of common stock, were amended to reduce such exercise price to $0.21 per share. The repricing resulted in one-time stock-based compensation expense of approximately $ 263,000 related to vested options and incremental stock option expense of approximately $377,000 related to unvested options which will be amortized on a straight-line basis over the remaining vesting period of those options.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par value, share data, and liquidation value)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10,951</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20,964</w:t>
            </w:r>
          </w:p>
        </w:tc>
        <w:tc>
          <w:tcPr>
            <w:tcW w:w="0" w:type="dxa"/>
            <w:vAlign w:val="bottom"/>
          </w:tcPr>
          <w:p>
            <w:pPr>
              <w:spacing w:after="0"/>
              <w:rPr>
                <w:sz w:val="1"/>
                <w:szCs w:val="1"/>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55,766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111,763</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1,320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0"/>
        </w:trPr>
        <w:tc>
          <w:tcPr>
            <w:tcW w:w="8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2,922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02"/>
        </w:trPr>
        <w:tc>
          <w:tcPr>
            <w:tcW w:w="8200" w:type="dxa"/>
            <w:vAlign w:val="bottom"/>
          </w:tcPr>
          <w:p>
            <w:pPr>
              <w:spacing w:after="0" w:line="202" w:lineRule="exact"/>
              <w:rPr>
                <w:sz w:val="20"/>
                <w:szCs w:val="20"/>
                <w:color w:val="auto"/>
              </w:rPr>
            </w:pPr>
            <w:r>
              <w:rPr>
                <w:rFonts w:ascii="Arial" w:cs="Arial" w:eastAsia="Arial" w:hAnsi="Arial"/>
                <w:sz w:val="18"/>
                <w:szCs w:val="18"/>
                <w:color w:val="auto"/>
              </w:rPr>
              <w:t>Right-of-use assets,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4,804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76,829</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143,738</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2,838</w:t>
            </w:r>
          </w:p>
        </w:tc>
        <w:tc>
          <w:tcPr>
            <w:tcW w:w="280" w:type="dxa"/>
            <w:vAlign w:val="bottom"/>
          </w:tcPr>
          <w:p>
            <w:pPr>
              <w:spacing w:after="0"/>
              <w:rPr>
                <w:sz w:val="17"/>
                <w:szCs w:val="17"/>
                <w:color w:val="auto"/>
              </w:rPr>
            </w:pPr>
          </w:p>
        </w:tc>
        <w:tc>
          <w:tcPr>
            <w:tcW w:w="4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2,459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Lease liabilities, current portion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Unvested common stock</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2"/>
        </w:trPr>
        <w:tc>
          <w:tcPr>
            <w:tcW w:w="82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 non-current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0"/>
                <w:szCs w:val="20"/>
                <w:color w:val="auto"/>
              </w:rPr>
            </w:pPr>
            <w:r>
              <w:rPr>
                <w:rFonts w:ascii="Arial" w:cs="Arial" w:eastAsia="Arial" w:hAnsi="Arial"/>
                <w:sz w:val="18"/>
                <w:szCs w:val="18"/>
                <w:color w:val="auto"/>
              </w:rPr>
              <w:t>Unvested common stock, non-current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10,579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Convertible preferred stock, $0.0001 par value; 144,589,706 shares authorized, issued, and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as of December 31, 2022; 287,446,844 shares authorized,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as of September 30, 2023; liquidation preference of $152.1 million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$252.1 million as of December 31, 2022 and September 30, 2023, respectively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147,946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247,617</w:t>
            </w:r>
          </w:p>
        </w:tc>
        <w:tc>
          <w:tcPr>
            <w:tcW w:w="0" w:type="dxa"/>
            <w:vAlign w:val="bottom"/>
          </w:tcPr>
          <w:p>
            <w:pPr>
              <w:spacing w:after="0"/>
              <w:rPr>
                <w:sz w:val="1"/>
                <w:szCs w:val="1"/>
                <w:color w:val="auto"/>
              </w:rPr>
            </w:pP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Common stock, $0.0001 par value; 200,000,000 shares, 23,396,350 shares, and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22,762,041 shares authorized, issued and outstanding as of December 31, 2022,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respectively; 402,600,000 shares, 24,118,722 shares, and 24,079,624 shares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issued and outstanding as of September 30, 2023, respectively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5,375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(86,675)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(123,965)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(81,696)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(116,043)</w:t>
            </w:r>
          </w:p>
        </w:tc>
        <w:tc>
          <w:tcPr>
            <w:tcW w:w="0" w:type="dxa"/>
            <w:vAlign w:val="bottom"/>
          </w:tcPr>
          <w:p>
            <w:pPr>
              <w:spacing w:after="0"/>
              <w:rPr>
                <w:sz w:val="1"/>
                <w:szCs w:val="1"/>
                <w:color w:val="auto"/>
              </w:rPr>
            </w:pPr>
          </w:p>
        </w:tc>
      </w:tr>
      <w:tr>
        <w:trPr>
          <w:trHeight w:val="209"/>
        </w:trPr>
        <w:tc>
          <w:tcPr>
            <w:tcW w:w="8200" w:type="dxa"/>
            <w:vAlign w:val="bottom"/>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143,738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27,501</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6,895</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17"/>
        </w:trPr>
        <w:tc>
          <w:tcPr>
            <w:tcW w:w="80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34,396</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(34,396)</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371</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w:t>
            </w:r>
          </w:p>
        </w:tc>
        <w:tc>
          <w:tcPr>
            <w:tcW w:w="4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274</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(34,122)</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300" w:type="dxa"/>
            <w:vAlign w:val="bottom"/>
            <w:gridSpan w:val="2"/>
            <w:shd w:val="clear" w:color="auto" w:fill="CCEEFF"/>
          </w:tcPr>
          <w:p>
            <w:pPr>
              <w:jc w:val="right"/>
              <w:ind w:right="127"/>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Weighted-average shares used in net loss per common share calculation</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21,053</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23,529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(34,122)</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investments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(524)</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(34,646)</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100" w:type="dxa"/>
            <w:vAlign w:val="bottom"/>
            <w:tcBorders>
              <w:right w:val="single" w:sz="8" w:color="auto"/>
            </w:tcBorders>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Pr>
          <w:p>
            <w:pPr>
              <w:spacing w:after="0"/>
              <w:rPr>
                <w:sz w:val="14"/>
                <w:szCs w:val="14"/>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7"/>
        </w:trPr>
        <w:tc>
          <w:tcPr>
            <w:tcW w:w="2380" w:type="dxa"/>
            <w:vAlign w:val="bottom"/>
          </w:tcPr>
          <w:p>
            <w:pPr>
              <w:spacing w:after="0"/>
              <w:rPr>
                <w:sz w:val="6"/>
                <w:szCs w:val="6"/>
                <w:color w:val="auto"/>
              </w:rPr>
            </w:pPr>
          </w:p>
        </w:tc>
        <w:tc>
          <w:tcPr>
            <w:tcW w:w="2100" w:type="dxa"/>
            <w:vAlign w:val="bottom"/>
            <w:tcBorders>
              <w:right w:val="single" w:sz="8" w:color="auto"/>
            </w:tcBorders>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6"/>
                <w:szCs w:val="6"/>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238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Balance as of</w:t>
            </w: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144,589,706</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$147,946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19,641,492</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(38,189)</w:t>
            </w:r>
          </w:p>
        </w:tc>
        <w:tc>
          <w:tcPr>
            <w:tcW w:w="0" w:type="dxa"/>
            <w:vAlign w:val="bottom"/>
          </w:tcPr>
          <w:p>
            <w:pPr>
              <w:spacing w:after="0"/>
              <w:rPr>
                <w:sz w:val="1"/>
                <w:szCs w:val="1"/>
                <w:color w:val="auto"/>
              </w:rPr>
            </w:pPr>
          </w:p>
        </w:tc>
      </w:tr>
      <w:tr>
        <w:trPr>
          <w:trHeight w:val="184"/>
        </w:trPr>
        <w:tc>
          <w:tcPr>
            <w:tcW w:w="2380" w:type="dxa"/>
            <w:vAlign w:val="bottom"/>
          </w:tcPr>
          <w:p>
            <w:pPr>
              <w:ind w:left="180"/>
              <w:spacing w:after="0" w:line="183" w:lineRule="exact"/>
              <w:rPr>
                <w:sz w:val="20"/>
                <w:szCs w:val="20"/>
                <w:color w:val="auto"/>
              </w:rPr>
            </w:pPr>
            <w:r>
              <w:rPr>
                <w:rFonts w:ascii="Arial" w:cs="Arial" w:eastAsia="Arial" w:hAnsi="Arial"/>
                <w:sz w:val="18"/>
                <w:szCs w:val="18"/>
                <w:color w:val="auto"/>
              </w:rPr>
              <w:t>Vesting of founder shares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60"/>
              <w:spacing w:after="0" w:line="202" w:lineRule="exact"/>
              <w:rPr>
                <w:sz w:val="20"/>
                <w:szCs w:val="20"/>
                <w:color w:val="auto"/>
              </w:rPr>
            </w:pPr>
            <w:r>
              <w:rPr>
                <w:rFonts w:ascii="Arial" w:cs="Arial" w:eastAsia="Arial" w:hAnsi="Arial"/>
                <w:sz w:val="18"/>
                <w:szCs w:val="18"/>
                <w:color w:val="auto"/>
              </w:rPr>
              <w:t>and restricted stock</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360"/>
              <w:spacing w:after="0"/>
              <w:rPr>
                <w:sz w:val="20"/>
                <w:szCs w:val="20"/>
                <w:color w:val="auto"/>
              </w:rPr>
            </w:pPr>
            <w:r>
              <w:rPr>
                <w:rFonts w:ascii="Arial" w:cs="Arial" w:eastAsia="Arial" w:hAnsi="Arial"/>
                <w:sz w:val="18"/>
                <w:szCs w:val="18"/>
                <w:color w:val="auto"/>
              </w:rPr>
              <w:t>awards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1,141,663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Vesting of early exercised</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380" w:type="dxa"/>
            <w:vAlign w:val="bottom"/>
          </w:tcPr>
          <w:p>
            <w:pPr>
              <w:ind w:left="180"/>
              <w:spacing w:after="0" w:line="202" w:lineRule="exact"/>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364,456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Stock-based</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184"/>
        </w:trPr>
        <w:tc>
          <w:tcPr>
            <w:tcW w:w="2380" w:type="dxa"/>
            <w:vAlign w:val="bottom"/>
          </w:tcPr>
          <w:p>
            <w:pPr>
              <w:ind w:left="180"/>
              <w:spacing w:after="0" w:line="183" w:lineRule="exact"/>
              <w:rPr>
                <w:sz w:val="20"/>
                <w:szCs w:val="20"/>
                <w:color w:val="auto"/>
              </w:rPr>
            </w:pPr>
            <w:r>
              <w:rPr>
                <w:rFonts w:ascii="Arial" w:cs="Arial" w:eastAsia="Arial" w:hAnsi="Arial"/>
                <w:sz w:val="18"/>
                <w:szCs w:val="18"/>
                <w:color w:val="auto"/>
              </w:rPr>
              <w:t>Unrealized loss on short-</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360"/>
              <w:spacing w:after="0"/>
              <w:rPr>
                <w:sz w:val="20"/>
                <w:szCs w:val="20"/>
                <w:color w:val="auto"/>
              </w:rPr>
            </w:pPr>
            <w:r>
              <w:rPr>
                <w:rFonts w:ascii="Arial" w:cs="Arial" w:eastAsia="Arial" w:hAnsi="Arial"/>
                <w:sz w:val="18"/>
                <w:szCs w:val="18"/>
                <w:color w:val="auto"/>
              </w:rPr>
              <w:t>term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(34,122)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(34,122)</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180"/>
              <w:spacing w:after="0"/>
              <w:rPr>
                <w:sz w:val="20"/>
                <w:szCs w:val="20"/>
                <w:color w:val="auto"/>
              </w:rPr>
            </w:pPr>
            <w:r>
              <w:rPr>
                <w:rFonts w:ascii="Arial" w:cs="Arial" w:eastAsia="Arial" w:hAnsi="Arial"/>
                <w:sz w:val="18"/>
                <w:szCs w:val="18"/>
                <w:b w:val="1"/>
                <w:bCs w:val="1"/>
                <w:color w:val="auto"/>
              </w:rPr>
              <w:t>September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144,589,706</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147,946</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22,170,323</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4,697</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(70,896)</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Balance as of</w:t>
            </w: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144,589,706</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$147,946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22,762,041</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(81,696)</w:t>
            </w:r>
          </w:p>
        </w:tc>
        <w:tc>
          <w:tcPr>
            <w:tcW w:w="0" w:type="dxa"/>
            <w:vAlign w:val="bottom"/>
          </w:tcPr>
          <w:p>
            <w:pPr>
              <w:spacing w:after="0"/>
              <w:rPr>
                <w:sz w:val="1"/>
                <w:szCs w:val="1"/>
                <w:color w:val="auto"/>
              </w:rPr>
            </w:pPr>
          </w:p>
        </w:tc>
      </w:tr>
      <w:tr>
        <w:trPr>
          <w:trHeight w:val="184"/>
        </w:trPr>
        <w:tc>
          <w:tcPr>
            <w:tcW w:w="2380" w:type="dxa"/>
            <w:vAlign w:val="bottom"/>
          </w:tcPr>
          <w:p>
            <w:pPr>
              <w:ind w:left="180"/>
              <w:spacing w:after="0" w:line="183" w:lineRule="exact"/>
              <w:rPr>
                <w:sz w:val="20"/>
                <w:szCs w:val="20"/>
                <w:color w:val="auto"/>
              </w:rPr>
            </w:pPr>
            <w:r>
              <w:rPr>
                <w:rFonts w:ascii="Arial" w:cs="Arial" w:eastAsia="Arial" w:hAnsi="Arial"/>
                <w:sz w:val="18"/>
                <w:szCs w:val="18"/>
                <w:color w:val="auto"/>
              </w:rPr>
              <w:t>Issuance of Series C</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60"/>
              <w:spacing w:after="0" w:line="202" w:lineRule="exact"/>
              <w:rPr>
                <w:sz w:val="20"/>
                <w:szCs w:val="20"/>
                <w:color w:val="auto"/>
              </w:rPr>
            </w:pPr>
            <w:r>
              <w:rPr>
                <w:rFonts w:ascii="Arial" w:cs="Arial" w:eastAsia="Arial" w:hAnsi="Arial"/>
                <w:sz w:val="18"/>
                <w:szCs w:val="18"/>
                <w:color w:val="auto"/>
              </w:rPr>
              <w:t>stock, net of issuance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360"/>
              <w:spacing w:after="0"/>
              <w:rPr>
                <w:sz w:val="20"/>
                <w:szCs w:val="20"/>
                <w:color w:val="auto"/>
              </w:rPr>
            </w:pPr>
            <w:r>
              <w:rPr>
                <w:rFonts w:ascii="Arial" w:cs="Arial" w:eastAsia="Arial" w:hAnsi="Arial"/>
                <w:sz w:val="18"/>
                <w:szCs w:val="18"/>
                <w:color w:val="auto"/>
              </w:rPr>
              <w:t>costs of $329</w:t>
            </w:r>
          </w:p>
        </w:tc>
        <w:tc>
          <w:tcPr>
            <w:tcW w:w="1080" w:type="dxa"/>
            <w:vAlign w:val="bottom"/>
          </w:tcPr>
          <w:p>
            <w:pPr>
              <w:jc w:val="right"/>
              <w:spacing w:after="0"/>
              <w:rPr>
                <w:sz w:val="20"/>
                <w:szCs w:val="20"/>
                <w:color w:val="auto"/>
              </w:rPr>
            </w:pPr>
            <w:r>
              <w:rPr>
                <w:rFonts w:ascii="Arial" w:cs="Arial" w:eastAsia="Arial" w:hAnsi="Arial"/>
                <w:sz w:val="18"/>
                <w:szCs w:val="18"/>
                <w:color w:val="auto"/>
              </w:rPr>
              <w:t>142,857,138</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99,671</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Vesting of early exercised</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2380" w:type="dxa"/>
            <w:vAlign w:val="bottom"/>
          </w:tcPr>
          <w:p>
            <w:pPr>
              <w:ind w:left="180"/>
              <w:spacing w:after="0" w:line="202" w:lineRule="exact"/>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722,372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Stock-based</w:t>
            </w: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184"/>
        </w:trPr>
        <w:tc>
          <w:tcPr>
            <w:tcW w:w="2380" w:type="dxa"/>
            <w:vAlign w:val="bottom"/>
          </w:tcPr>
          <w:p>
            <w:pPr>
              <w:ind w:left="180"/>
              <w:spacing w:after="0" w:line="183" w:lineRule="exact"/>
              <w:rPr>
                <w:sz w:val="20"/>
                <w:szCs w:val="20"/>
                <w:color w:val="auto"/>
              </w:rPr>
            </w:pPr>
            <w:r>
              <w:rPr>
                <w:rFonts w:ascii="Arial" w:cs="Arial" w:eastAsia="Arial" w:hAnsi="Arial"/>
                <w:sz w:val="18"/>
                <w:szCs w:val="18"/>
                <w:color w:val="auto"/>
              </w:rPr>
              <w:t>Unrealized gain on short-</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360"/>
              <w:spacing w:after="0"/>
              <w:rPr>
                <w:sz w:val="20"/>
                <w:szCs w:val="20"/>
                <w:color w:val="auto"/>
              </w:rPr>
            </w:pPr>
            <w:r>
              <w:rPr>
                <w:rFonts w:ascii="Arial" w:cs="Arial" w:eastAsia="Arial" w:hAnsi="Arial"/>
                <w:sz w:val="18"/>
                <w:szCs w:val="18"/>
                <w:color w:val="auto"/>
              </w:rPr>
              <w:t>term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(37,290)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191"/>
        </w:trPr>
        <w:tc>
          <w:tcPr>
            <w:tcW w:w="238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as of</w:t>
            </w: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80" w:type="dxa"/>
            <w:vAlign w:val="bottom"/>
          </w:tcPr>
          <w:p>
            <w:pPr>
              <w:ind w:left="180"/>
              <w:spacing w:after="0"/>
              <w:rPr>
                <w:sz w:val="20"/>
                <w:szCs w:val="20"/>
                <w:color w:val="auto"/>
              </w:rPr>
            </w:pPr>
            <w:r>
              <w:rPr>
                <w:rFonts w:ascii="Arial" w:cs="Arial" w:eastAsia="Arial" w:hAnsi="Arial"/>
                <w:sz w:val="18"/>
                <w:szCs w:val="18"/>
                <w:b w:val="1"/>
                <w:bCs w:val="1"/>
                <w:color w:val="auto"/>
              </w:rPr>
              <w:t>September 30, 2023</w:t>
            </w:r>
          </w:p>
        </w:tc>
        <w:tc>
          <w:tcPr>
            <w:tcW w:w="1080" w:type="dxa"/>
            <w:vAlign w:val="bottom"/>
          </w:tcPr>
          <w:p>
            <w:pPr>
              <w:jc w:val="right"/>
              <w:spacing w:after="0"/>
              <w:rPr>
                <w:sz w:val="20"/>
                <w:szCs w:val="20"/>
                <w:color w:val="auto"/>
              </w:rPr>
            </w:pPr>
            <w:r>
              <w:rPr>
                <w:rFonts w:ascii="Arial" w:cs="Arial" w:eastAsia="Arial" w:hAnsi="Arial"/>
                <w:sz w:val="18"/>
                <w:szCs w:val="18"/>
                <w:color w:val="auto"/>
              </w:rPr>
              <w:t>287,446,844</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247,617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24,079,624</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8,034</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(123,965)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(116,043)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(34,122)</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Reconciliation of net loss to net cash used in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1,698</w:t>
            </w: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line="202" w:lineRule="exact"/>
              <w:rPr>
                <w:sz w:val="20"/>
                <w:szCs w:val="20"/>
                <w:color w:val="auto"/>
              </w:rPr>
            </w:pPr>
            <w:r>
              <w:rPr>
                <w:rFonts w:ascii="Arial" w:cs="Arial" w:eastAsia="Arial" w:hAnsi="Arial"/>
                <w:sz w:val="18"/>
                <w:szCs w:val="18"/>
                <w:color w:val="auto"/>
              </w:rPr>
              <w:t>Amortization (accretion) of investments, net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513</w:t>
            </w:r>
          </w:p>
        </w:tc>
        <w:tc>
          <w:tcPr>
            <w:tcW w:w="2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lease expense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1,085</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line="202" w:lineRule="exact"/>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1,356</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3"/>
        </w:trPr>
        <w:tc>
          <w:tcPr>
            <w:tcW w:w="6580" w:type="dxa"/>
            <w:vAlign w:val="bottom"/>
          </w:tcPr>
          <w:p>
            <w:pPr>
              <w:ind w:left="720"/>
              <w:spacing w:after="0" w:line="202" w:lineRule="exact"/>
              <w:rPr>
                <w:sz w:val="20"/>
                <w:szCs w:val="20"/>
                <w:color w:val="auto"/>
              </w:rPr>
            </w:pPr>
            <w:r>
              <w:rPr>
                <w:rFonts w:ascii="Arial" w:cs="Arial" w:eastAsia="Arial" w:hAnsi="Arial"/>
                <w:sz w:val="18"/>
                <w:szCs w:val="18"/>
                <w:color w:val="auto"/>
              </w:rPr>
              <w:t>Operating lease liabilities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(718)</w:t>
            </w:r>
          </w:p>
        </w:tc>
        <w:tc>
          <w:tcPr>
            <w:tcW w:w="2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(29,413)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(35,169)</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investments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(42,598)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(132,703)</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Maturities of investments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51,393</w:t>
            </w: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78,996</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9"/>
        </w:trPr>
        <w:tc>
          <w:tcPr>
            <w:tcW w:w="6580" w:type="dxa"/>
            <w:vAlign w:val="bottom"/>
          </w:tcPr>
          <w:p>
            <w:pPr>
              <w:ind w:left="90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Series C preferred stock, net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99,671</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Payment of deferred offering costs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99,281</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(21,554)</w:t>
            </w:r>
          </w:p>
        </w:tc>
        <w:tc>
          <w:tcPr>
            <w:tcW w:w="26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34,822</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6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cash, cash equivalents, and restricted cash:</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12,735</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20,964</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6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Addition to ROU assets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6,068</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offering costs in accounts payable and accrued expenses</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Vesting of early exercised stock options</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6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Unpaid property and equipment purchases</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financial statements</w:t>
      </w:r>
      <w:r>
        <w:rPr>
          <w:rFonts w:ascii="Arial" w:cs="Arial" w:eastAsia="Arial" w:hAnsi="Arial"/>
          <w:sz w:val="18"/>
          <w:szCs w:val="18"/>
          <w:color w:val="auto"/>
        </w:rPr>
        <w: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right="7200" w:hanging="4"/>
        <w:spacing w:after="0" w:line="360" w:lineRule="auto"/>
        <w:tabs>
          <w:tab w:leader="none" w:pos="55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Description of Business</w:t>
      </w:r>
    </w:p>
    <w:p>
      <w:pPr>
        <w:ind w:left="120" w:right="80" w:firstLine="440"/>
        <w:spacing w:after="0" w:line="266" w:lineRule="auto"/>
        <w:rPr>
          <w:sz w:val="20"/>
          <w:szCs w:val="20"/>
          <w:color w:val="auto"/>
        </w:rPr>
      </w:pPr>
      <w:r>
        <w:rPr>
          <w:rFonts w:ascii="Arial" w:cs="Arial" w:eastAsia="Arial" w:hAnsi="Arial"/>
          <w:sz w:val="17"/>
          <w:szCs w:val="17"/>
          <w:color w:val="auto"/>
        </w:rPr>
        <w:t>Boundless Bio, Inc. (the Company) is a clinical-stage precision oncology company dedicated to unlocking a new paradigm in cancer therapeutics to address the significant unmet need in patients with oncogene amplified tumors by targeting extrachromosomal DNA (ecDNA). The Company is focused on designing and developing small molecule drugs called ecDNA-directed therapeutic candidates (ecDTx). The Company was incorporated in the state of Delaware on April 10, 2018 and is headquartered in San Diego, California.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0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Since the Company commenced operations in 2018, it has devoted substantially all of its efforts and resources to organizing and staffing the company, business planning, raising capital, building its proprietary Spyglass platform, discovering its ecDTx,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w:t>
      </w:r>
    </w:p>
    <w:p>
      <w:pPr>
        <w:spacing w:after="0" w:line="174"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As of September 30, 2023, the Company had an accumulated deficit of $ 124.0 million and cash, cash equivalents, and short-term investments of $132.7 million. The Company has incurred significant operating losses and negative cash flows from its operations and expects that it will continue to do so into the foreseeable future as it continues its development of, seeks regulatory approval for, and potentially commercializes any of its ecDTx and seeks to discover, and develop additional ecDTx, utilizes third parties to manufacture its ecDTx and related raw materials, hires additional personnel, and expands and protect its intellectual property. If the Company obtains regulatory approval for any of its ecDTx, it expects to incur significant commercialization expenses related to product sales, marketing, manufacturing, and distribution. As such, the Company will need to continue to raise a substantial amount of funds until it is able to generate revenues to fund its development activities and operations. Since its inception, the Company has funded its operations primarily from the gross proceeds from the sale and issuance of its convertible preferred stock.</w:t>
      </w:r>
    </w:p>
    <w:p>
      <w:pPr>
        <w:spacing w:after="0" w:line="18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does not have any products approved for sale and has not generated any revenue to date. The Company does not expect to generate any revenue from product sales until it successfully completes development and obtains regulatory approval for one or more of its ecDTx, which the Company expects will take a number of years and may never occur. The Company will need substantial additional funding to support its continuing operations and pursue its long-term business plan, including to complete the development and commercialization of its ecDTx, if approved. Accordingly, until such time as the Company can generate significant revenue from sales of its ecDTx, if ever, the Company expects to finance its future cash needs through equity offerings, debt financings, or other capital sources, including potential collaborations, licenses, and other similar arrangements. However, the Company may be unable to raise additional funds or enter into such other arrangements when needed on favorable terms or at all. The Company’s failure to raise capital or enter into such other arrangements when needed would have a negative impact on its financial condition and could force it to delay, limit, reduce, or terminate its research and development programs or other operations, or grant rights to develop and market ecDTx that the Company would otherwise prefer to develop and market itself. Although there can be no assurance that the Company will be successful in acquiring additional funding, that projections of future working capital needs will prove accurate, or that any</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additional funding would be sufficient to continue operations in future years, the Company believes that its existing cash, cash equivalents, and investment securities will be sufficient to fund operations for the next 12 months from the date these financial statements are available to be issued.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317" w:lineRule="exact"/>
        <w:rPr>
          <w:sz w:val="20"/>
          <w:szCs w:val="20"/>
          <w:color w:val="auto"/>
        </w:rPr>
      </w:pPr>
    </w:p>
    <w:p>
      <w:pPr>
        <w:ind w:left="120" w:right="6580" w:hanging="4"/>
        <w:spacing w:after="0" w:line="381" w:lineRule="auto"/>
        <w:tabs>
          <w:tab w:leader="none" w:pos="552"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Unaudited Condensed Interim Financial Information</w:t>
      </w:r>
    </w:p>
    <w:p>
      <w:pPr>
        <w:ind w:left="120" w:right="40" w:firstLine="440"/>
        <w:spacing w:after="0" w:line="239" w:lineRule="auto"/>
        <w:rPr>
          <w:sz w:val="20"/>
          <w:szCs w:val="20"/>
          <w:color w:val="auto"/>
        </w:rPr>
      </w:pPr>
      <w:r>
        <w:rPr>
          <w:rFonts w:ascii="Arial" w:cs="Arial" w:eastAsia="Arial" w:hAnsi="Arial"/>
          <w:sz w:val="18"/>
          <w:szCs w:val="18"/>
          <w:color w:val="auto"/>
        </w:rPr>
        <w:t>The condensed balance sheet as of September 30, 2023, the condensed statements of operations and comprehensive loss for the nine months ended September 30, 2022 and 2023, the condensed statements of convertible preferred stock and stockholders’ deficit for the nine months ended September 30, 2022 and 2023, and the condensed statement cash flows for the nine months ended September 30, 2022 and 2023 are unaudited. These unaudited condensed financial statements have been prepared on the same basis as the annual financial statements and, in the opinion of management, reflect all adjustments, which include only normal recurring adjustments, necessary to present fairly the Company’s financial position, results of operations, and cash flows for the interim period presented. The financial data and the other financial information contained in these notes to the condensed financial statements related to the nine months ended September 30, 2022 and 2023 are also unaudited. The results of operations for the nine months ended September 30, 2023 are not necessarily indicative of the results to be expected for the year ending December 31, 2023 or for any other future annual or interim period.</w:t>
      </w:r>
    </w:p>
    <w:p>
      <w:pPr>
        <w:spacing w:after="0" w:line="180"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condensed balance sheet as of December 31, 2022 included herein was derived from the audited financial statements as of that date. These unaudited condensed financial statements should be read in conjunction with the Company’s audited financial statements for the year ended December 31,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expenses during the reporting period. Management evaluates its estimates, including but not limited to the fair value of investments, stock options, income taxes, clinical trial accruals, and stock-based compensation.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2"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Cash and cash equivalents include cash in readily available checking and money market accounts.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The balance reflected in these financial statements as restricted cash represents a deposit account pledged as collateral to secure a standby letter of credit required as a security deposit on one of the Company’s leased facilities. The Company has classified the restricted cash as a noncurrent asset on its balance sheets as of December 31, 2022 and September 30,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Financial instruments, which potentially subject the Company to the concentration of credit risk, consist primarily of cash, cash equivalents, and investments. The Company maintains deposits in federally insured financial institutions which exceeded federally insured limits by $1.8 million.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186"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2"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(deficit) as a reduction of proceeds generated as a result of the offering. Should the in-process equity financing be abandoned, the deferred offering costs will be expensed immediately as a charge to operating expenses in the consolidated statements of operations and comprehensive loss. As of December 31, 2022 and September 30, 2023, there were $0 and $1.8 million of deferred offering costs, respectively.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—Quoted prices in active markets for identical assets or liabilities.</w:t>
      </w:r>
    </w:p>
    <w:p>
      <w:pPr>
        <w:spacing w:after="0" w:line="104" w:lineRule="exact"/>
        <w:rPr>
          <w:sz w:val="20"/>
          <w:szCs w:val="20"/>
          <w:color w:val="auto"/>
        </w:rPr>
      </w:pPr>
    </w:p>
    <w:p>
      <w:pPr>
        <w:ind w:left="560" w:right="420"/>
        <w:spacing w:after="0" w:line="271"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observable, either directly or indirectly, for substantially the full term of the asset or liability.</w:t>
      </w:r>
    </w:p>
    <w:p>
      <w:pPr>
        <w:spacing w:after="0" w:line="46" w:lineRule="exact"/>
        <w:rPr>
          <w:sz w:val="20"/>
          <w:szCs w:val="20"/>
          <w:color w:val="auto"/>
        </w:rPr>
      </w:pPr>
    </w:p>
    <w:p>
      <w:pPr>
        <w:ind w:left="560"/>
        <w:spacing w:after="0" w:line="271"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or liabilities, including pricing models, discounted cash flow methodologies, and similar techniques.</w:t>
      </w:r>
    </w:p>
    <w:p>
      <w:pPr>
        <w:spacing w:after="0" w:line="15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The Company leases real estate facilities under non-cancellable operating leases with various expiration dates through fiscal year 2034.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174" w:lineRule="exact"/>
        <w:rPr>
          <w:sz w:val="20"/>
          <w:szCs w:val="20"/>
          <w:color w:val="auto"/>
        </w:rPr>
      </w:pPr>
    </w:p>
    <w:p>
      <w:pPr>
        <w:ind w:left="120" w:right="220" w:firstLine="440"/>
        <w:spacing w:after="0" w:line="244" w:lineRule="auto"/>
        <w:rPr>
          <w:sz w:val="20"/>
          <w:szCs w:val="20"/>
          <w:color w:val="auto"/>
        </w:rPr>
      </w:pPr>
      <w:r>
        <w:rPr>
          <w:rFonts w:ascii="Arial" w:cs="Arial" w:eastAsia="Arial" w:hAnsi="Arial"/>
          <w:sz w:val="18"/>
          <w:szCs w:val="18"/>
          <w:color w:val="auto"/>
        </w:rPr>
        <w:t xml:space="preserve">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January 1, 2021. The Company elected the package of practical expedients for transition under which the Company did not reassess its prior conclusions about lease identification, lease classification, and initial direct costs. Additionally, the Company elected the “hindsight” and “land easement” practical expedients for transition under which conclusions around lease term, impairment, and land easements will not be reassessed. The Company did not apply the portfolio approach to its lease agreements.</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Operating leases are included in operating lease assets and in operating lease liabilities in the accompanying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do not provide an implicit rate, the Company estimates its incremental</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 rate based on the information available at lease commencement date for borrowings with a similar term.</w:t>
      </w:r>
    </w:p>
    <w:p>
      <w:pPr>
        <w:spacing w:after="0" w:line="21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7"/>
          <w:szCs w:val="17"/>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ind w:left="120" w:right="460" w:firstLine="440"/>
        <w:spacing w:after="0" w:line="253"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in making decisions regarding resource allocation and assessing performance. The Company views its operations and manages its business as one operating segment.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Company’s convertible preferred stock is classified as temporary equity in the accompanying condensed balance sheets and excluded from stockholders’ deficit as the potential redemption of such stock is outside the Company’s control and would require the redemption of the then-outstanding convertible preferred stock. The convertible preferred stock is not redeemable except for in the event of a liquidation, dissolution, or winding up of the Company. Costs incurred in connection with the issuance of convertible preferred stock are recorded as a reduction of gross proceeds from issuance. The Company does not accrete the carrying values of the preferred stock to the redemption values since the occurrence of these events was not considered probable as of December 31, 2022 and September 30, 2023. Subsequent adjustments of the carrying values to the ultimate redemption values will be made only when it becomes probable that these events will occur.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to estimate the fair value of its common stock. In determining the exercise prices for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preferences, and privileges of the convertible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assumptions underlying the factors used could result in different fair values of common stock at each valuation date.</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Comprehensive loss consists of net loss and unrealized gains and losses on the Company’s available-for-sale investments. The Company reports all components of comprehensive income (loss) in the statements of operations and comprehensive loss in the period in which they are recognized.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Company’s potentially dilutive securities, which include its convertible preferred stock, options to purchase common stock, and common stock subject to repurchase related to unvested restricted stock and options early exercised, have been excluded from the computation of diluted net loss per share as the effect would reduce the net loss per share. Therefore, the weighted-average number of shares of common stock outstanding used to calculate both basic and diluted net loss per share is the same.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FASB standards’ effective dates.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(Topic 326</w:t>
      </w:r>
      <w:r>
        <w:rPr>
          <w:rFonts w:ascii="Arial" w:cs="Arial" w:eastAsia="Arial" w:hAnsi="Arial"/>
          <w:sz w:val="18"/>
          <w:szCs w:val="18"/>
          <w:color w:val="auto"/>
        </w:rPr>
        <w:t>) (CECL). The new standard requires entities to measure all expected credit losses for financial assets held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reporting date based on historical experience, current conditions, and reasonable and supportable forecasts. Subsequent to the issuance of ASU 2016-13, the FASB issued ASU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This ASU does not change the core principle of the guidance in ASU 2016-13, instead these amendments are intended to clarify and improve operability of certain topics included within the credit losses guidance. The FASB also subsequently issued ASU No. 2019-04,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326, Financial Instruments—Credit Losses, Derivatives and Hedging (Topic 815)</w:t>
      </w:r>
      <w:r>
        <w:rPr>
          <w:rFonts w:ascii="Arial" w:cs="Arial" w:eastAsia="Arial" w:hAnsi="Arial"/>
          <w:sz w:val="18"/>
          <w:szCs w:val="18"/>
          <w:color w:val="auto"/>
        </w:rPr>
        <w:t>, and</w:t>
      </w:r>
      <w:r>
        <w:rPr>
          <w:rFonts w:ascii="Arial" w:cs="Arial" w:eastAsia="Arial" w:hAnsi="Arial"/>
          <w:sz w:val="18"/>
          <w:szCs w:val="18"/>
          <w:i w:val="1"/>
          <w:iCs w:val="1"/>
          <w:color w:val="auto"/>
        </w:rPr>
        <w:t xml:space="preserve"> Financial Instruments (Topic 825</w:t>
      </w:r>
      <w:r>
        <w:rPr>
          <w:rFonts w:ascii="Arial" w:cs="Arial" w:eastAsia="Arial" w:hAnsi="Arial"/>
          <w:sz w:val="18"/>
          <w:szCs w:val="18"/>
          <w:color w:val="auto"/>
        </w:rPr>
        <w:t>), which did not change the core principle of the guidance in ASU 2016-13 but clarified that expected recoveries of amounts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written off and expected to be written off should be included in the valuation account and should not exceed amounts previously written off and expected to be written off. In March 2020, the FASB issued ASU No. 2020-3, </w:t>
      </w:r>
      <w:r>
        <w:rPr>
          <w:rFonts w:ascii="Arial" w:cs="Arial" w:eastAsia="Arial" w:hAnsi="Arial"/>
          <w:sz w:val="18"/>
          <w:szCs w:val="18"/>
          <w:i w:val="1"/>
          <w:iCs w:val="1"/>
          <w:color w:val="auto"/>
        </w:rPr>
        <w:t>Codification Improvements to Financial Instruments</w:t>
      </w:r>
      <w:r>
        <w:rPr>
          <w:rFonts w:ascii="Arial" w:cs="Arial" w:eastAsia="Arial" w:hAnsi="Arial"/>
          <w:sz w:val="18"/>
          <w:szCs w:val="18"/>
          <w:color w:val="auto"/>
        </w:rPr>
        <w:t xml:space="preserve"> which makes narrow-scope improvements to various financial instruments topics, including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new credit losses standard and clarifies the following areas (i) the contractual term of a net investment in a lease should be the contractual term used to measure expected credit losses; (ii) when an entity regains control of financial assets sold, an allowance for credit losses should be recorded. The new standard is effective for annual reporting periods beginning after December 15, 2022, including interim reporting periods within each annual reporting period for smaller reporting companies. The Company adopted ASU 2016-13 on a modified retrospective basis on January 1, 2023, and noted no material impact to the Company’s financial statements for the nine months ended September 30, 2023.</w:t>
      </w:r>
    </w:p>
    <w:p>
      <w:pPr>
        <w:spacing w:after="0" w:line="179" w:lineRule="exact"/>
        <w:rPr>
          <w:sz w:val="20"/>
          <w:szCs w:val="20"/>
          <w:color w:val="auto"/>
        </w:rPr>
      </w:pPr>
    </w:p>
    <w:p>
      <w:pPr>
        <w:ind w:left="120" w:right="180" w:firstLine="440"/>
        <w:spacing w:after="0" w:line="24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Debt with Conversion and Other Options (Subtopic 470-20)</w:t>
      </w:r>
      <w:r>
        <w:rPr>
          <w:rFonts w:ascii="Arial" w:cs="Arial" w:eastAsia="Arial" w:hAnsi="Arial"/>
          <w:sz w:val="18"/>
          <w:szCs w:val="18"/>
          <w:color w:val="auto"/>
        </w:rPr>
        <w:t xml:space="preserve">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w:t>
      </w:r>
      <w:r>
        <w:rPr>
          <w:rFonts w:ascii="Arial" w:cs="Arial" w:eastAsia="Arial" w:hAnsi="Arial"/>
          <w:sz w:val="18"/>
          <w:szCs w:val="18"/>
          <w:color w:val="auto"/>
        </w:rPr>
        <w:t>(ASU 2020-06), which simplifies the accounting for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contracts in an entity’s own equity. This guidance is effective for the Company in its annual reporting period beginning after December 15, 2023, including interim periods within that reporting period, with early adoption permitted only as of annual reporting periods beginning after December 15, 2020. The Company adopted ASU 2020-06 on a modified retrospective basis on January 1, 2023, and the adoption had no impact on its financial statements and related disclosures.</w:t>
      </w:r>
    </w:p>
    <w:p>
      <w:pPr>
        <w:spacing w:after="0" w:line="327"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 (in thousands)</w:t>
            </w: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Fair Value Measurements Using</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Money market funds (1)</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9,078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9,078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government obligations (2)</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34,898</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34,898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debt securities (2)</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17,279</w:t>
            </w:r>
          </w:p>
        </w:tc>
        <w:tc>
          <w:tcPr>
            <w:tcW w:w="22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 (2)</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3,484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Asset-backed securities (2)</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64,844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9,078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55,766</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Included in cash and cash equivalents on the balance sheets.</w:t>
      </w:r>
    </w:p>
    <w:p>
      <w:pPr>
        <w:spacing w:after="0" w:line="21" w:lineRule="exact"/>
        <w:rPr>
          <w:rFonts w:ascii="Arial" w:cs="Arial" w:eastAsia="Arial" w:hAnsi="Arial"/>
          <w:sz w:val="16"/>
          <w:szCs w:val="16"/>
          <w:color w:val="auto"/>
        </w:rPr>
      </w:pPr>
    </w:p>
    <w:p>
      <w:pPr>
        <w:ind w:left="540" w:hanging="424"/>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Included in short-term investments on the balance sheets.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2023 (in thousands)</w:t>
            </w: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8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Money market funds (1)</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18,789</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18,789</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government obligations (2)</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108,588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108,588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debt securities (2)</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3,175</w:t>
            </w:r>
          </w:p>
        </w:tc>
        <w:tc>
          <w:tcPr>
            <w:tcW w:w="220" w:type="dxa"/>
            <w:vAlign w:val="bottom"/>
          </w:tcPr>
          <w:p>
            <w:pPr>
              <w:spacing w:after="0"/>
              <w:rPr>
                <w:sz w:val="17"/>
                <w:szCs w:val="17"/>
                <w:color w:val="auto"/>
              </w:rPr>
            </w:pPr>
          </w:p>
        </w:tc>
        <w:tc>
          <w:tcPr>
            <w:tcW w:w="92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fair value of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130,552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18,789</w:t>
            </w:r>
          </w:p>
        </w:tc>
        <w:tc>
          <w:tcPr>
            <w:tcW w:w="3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111,763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Included in cash and cash equivalents on the condensed balance sheets.</w:t>
      </w:r>
    </w:p>
    <w:p>
      <w:pPr>
        <w:spacing w:after="0" w:line="21" w:lineRule="exact"/>
        <w:rPr>
          <w:rFonts w:ascii="Arial" w:cs="Arial" w:eastAsia="Arial" w:hAnsi="Arial"/>
          <w:sz w:val="16"/>
          <w:szCs w:val="16"/>
          <w:color w:val="auto"/>
        </w:rPr>
      </w:pPr>
    </w:p>
    <w:p>
      <w:pPr>
        <w:ind w:left="540" w:hanging="424"/>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Included in short-term investments on the condensed balance sheets.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of assets between fair value levels for all periods presented.</w:t>
      </w:r>
    </w:p>
    <w:p>
      <w:pPr>
        <w:spacing w:after="0" w:line="239" w:lineRule="exact"/>
        <w:rPr>
          <w:sz w:val="20"/>
          <w:szCs w:val="20"/>
          <w:color w:val="auto"/>
        </w:rPr>
      </w:pPr>
    </w:p>
    <w:p>
      <w:pPr>
        <w:ind w:left="660" w:hanging="54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summarizes investments accounted for as available-for-sale securities: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Acquisition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Estimated Fair</w:t>
            </w: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December 31, 2022 (in thousands)</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9,078</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9,078</w:t>
            </w:r>
          </w:p>
        </w:tc>
        <w:tc>
          <w:tcPr>
            <w:tcW w:w="22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U.S. government obligations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35,209</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34,898</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17,366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17,279</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3,484</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3,484</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securities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7"/>
                <w:szCs w:val="17"/>
                <w:color w:val="auto"/>
              </w:rPr>
            </w:pPr>
          </w:p>
        </w:tc>
      </w:tr>
      <w:tr>
        <w:trPr>
          <w:trHeight w:val="210"/>
        </w:trPr>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9,078</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55,766</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63"/>
        </w:trPr>
        <w:tc>
          <w:tcPr>
            <w:tcW w:w="4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Acquisition</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Estimated Fair</w:t>
            </w: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September 30, 2023 (in thousands)</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18,789</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18,789</w:t>
            </w:r>
          </w:p>
        </w:tc>
        <w:tc>
          <w:tcPr>
            <w:tcW w:w="22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U.S. government obligations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108,693</w:t>
            </w:r>
          </w:p>
        </w:tc>
        <w:tc>
          <w:tcPr>
            <w:tcW w:w="160" w:type="dxa"/>
            <w:vAlign w:val="bottom"/>
          </w:tcPr>
          <w:p>
            <w:pPr>
              <w:spacing w:after="0"/>
              <w:rPr>
                <w:sz w:val="17"/>
                <w:szCs w:val="17"/>
                <w:color w:val="auto"/>
              </w:rPr>
            </w:pPr>
          </w:p>
        </w:tc>
        <w:tc>
          <w:tcPr>
            <w:tcW w:w="9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108,588</w:t>
            </w:r>
          </w:p>
        </w:tc>
        <w:tc>
          <w:tcPr>
            <w:tcW w:w="20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3,175</w:t>
            </w:r>
          </w:p>
        </w:tc>
      </w:tr>
      <w:tr>
        <w:trPr>
          <w:trHeight w:val="210"/>
        </w:trPr>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130,666</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18,789</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111,763</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right="640" w:firstLine="440"/>
        <w:spacing w:after="0" w:line="253" w:lineRule="auto"/>
        <w:rPr>
          <w:sz w:val="20"/>
          <w:szCs w:val="20"/>
          <w:color w:val="auto"/>
        </w:rPr>
      </w:pPr>
      <w:r>
        <w:rPr>
          <w:rFonts w:ascii="Arial" w:cs="Arial" w:eastAsia="Arial" w:hAnsi="Arial"/>
          <w:sz w:val="18"/>
          <w:szCs w:val="18"/>
          <w:color w:val="auto"/>
        </w:rPr>
        <w:t>On December 31, 2022 and September 30, 2023, the remaining contractual maturities of all the Company’s available-for-sale investments were less than 12 months. As of December 31, 2022 and September 30, 2023, the Company has not established an allowance for credit losses for any of its available-for-sale securities.</w:t>
      </w:r>
    </w:p>
    <w:p>
      <w:pPr>
        <w:spacing w:after="0" w:line="128" w:lineRule="exact"/>
        <w:rPr>
          <w:sz w:val="20"/>
          <w:szCs w:val="20"/>
          <w:color w:val="auto"/>
        </w:rPr>
      </w:pPr>
    </w:p>
    <w:p>
      <w:pPr>
        <w:jc w:val="both"/>
        <w:ind w:left="120" w:right="60" w:firstLine="440"/>
        <w:spacing w:after="0" w:line="247" w:lineRule="auto"/>
        <w:rPr>
          <w:sz w:val="20"/>
          <w:szCs w:val="20"/>
          <w:color w:val="auto"/>
        </w:rPr>
      </w:pPr>
      <w:r>
        <w:rPr>
          <w:rFonts w:ascii="Arial" w:cs="Arial" w:eastAsia="Arial" w:hAnsi="Arial"/>
          <w:sz w:val="18"/>
          <w:szCs w:val="18"/>
          <w:color w:val="auto"/>
        </w:rPr>
        <w:t>As of December 31, 2022, there were 18 available-for-sale securities with an estimated fair value of $ 50.3 million in gross unrealized loss positions. As of September 30, 2023, there were 48 available-for-sale securities with an estimated fair value of $99.9 million in gross unrealized loss positions. Based on its review of these investments, the Company believes that the unrealized losses reflected the impact of the rising interest rate environment and were not other-than-temporary in nature.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660" w:hanging="544"/>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payable and accrued liabilities consisted of the following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c>
          <w:tcPr>
            <w:tcW w:w="420" w:type="dxa"/>
            <w:vAlign w:val="bottom"/>
            <w:tcBorders>
              <w:top w:val="single" w:sz="8" w:color="CCEEFF"/>
            </w:tcBorders>
            <w:shd w:val="clear" w:color="auto" w:fill="CCEEFF"/>
          </w:tcPr>
          <w:p>
            <w:pPr>
              <w:spacing w:after="0"/>
              <w:rPr>
                <w:sz w:val="17"/>
                <w:szCs w:val="17"/>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Research and development accruals</w:t>
            </w:r>
          </w:p>
        </w:tc>
        <w:tc>
          <w:tcPr>
            <w:tcW w:w="48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967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2,864</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offering costs</w:t>
            </w: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1,192</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717</w:t>
            </w:r>
          </w:p>
        </w:tc>
      </w:tr>
      <w:tr>
        <w:trPr>
          <w:trHeight w:val="27"/>
        </w:trPr>
        <w:tc>
          <w:tcPr>
            <w:tcW w:w="7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accounts payable and accrued liabilities</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2,838</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5,582</w:t>
            </w:r>
          </w:p>
        </w:tc>
      </w:tr>
      <w:tr>
        <w:trPr>
          <w:trHeight w:val="20"/>
        </w:trPr>
        <w:tc>
          <w:tcPr>
            <w:tcW w:w="7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880" w:hanging="4"/>
        <w:spacing w:after="0" w:line="360" w:lineRule="auto"/>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 Agreements </w:t>
      </w:r>
      <w:r>
        <w:rPr>
          <w:rFonts w:ascii="Arial" w:cs="Arial" w:eastAsia="Arial" w:hAnsi="Arial"/>
          <w:sz w:val="18"/>
          <w:szCs w:val="18"/>
          <w:b w:val="1"/>
          <w:bCs w:val="1"/>
          <w:i w:val="1"/>
          <w:iCs w:val="1"/>
          <w:color w:val="auto"/>
        </w:rPr>
        <w:t>2022 Lease</w:t>
      </w:r>
    </w:p>
    <w:p>
      <w:pPr>
        <w:ind w:left="120" w:right="20" w:firstLine="440"/>
        <w:spacing w:after="0" w:line="239" w:lineRule="auto"/>
        <w:rPr>
          <w:sz w:val="20"/>
          <w:szCs w:val="20"/>
          <w:color w:val="auto"/>
        </w:rPr>
      </w:pPr>
      <w:r>
        <w:rPr>
          <w:rFonts w:ascii="Arial" w:cs="Arial" w:eastAsia="Arial" w:hAnsi="Arial"/>
          <w:sz w:val="18"/>
          <w:szCs w:val="18"/>
          <w:color w:val="auto"/>
        </w:rPr>
        <w:t>In March 2021, as amended in November 2021, the Company entered into a non-cancelable operating lease for a facility in San Diego, California (the 2022 Lease). The 2022 Lease had an initial term that ended in May 2024, although this was subsequently amended such that this lease now ends on that date occurring 14 days after the lease commencement date for the 2024 Lease (see below). The 2022 Lease provides for the rental of lab and office space, contains rent escalation provisions, and obligates the Company to pay a portion of the operating costs related to the underlying multitenant facility. Rental payments under the 2022 Lease commenced in mid-January 2022. Although there is no specific end date for this lease, as of September 30, 2023, the Company anticipates that the expiration of the 2022 Lease will occur in May 2025. As of September 30, 2023, the Company’s balance sheet reflects an ROU asset for this property with a net book value of $4.1 million. The Company’s estimated incremental borrowing rate of approximately 8.0% was used in its present value calculation as the 2022 Lease does not have a stated rate and the implicit rate was not readily determinable.</w:t>
      </w:r>
    </w:p>
    <w:p>
      <w:pPr>
        <w:spacing w:after="0" w:line="156" w:lineRule="exact"/>
        <w:rPr>
          <w:sz w:val="20"/>
          <w:szCs w:val="20"/>
          <w:color w:val="auto"/>
        </w:rPr>
      </w:pPr>
    </w:p>
    <w:p>
      <w:pPr>
        <w:jc w:val="both"/>
        <w:ind w:left="120" w:right="120" w:firstLine="440"/>
        <w:spacing w:after="0" w:line="253" w:lineRule="auto"/>
        <w:rPr>
          <w:sz w:val="20"/>
          <w:szCs w:val="20"/>
          <w:color w:val="auto"/>
        </w:rPr>
      </w:pPr>
      <w:r>
        <w:rPr>
          <w:rFonts w:ascii="Arial" w:cs="Arial" w:eastAsia="Arial" w:hAnsi="Arial"/>
          <w:sz w:val="18"/>
          <w:szCs w:val="18"/>
          <w:color w:val="auto"/>
        </w:rPr>
        <w:t>As of September 30, 2023, estimated future minimum lease payments under the 2022 Lease totaled $4.7 million, including imputed interest of approximately $0.3 million. Future payments under the 2022 Lease will total $0.7 million for the remainder of 2023, $2.9 million in 2024, with the remaining $1.1 million to be paid in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Lease</w:t>
      </w:r>
    </w:p>
    <w:p>
      <w:pPr>
        <w:spacing w:after="0" w:line="1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color w:val="auto"/>
        </w:rPr>
        <w:t>In December 2021, the Company entered into a non -cancelable facility lease for approximately 80,000 square feet of lab and office space in La Jolla, California (the 2024 Lease). The facility to be occupied by the Company under the 2024 lease will be built to the Company’s specifications; the 2024 Lease agreement includes tenant improvement allowances totaling $22.0 million, repayment of which is included in the future minimum lease payments called for under the agreement. Although construction and design of this property will be the responsibility of the lessor, the Company will be involved in certain aspects of the construction and design of certain interior features and leasehold improvements that will be beneficial to the Company to better suit its business needs and intended purpose of the space.</w:t>
      </w:r>
    </w:p>
    <w:p>
      <w:pPr>
        <w:spacing w:after="0" w:line="125" w:lineRule="exact"/>
        <w:rPr>
          <w:sz w:val="20"/>
          <w:szCs w:val="20"/>
          <w:color w:val="auto"/>
        </w:rPr>
      </w:pPr>
    </w:p>
    <w:p>
      <w:pPr>
        <w:jc w:val="both"/>
        <w:ind w:left="120" w:right="220" w:firstLine="440"/>
        <w:spacing w:after="0" w:line="247" w:lineRule="auto"/>
        <w:rPr>
          <w:sz w:val="20"/>
          <w:szCs w:val="20"/>
          <w:color w:val="auto"/>
        </w:rPr>
      </w:pPr>
      <w:r>
        <w:rPr>
          <w:rFonts w:ascii="Arial" w:cs="Arial" w:eastAsia="Arial" w:hAnsi="Arial"/>
          <w:sz w:val="18"/>
          <w:szCs w:val="18"/>
          <w:color w:val="auto"/>
        </w:rPr>
        <w:t>As of September 30, 2023, construction of the property underlying the 2024 Lease has begun, however, the exact commencement date of the 2024 lease is yet to be determined. At completion of construction, the Company will occupy the facility for a 120-month term, with payments under the lease commencing after a six-month rent abatement period and continuing through the conclusion of the lease term. As of September 30, 2023, the Company anticipates the occupancy date for this property to be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2025, although this date is an estimate, which is subject to change. The 2024 Lease includes base lease payments aggregating</w:t>
      </w:r>
    </w:p>
    <w:p>
      <w:pPr>
        <w:spacing w:after="0" w:line="14"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$71.9 million, as well as additional charges for common area maintenance and property taxes. The Company has the right to extend the term of the 2024 Lease for an additional 60 months.</w:t>
      </w:r>
    </w:p>
    <w:p>
      <w:pPr>
        <w:spacing w:after="0" w:line="145"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has made an upfront payment of $0.5 million in connection with the 2024 Lease, which has been included in other long-term assets on the condensed balance sheets as of December 31, 2022 and September 30, 2023. Additionally, as a security deposit under this agreement, the Company is required to maintain a standby letter-of-credit in the amount of $0.5 million, which must remain in place until November 2034.</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Rent expense recognized for the Company’s operating leases was $1.3 million for the nine months ended September 30, 2022; such rent expense was $2.0 million for the nine months ended September 30, 2023.</w:t>
      </w:r>
    </w:p>
    <w:p>
      <w:pPr>
        <w:spacing w:after="0" w:line="113"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Under the terms of the lease agreements, the Company is also responsible for certain variable lease payments that are not included in the measurement of the lease liability. Variable lease payments for the operating leases was $215,000 for the nine months ended September 30, 2022; such lease payments totaled $21,000 for the nine months ended September 30, 2023.</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operating cash outflows for the operating lease liabilities was $0.7 million for the nine months ended September 30, 2022,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 million for the nine months ended September 30, 2023. As of September 30, 2023, the weighted-average remaining lease term</w:t>
      </w:r>
    </w:p>
    <w:p>
      <w:pPr>
        <w:ind w:left="120"/>
        <w:spacing w:after="0" w:line="234" w:lineRule="auto"/>
        <w:rPr>
          <w:sz w:val="20"/>
          <w:szCs w:val="20"/>
          <w:color w:val="auto"/>
        </w:rPr>
      </w:pPr>
      <w:r>
        <w:rPr>
          <w:rFonts w:ascii="Arial" w:cs="Arial" w:eastAsia="Arial" w:hAnsi="Arial"/>
          <w:sz w:val="18"/>
          <w:szCs w:val="18"/>
          <w:color w:val="auto"/>
        </w:rPr>
        <w:t>was 1.7 years, and the weighted-average discount rate used in the determination of the Company’s remaining discounted operating lease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liability was 8.0%.</w:t>
      </w:r>
    </w:p>
    <w:p>
      <w:pPr>
        <w:spacing w:after="0" w:line="221" w:lineRule="exact"/>
        <w:rPr>
          <w:sz w:val="20"/>
          <w:szCs w:val="20"/>
          <w:color w:val="auto"/>
        </w:rPr>
      </w:pPr>
    </w:p>
    <w:p>
      <w:pPr>
        <w:ind w:left="120" w:right="7580" w:hanging="4"/>
        <w:spacing w:after="0" w:line="360" w:lineRule="auto"/>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Contracts</w:t>
      </w:r>
    </w:p>
    <w:p>
      <w:pPr>
        <w:ind w:left="120" w:firstLine="440"/>
        <w:spacing w:after="0" w:line="253" w:lineRule="auto"/>
        <w:rPr>
          <w:sz w:val="20"/>
          <w:szCs w:val="20"/>
          <w:color w:val="auto"/>
        </w:rPr>
      </w:pPr>
      <w:r>
        <w:rPr>
          <w:rFonts w:ascii="Arial" w:cs="Arial" w:eastAsia="Arial" w:hAnsi="Arial"/>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because of these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financial statements as of December 31, 2022 and September 30, 2023.</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02"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period ended September 30, 2023.</w:t>
      </w:r>
    </w:p>
    <w:p>
      <w:pPr>
        <w:spacing w:after="0" w:line="196"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B, and C Convertible Preferred Stock</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issued its Series A and B convertible preferred stock in a series of transactions as follows:</w:t>
      </w:r>
    </w:p>
    <w:p>
      <w:pPr>
        <w:spacing w:after="0" w:line="117" w:lineRule="exact"/>
        <w:rPr>
          <w:sz w:val="20"/>
          <w:szCs w:val="20"/>
          <w:color w:val="auto"/>
        </w:rPr>
      </w:pPr>
    </w:p>
    <w:p>
      <w:pPr>
        <w:ind w:left="1080" w:right="140" w:hanging="424"/>
        <w:spacing w:after="0" w:line="25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August 2018, the Company entered into a Series A convertible preferred stock purchase agreement under which it issued 7,142,857 shares of Series A convertible preferred stock for cash at a price of $0.70 per share, resulting in aggregate net proceeds of $4.9 million;</w:t>
      </w:r>
    </w:p>
    <w:p>
      <w:pPr>
        <w:spacing w:after="0" w:line="74"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June 2019, an additional 26,046,438 shares of Series A convertible preferred stock were issued for cash at a price of $0.70 per share, resulting in aggregate net proceeds of $18.1 million;</w:t>
      </w:r>
    </w:p>
    <w:p>
      <w:pPr>
        <w:spacing w:after="0" w:line="59"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July 2020, an additional 33,189,295 shares of Series A convertible preferred stock were issued for cash at a price of $0.70 per share, resulting in aggregate net proceeds of $23.2 million; and</w:t>
      </w:r>
    </w:p>
    <w:p>
      <w:pPr>
        <w:spacing w:after="0" w:line="59" w:lineRule="exact"/>
        <w:rPr>
          <w:rFonts w:ascii="Arial" w:cs="Arial" w:eastAsia="Arial" w:hAnsi="Arial"/>
          <w:sz w:val="18"/>
          <w:szCs w:val="18"/>
          <w:color w:val="auto"/>
        </w:rPr>
      </w:pPr>
    </w:p>
    <w:p>
      <w:pPr>
        <w:jc w:val="both"/>
        <w:ind w:left="1080" w:right="300" w:hanging="424"/>
        <w:spacing w:after="0" w:line="25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April 2021, the Company entered into a Series B convertible preferred stock purchase agreement under which it issued 78,211,116 shares of Series B convertible preferred stock for cash at a price of $1.35 per share, resulting in aggregate net proceeds of $105.3 million.</w:t>
      </w:r>
    </w:p>
    <w:p>
      <w:pPr>
        <w:spacing w:after="0" w:line="169" w:lineRule="exact"/>
        <w:rPr>
          <w:sz w:val="20"/>
          <w:szCs w:val="20"/>
          <w:color w:val="auto"/>
        </w:rPr>
      </w:pPr>
    </w:p>
    <w:p>
      <w:pPr>
        <w:jc w:val="both"/>
        <w:ind w:left="120" w:right="100" w:firstLine="440"/>
        <w:spacing w:after="0" w:line="247" w:lineRule="auto"/>
        <w:rPr>
          <w:sz w:val="20"/>
          <w:szCs w:val="20"/>
          <w:color w:val="auto"/>
        </w:rPr>
      </w:pPr>
      <w:r>
        <w:rPr>
          <w:rFonts w:ascii="Arial" w:cs="Arial" w:eastAsia="Arial" w:hAnsi="Arial"/>
          <w:sz w:val="18"/>
          <w:szCs w:val="18"/>
          <w:color w:val="auto"/>
        </w:rPr>
        <w:t>In April and May 2023, the Company entered into a Series C convertible preferred stock purchase agreement under which it issued 142,857,138 shares of Series C convertible preferred stock for cash at a price of $0.70 per share, resulting in aggregate net proceeds of $99.7 million. In connection with this transaction, the Company’s Board of Directors increased the authorized number of preferred shares to 287,446,844 and the number of authorized common shares to 402,600,000.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Preferences, and Privileges of Convertible Preferred Stock</w:t>
      </w:r>
    </w:p>
    <w:p>
      <w:pPr>
        <w:spacing w:after="0" w:line="1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holders of the Company’s Series A, B, and C convertible preferred stock (collectively, the Preferred Stock) have the following rights, preferences, and privileges: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380" w:firstLine="440"/>
        <w:spacing w:after="0" w:line="25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Company cannot declare and pay any common stock dividends without first declaring and paying dividends, as defined in the terms of the Company’s amended and restated certificate of incorporation, to the convertible preferred stockholders. The holders of Preferred Stock are entitled to</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receive, when, as and if declared by the Company’s Board of Directors, noncumulative dividends at the rate of 6.0% of the applicable original issue price of such Preferred Stock (Original Issue Price), subject to appropriate adjustment in the event of any stock dividend, stock split, combination, or other similar recapitalization with respect to the Preferred Stock. No dividends have been declared as of December 31, 2022 or September 30, 2023.</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in the Company’s amended and restated certificate of incorporation), each holder of Preferred Stock is entitled to receive, prior and in preference to any distributions to the common stockholders, an amount equal to the greater of (i) the Original Issue Price per share, plus any declared but unpaid dividends thereon or (ii) the amount such holder would have received if such holder had converted its shares into common stock immediately prior to such liquidation event. If the assets available for distribution to the holders of Preferred Stock are insufficient to pay such holders the full amounts to which they are entitled, the assets available for distribution will be distributed on a pro rata basis among the holders of the Preferred Stock in proportion to the respective amounts that would otherwise be payable in respect of such stock. After payments have been made in full to the holders of Preferred Stock, then, to the extent available, the remaining amounts would be distributed among the holders of the common stock, pro rata based on the number of shares held by each holder.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shares of Preferred Stock are convertible into an equal number of shares of common stock, at the option of the holder, subject to certain anti-dilution adjustments. Each share of Preferred Stock will be automatically converted into common stock, (A) immediately upon the closing of a firmly underwritten public offering pursuant to an effective registration statement under the Securities Act of 1933, as amended, covering the offer and sale of common stock for the account of the Company in which the aggregate gross proceeds is at least $50.0 million and the public offering price of at least $1.6875 per share, subject to appropriate adjustment in the event of any stock dividend, stock split, combination, or other similar recapitalization (Qualified IPO Price), (B) at any time upon the affirmative election of the holders of at least 60% of the outstanding shares of the Preferred Stock, including at least one of the holders holding, together with its affiliates, the most, the second most or the third most shares of Series B Preferred Stock, or (C) the closing of a transaction pursuant to which (i) the Company is merged into, or otherwise combines with, a special purpose acquisition company, or subsidiary thereof, listed on a national securities exchange (SPAC Entity) at a value per share of at least the Qualified IPO Price and (ii) the shares of capital stock of the Company immediately outstanding prior to such transaction are converted to or exchanged for shares of capital stock that represent a majority, by voting power, of the capital stock of the SPAC Entity.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02"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The Preferred Stock does not have redemption rights, except for the contingent redemption upon the occurrence of a Deemed Liquidation Event (as defined in the Company’s amended and restated certificate of incorporation).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Common Stock</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310"/>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3"/>
        </w:trPr>
        <w:tc>
          <w:tcPr>
            <w:tcW w:w="40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Arial" w:cs="Arial" w:eastAsia="Arial" w:hAnsi="Arial"/>
                <w:sz w:val="18"/>
                <w:szCs w:val="18"/>
                <w:color w:val="auto"/>
              </w:rPr>
              <w:t>Common stock reserved for future issuance consisted of the following:</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8"/>
        </w:trPr>
        <w:tc>
          <w:tcPr>
            <w:tcW w:w="4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7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Conversion of outstanding convertible preferred stock</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144,589,706</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287,446,844</w:t>
            </w:r>
          </w:p>
        </w:tc>
        <w:tc>
          <w:tcPr>
            <w:tcW w:w="340" w:type="dxa"/>
            <w:vAlign w:val="bottom"/>
            <w:tcBorders>
              <w:top w:val="single" w:sz="8" w:color="CCEEFF"/>
            </w:tcBorders>
            <w:shd w:val="clear" w:color="auto" w:fill="CCEEFF"/>
          </w:tcPr>
          <w:p>
            <w:pPr>
              <w:spacing w:after="0"/>
              <w:rPr>
                <w:sz w:val="17"/>
                <w:szCs w:val="17"/>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26,141,621</w:t>
            </w:r>
          </w:p>
        </w:tc>
        <w:tc>
          <w:tcPr>
            <w:tcW w:w="360" w:type="dxa"/>
            <w:vAlign w:val="bottom"/>
          </w:tcPr>
          <w:p>
            <w:pPr>
              <w:spacing w:after="0"/>
              <w:rPr>
                <w:sz w:val="17"/>
                <w:szCs w:val="17"/>
                <w:color w:val="auto"/>
              </w:rPr>
            </w:pPr>
          </w:p>
        </w:tc>
        <w:tc>
          <w:tcPr>
            <w:tcW w:w="16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52,416,096</w:t>
            </w: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awards available for future issuance</w:t>
            </w: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4,766,525</w:t>
            </w:r>
          </w:p>
        </w:tc>
        <w:tc>
          <w:tcPr>
            <w:tcW w:w="3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19,478,373</w:t>
            </w:r>
          </w:p>
        </w:tc>
      </w:tr>
      <w:tr>
        <w:trPr>
          <w:trHeight w:val="209"/>
        </w:trPr>
        <w:tc>
          <w:tcPr>
            <w:tcW w:w="400" w:type="dxa"/>
            <w:vAlign w:val="bottom"/>
          </w:tcPr>
          <w:p>
            <w:pPr>
              <w:spacing w:after="0"/>
              <w:rPr>
                <w:sz w:val="20"/>
                <w:szCs w:val="20"/>
                <w:color w:val="auto"/>
              </w:rPr>
            </w:pPr>
            <w:r>
              <w:rPr>
                <w:rFonts w:ascii="Arial" w:cs="Arial" w:eastAsia="Arial" w:hAnsi="Arial"/>
                <w:sz w:val="18"/>
                <w:szCs w:val="18"/>
                <w:color w:val="auto"/>
                <w:w w:val="94"/>
              </w:rPr>
              <w:t>Total</w:t>
            </w:r>
          </w:p>
        </w:tc>
        <w:tc>
          <w:tcPr>
            <w:tcW w:w="72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175,497,852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359,341,313</w:t>
            </w:r>
          </w:p>
        </w:tc>
        <w:tc>
          <w:tcPr>
            <w:tcW w:w="34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700" w:hanging="4"/>
        <w:spacing w:after="0" w:line="360" w:lineRule="auto"/>
        <w:tabs>
          <w:tab w:leader="none" w:pos="4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and Stock-Based Compensation </w:t>
      </w:r>
      <w:r>
        <w:rPr>
          <w:rFonts w:ascii="Arial" w:cs="Arial" w:eastAsia="Arial" w:hAnsi="Arial"/>
          <w:sz w:val="18"/>
          <w:szCs w:val="18"/>
          <w:b w:val="1"/>
          <w:bCs w:val="1"/>
          <w:i w:val="1"/>
          <w:iCs w:val="1"/>
          <w:color w:val="auto"/>
        </w:rPr>
        <w:t>Equity Incentive Plan</w:t>
      </w:r>
    </w:p>
    <w:p>
      <w:pPr>
        <w:ind w:left="120" w:right="80" w:firstLine="440"/>
        <w:spacing w:after="0"/>
        <w:rPr>
          <w:sz w:val="20"/>
          <w:szCs w:val="20"/>
          <w:color w:val="auto"/>
        </w:rPr>
      </w:pPr>
      <w:r>
        <w:rPr>
          <w:rFonts w:ascii="Arial" w:cs="Arial" w:eastAsia="Arial" w:hAnsi="Arial"/>
          <w:sz w:val="18"/>
          <w:szCs w:val="18"/>
          <w:color w:val="auto"/>
        </w:rPr>
        <w:t>In December 2018, the Company adopted the 2018 Equity Incentive Plan (as amended, the Plan), which provides for the grant of incentive stock options, non-statutory stock options, restricted stock awards, restricted stock unit awards, and other stock awards to its employees, consultants, and directors. Recipients of option awards are eligible to purchase shares of the Company’s common stock at an exercise price equal to no less than the estimated fair market value of such stock on the date of grant. The maximum term of options granted under the Plan is ten years and, in general, the options issued under the Plan vest over a four-year period from the vesting commencement date. Shares of unused common stock that cover awards that are expired, terminated, surrendered, or canceled under the Plan without having been fully exercised will be available for future awards.</w:t>
      </w:r>
    </w:p>
    <w:p>
      <w:pPr>
        <w:spacing w:after="0" w:line="158"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On April 5, 2023, the Company’s Board of Directors increased the number of shares authorized for issuance under the Plan to 82,419,858, representing an increase in the number of authorized shares of 41,708,695 shares. On September 30, 2023, 19,478,373 of these shares remain available for grant under the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under the Plan and certain other related information is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6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171"/>
        </w:trPr>
        <w:tc>
          <w:tcPr>
            <w:tcW w:w="622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Term</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000’s) (1)</w:t>
            </w: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2022</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26,141,621</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8.5 years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27,152,094</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0.21</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(722,372)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0.20</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9"/>
        </w:trPr>
        <w:tc>
          <w:tcPr>
            <w:tcW w:w="6220" w:type="dxa"/>
            <w:vAlign w:val="bottom"/>
          </w:tcPr>
          <w:p>
            <w:pPr>
              <w:spacing w:after="0" w:line="202" w:lineRule="exact"/>
              <w:rPr>
                <w:sz w:val="20"/>
                <w:szCs w:val="20"/>
                <w:color w:val="auto"/>
              </w:rPr>
            </w:pPr>
            <w:r>
              <w:rPr>
                <w:rFonts w:ascii="Arial" w:cs="Arial" w:eastAsia="Arial" w:hAnsi="Arial"/>
                <w:sz w:val="18"/>
                <w:szCs w:val="18"/>
                <w:color w:val="auto"/>
              </w:rPr>
              <w:t>Forfeited and cancelled</w:t>
            </w:r>
          </w:p>
        </w:tc>
        <w:tc>
          <w:tcPr>
            <w:tcW w:w="15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(155,247)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0.42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2023</w:t>
            </w: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52,416,096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0.21</w:t>
            </w:r>
          </w:p>
        </w:tc>
        <w:tc>
          <w:tcPr>
            <w:tcW w:w="1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8.8 years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1,270</w:t>
            </w: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Vested and expected to vest as of September 30, 2023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15,905,591</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0.21</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7.7 years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r>
      <w:tr>
        <w:trPr>
          <w:trHeight w:val="20"/>
        </w:trPr>
        <w:tc>
          <w:tcPr>
            <w:tcW w:w="6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as of September 30, 2023</w:t>
            </w:r>
          </w:p>
        </w:tc>
        <w:tc>
          <w:tcPr>
            <w:tcW w:w="15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15,905,591</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0.21</w:t>
            </w:r>
          </w:p>
        </w:tc>
        <w:tc>
          <w:tcPr>
            <w:tcW w:w="10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7.7 years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506</w:t>
            </w:r>
          </w:p>
        </w:tc>
      </w:tr>
      <w:tr>
        <w:trPr>
          <w:trHeight w:val="20"/>
        </w:trPr>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6" w:lineRule="exact"/>
        <w:rPr>
          <w:sz w:val="20"/>
          <w:szCs w:val="20"/>
          <w:color w:val="auto"/>
        </w:rPr>
      </w:pPr>
    </w:p>
    <w:p>
      <w:pPr>
        <w:ind w:left="540" w:right="320" w:hanging="424"/>
        <w:spacing w:after="0" w:line="285" w:lineRule="auto"/>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Aggregate intrinsic value in the above table is the difference between the estimated fair value of the Company’s common stock as of either December 31, 2022 or September 30, 2023, and the exercise price of stock options that had exercise prices below that value.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intrinsic value of the stock options exercised during the nine months ended September 30, 2023 was $8,000.</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was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06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22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1,380</w:t>
            </w:r>
          </w:p>
        </w:tc>
      </w:tr>
      <w:tr>
        <w:trPr>
          <w:trHeight w:val="27"/>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 expense</w:t>
            </w: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1,698</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2,425</w:t>
            </w:r>
          </w:p>
        </w:tc>
      </w:tr>
      <w:tr>
        <w:trPr>
          <w:trHeight w:val="20"/>
        </w:trPr>
        <w:tc>
          <w:tcPr>
            <w:tcW w:w="6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On June 13, 2023, the Company’s Board of Directors approved an option repricing to reprice certain underwater options to purchase the Company’s common shares held by its employees (including officers of the Company) and non-employee directors. Under the option repricing, options with an exercise price at or above $0.50 per common share, representing an aggregate of 19,871,066 common shares, were amended to reduce such exercise price to $0.21 per common share. The repricing resulted in one-time stock-based compensation expense of approximately $ 263,000 related to vested options and incremental stock option expense of approximately $ 377,000 related to unvested options which will be amortized on a straight-line basis over the remaining vesting period of those options. As of September 30, 2023, unrecognized compensation cost related to outstanding time-based options was $8.6 million, which is expected to be recognized over a weighted-average period of 2.7 years.</w:t>
      </w:r>
    </w:p>
    <w:p>
      <w:pPr>
        <w:spacing w:after="0" w:line="207"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w:t>
      </w:r>
    </w:p>
    <w:p>
      <w:pPr>
        <w:spacing w:after="0" w:line="104"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The following table summarizes the computation of basic and diluted net loss per common share of the Company (in thousands, except per share data):</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(34,122)</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Weighted-average shares used in net loss per common share calculation, basic and diluted</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21,053</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The Company excluded the following potential common shares, presented based on amounts outstanding at each period end, from the computation of diluted net loss per common share for the periods indicated because including them would have had an anti-dilutive effect: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September 30,</w:t>
            </w:r>
          </w:p>
        </w:tc>
      </w:tr>
      <w:tr>
        <w:trPr>
          <w:trHeight w:val="163"/>
        </w:trPr>
        <w:tc>
          <w:tcPr>
            <w:tcW w:w="4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outstanding convertible preferred stock</w:t>
            </w:r>
          </w:p>
        </w:tc>
        <w:tc>
          <w:tcPr>
            <w:tcW w:w="46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144,589,706</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287,446,844</w:t>
            </w:r>
          </w:p>
        </w:tc>
      </w:tr>
      <w:tr>
        <w:trPr>
          <w:trHeight w:val="252"/>
        </w:trPr>
        <w:tc>
          <w:tcPr>
            <w:tcW w:w="47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60" w:type="dxa"/>
            <w:vAlign w:val="bottom"/>
            <w:gridSpan w:val="3"/>
          </w:tcPr>
          <w:p>
            <w:pPr>
              <w:jc w:val="right"/>
              <w:ind w:right="160"/>
              <w:spacing w:after="0"/>
              <w:rPr>
                <w:sz w:val="20"/>
                <w:szCs w:val="20"/>
                <w:color w:val="auto"/>
              </w:rPr>
            </w:pPr>
            <w:r>
              <w:rPr>
                <w:rFonts w:ascii="Arial" w:cs="Arial" w:eastAsia="Arial" w:hAnsi="Arial"/>
                <w:sz w:val="18"/>
                <w:szCs w:val="18"/>
                <w:color w:val="auto"/>
              </w:rPr>
              <w:t>24,920,447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52,416,096</w:t>
            </w:r>
          </w:p>
        </w:tc>
      </w:t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4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137,500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Options early exercised subject to future vesting</w:t>
            </w:r>
          </w:p>
        </w:tc>
        <w:tc>
          <w:tcPr>
            <w:tcW w:w="3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975,766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39,098</w:t>
            </w:r>
          </w:p>
        </w:tc>
      </w:tr>
      <w:tr>
        <w:trPr>
          <w:trHeight w:val="27"/>
        </w:trPr>
        <w:tc>
          <w:tcPr>
            <w:tcW w:w="4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170,623,419</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339,902,038</w:t>
            </w:r>
          </w:p>
        </w:tc>
      </w:tr>
      <w:tr>
        <w:trPr>
          <w:trHeight w:val="20"/>
        </w:trPr>
        <w:tc>
          <w:tcPr>
            <w:tcW w:w="4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780" w:type="dxa"/>
            <w:vAlign w:val="bottom"/>
          </w:tcPr>
          <w:p>
            <w:pPr>
              <w:spacing w:after="0"/>
              <w:rPr>
                <w:sz w:val="24"/>
                <w:szCs w:val="24"/>
                <w:color w:val="auto"/>
              </w:rPr>
            </w:pPr>
          </w:p>
        </w:tc>
        <w:tc>
          <w:tcPr>
            <w:tcW w:w="4660" w:type="dxa"/>
            <w:vAlign w:val="bottom"/>
            <w:gridSpan w:val="3"/>
          </w:tcPr>
          <w:p>
            <w:pPr>
              <w:jc w:val="right"/>
              <w:ind w:right="3760"/>
              <w:spacing w:after="0"/>
              <w:rPr>
                <w:sz w:val="20"/>
                <w:szCs w:val="20"/>
                <w:color w:val="auto"/>
              </w:rPr>
            </w:pPr>
            <w:r>
              <w:rPr>
                <w:rFonts w:ascii="Arial" w:cs="Arial" w:eastAsia="Arial" w:hAnsi="Arial"/>
                <w:sz w:val="18"/>
                <w:szCs w:val="18"/>
                <w:color w:val="auto"/>
              </w:rPr>
              <w:t>F-46</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Boundless Bio,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9" w:lineRule="exact"/>
        <w:rPr>
          <w:sz w:val="20"/>
          <w:szCs w:val="20"/>
          <w:color w:val="auto"/>
        </w:rPr>
      </w:pPr>
    </w:p>
    <w:p>
      <w:pPr>
        <w:ind w:left="660" w:hanging="544"/>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No provision for federal, state, or foreign income taxes has been recorded for the nine months ended September 30, 2023 and 2022. The Company has incurred net operating losses for all the periods presented and has not reflected any benefit for such net operating loss carryforwards in the accompanying condensed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nine months ended September 30, 2023 and 2022, the Company has not recognized any interest or penalties related to income taxes.</w:t>
      </w:r>
    </w:p>
    <w:p>
      <w:pPr>
        <w:spacing w:after="0" w:line="212"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jc w:val="both"/>
        <w:ind w:left="120" w:right="160" w:firstLine="440"/>
        <w:spacing w:after="0" w:line="253" w:lineRule="auto"/>
        <w:rPr>
          <w:sz w:val="20"/>
          <w:szCs w:val="20"/>
          <w:color w:val="auto"/>
        </w:rPr>
      </w:pPr>
      <w:r>
        <w:rPr>
          <w:rFonts w:ascii="Arial" w:cs="Arial" w:eastAsia="Arial" w:hAnsi="Arial"/>
          <w:sz w:val="18"/>
          <w:szCs w:val="18"/>
          <w:color w:val="auto"/>
        </w:rPr>
        <w:t>The Company has evaluated subsequent events occurring between the end of the most recent fiscal year and through January 22, 2024 (the date these financial statements were available to be issued) and has concluded that no subsequent events have occurred that require disclosure herein.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2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Boundless Bio,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6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568960</wp:posOffset>
            </wp:positionV>
            <wp:extent cx="1474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1820545</wp:posOffset>
            </wp:positionV>
            <wp:extent cx="1474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911860</wp:posOffset>
            </wp:positionV>
            <wp:extent cx="3402965" cy="514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02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tabs>
          <w:tab w:leader="none" w:pos="4120" w:val="left"/>
          <w:tab w:leader="none" w:pos="6460" w:val="left"/>
          <w:tab w:leader="none" w:pos="8520" w:val="left"/>
        </w:tabs>
        <w:rPr>
          <w:sz w:val="20"/>
          <w:szCs w:val="20"/>
          <w:color w:val="auto"/>
        </w:rPr>
      </w:pPr>
      <w:r>
        <w:rPr>
          <w:rFonts w:ascii="Arial" w:cs="Arial" w:eastAsia="Arial" w:hAnsi="Arial"/>
          <w:sz w:val="20"/>
          <w:szCs w:val="20"/>
          <w:b w:val="1"/>
          <w:bCs w:val="1"/>
          <w:color w:val="auto"/>
        </w:rPr>
        <w:t>Goldman Sachs &amp; Co. LLC</w:t>
      </w:r>
      <w:r>
        <w:rPr>
          <w:sz w:val="20"/>
          <w:szCs w:val="20"/>
          <w:color w:val="auto"/>
        </w:rPr>
        <w:tab/>
      </w:r>
      <w:r>
        <w:rPr>
          <w:rFonts w:ascii="Arial" w:cs="Arial" w:eastAsia="Arial" w:hAnsi="Arial"/>
          <w:sz w:val="20"/>
          <w:szCs w:val="20"/>
          <w:b w:val="1"/>
          <w:bCs w:val="1"/>
          <w:color w:val="auto"/>
        </w:rPr>
        <w:t>Leerink Partners</w:t>
      </w:r>
      <w:r>
        <w:rPr>
          <w:sz w:val="20"/>
          <w:szCs w:val="20"/>
          <w:color w:val="auto"/>
        </w:rPr>
        <w:tab/>
      </w:r>
      <w:r>
        <w:rPr>
          <w:rFonts w:ascii="Arial" w:cs="Arial" w:eastAsia="Arial" w:hAnsi="Arial"/>
          <w:sz w:val="20"/>
          <w:szCs w:val="20"/>
          <w:b w:val="1"/>
          <w:bCs w:val="1"/>
          <w:color w:val="auto"/>
        </w:rPr>
        <w:t>Piper Sandler</w:t>
      </w:r>
      <w:r>
        <w:rPr>
          <w:sz w:val="20"/>
          <w:szCs w:val="20"/>
          <w:color w:val="auto"/>
        </w:rPr>
        <w:tab/>
      </w:r>
      <w:r>
        <w:rPr>
          <w:rFonts w:ascii="Arial" w:cs="Arial" w:eastAsia="Arial" w:hAnsi="Arial"/>
          <w:sz w:val="19"/>
          <w:szCs w:val="19"/>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1823720</wp:posOffset>
            </wp:positionV>
            <wp:extent cx="1474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3152140</wp:posOffset>
            </wp:positionV>
            <wp:extent cx="6995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3237865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type w:val="continuous"/>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Nasdaq Global Market listing fee.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 Paid or</w:t>
            </w:r>
          </w:p>
        </w:tc>
      </w:tr>
      <w:tr>
        <w:trPr>
          <w:trHeight w:val="171"/>
        </w:trPr>
        <w:tc>
          <w:tcPr>
            <w:tcW w:w="9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 Be Paid</w:t>
            </w:r>
          </w:p>
        </w:tc>
      </w:tr>
      <w:tr>
        <w:trPr>
          <w:trHeight w:val="196"/>
        </w:trPr>
        <w:tc>
          <w:tcPr>
            <w:tcW w:w="9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2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2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12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7715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0"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but in view of all of the circumstances of the case, such person is fairly and reasonably entitled to indemnity for such expenses which the Court of Chancery or such other court shall deem proper.</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each of which will become effective immediately prior to the closing of this offering, will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our amended and restated bylaws, each as currently in effect,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7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4"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4" w:lineRule="exact"/>
        <w:rPr>
          <w:sz w:val="20"/>
          <w:szCs w:val="20"/>
          <w:color w:val="auto"/>
        </w:rPr>
      </w:pPr>
    </w:p>
    <w:p>
      <w:pPr>
        <w:jc w:val="both"/>
        <w:ind w:left="120" w:right="340" w:firstLine="440"/>
        <w:spacing w:after="0" w:line="253" w:lineRule="auto"/>
        <w:rPr>
          <w:sz w:val="20"/>
          <w:szCs w:val="20"/>
          <w:color w:val="auto"/>
        </w:rPr>
      </w:pPr>
      <w:r>
        <w:rPr>
          <w:rFonts w:ascii="Arial" w:cs="Arial" w:eastAsia="Arial" w:hAnsi="Arial"/>
          <w:sz w:val="18"/>
          <w:szCs w:val="18"/>
          <w:color w:val="auto"/>
        </w:rPr>
        <w:t>Set forth below is information regarding unregistered securities issued by us since January 1, 2021 to the date of this registration statement. Also included is the consideration received by us for such securities and information relating to the section of the Securities Act, or rule of the SEC, under which exemption from registration was claimed.</w:t>
      </w:r>
    </w:p>
    <w:p>
      <w:pPr>
        <w:spacing w:after="0" w:line="74"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Issuances of Securities</w:t>
      </w:r>
    </w:p>
    <w:p>
      <w:pPr>
        <w:spacing w:after="0" w:line="117" w:lineRule="exact"/>
        <w:rPr>
          <w:rFonts w:ascii="Arial" w:cs="Arial" w:eastAsia="Arial" w:hAnsi="Arial"/>
          <w:sz w:val="18"/>
          <w:szCs w:val="18"/>
          <w:color w:val="auto"/>
        </w:rPr>
      </w:pPr>
    </w:p>
    <w:p>
      <w:pPr>
        <w:ind w:left="1540" w:right="440" w:hanging="439"/>
        <w:spacing w:after="0" w:line="271" w:lineRule="auto"/>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April 2021, we issued to investors an aggregate of 78,211,116 shares of Series B convertible preferred stock at a purchase price of $1.35 per share, for aggregate consideration of approximately $105.6 million.</w:t>
      </w:r>
    </w:p>
    <w:p>
      <w:pPr>
        <w:spacing w:after="0" w:line="59" w:lineRule="exact"/>
        <w:rPr>
          <w:rFonts w:ascii="Arial" w:cs="Arial" w:eastAsia="Arial" w:hAnsi="Arial"/>
          <w:sz w:val="18"/>
          <w:szCs w:val="18"/>
          <w:color w:val="auto"/>
        </w:rPr>
      </w:pPr>
    </w:p>
    <w:p>
      <w:pPr>
        <w:ind w:left="1540" w:right="380" w:hanging="439"/>
        <w:spacing w:after="0" w:line="271" w:lineRule="auto"/>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April and May 2023, we issued to investors an aggregate of 142,857,138 shares of Series C convertible preferred stock at a purchase price of $0.70 per share, for aggregate consideration of approximately $100.0 million.</w:t>
      </w:r>
    </w:p>
    <w:p>
      <w:pPr>
        <w:spacing w:after="0" w:line="154"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for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89"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Grants of Stock Options</w:t>
      </w:r>
    </w:p>
    <w:p>
      <w:pPr>
        <w:spacing w:after="0" w:line="117" w:lineRule="exact"/>
        <w:rPr>
          <w:rFonts w:ascii="Arial" w:cs="Arial" w:eastAsia="Arial" w:hAnsi="Arial"/>
          <w:sz w:val="18"/>
          <w:szCs w:val="18"/>
          <w:color w:val="auto"/>
        </w:rPr>
      </w:pPr>
    </w:p>
    <w:p>
      <w:pPr>
        <w:ind w:left="1540" w:right="140" w:hanging="439"/>
        <w:spacing w:after="0" w:line="259" w:lineRule="auto"/>
        <w:tabs>
          <w:tab w:leader="none" w:pos="15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From January 1, 2021 through the date of this registration statement, we granted stock options to purchase an aggregate of 51,858,937 shares of our common stock at a weighted-average exercise price of $0.22 per share, to certain of our employees, consultants, and directors in connection with services provided to us by such persons. The foregoing numbers give effect to a repricing of an aggregate of 19,871,066 outstanding stock options in June 2023, following which all such options as of such date were modified to have an exercise price of $0.21 per share. 718,657 of these options have been exercised and 1,232,758 have been cancelled through the date of this registration statement.</w:t>
      </w:r>
    </w:p>
    <w:p>
      <w:pPr>
        <w:spacing w:after="0" w:line="165"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79"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1200" w:hanging="544"/>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p>
    <w:p>
      <w:pPr>
        <w:spacing w:after="0" w:line="117" w:lineRule="exact"/>
        <w:rPr>
          <w:rFonts w:ascii="Arial" w:cs="Arial" w:eastAsia="Arial" w:hAnsi="Arial"/>
          <w:sz w:val="18"/>
          <w:szCs w:val="18"/>
          <w:color w:val="auto"/>
        </w:rPr>
      </w:pPr>
    </w:p>
    <w:p>
      <w:pPr>
        <w:ind w:left="1200" w:hanging="544"/>
        <w:spacing w:after="0" w:line="271" w:lineRule="auto"/>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therein is not applicable or is shown in the financial statements or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200" w:hanging="544"/>
        <w:spacing w:after="0" w:line="247"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9" w:lineRule="exact"/>
        <w:rPr>
          <w:rFonts w:ascii="Arial" w:cs="Arial" w:eastAsia="Arial" w:hAnsi="Arial"/>
          <w:sz w:val="18"/>
          <w:szCs w:val="18"/>
          <w:color w:val="auto"/>
        </w:rPr>
      </w:pPr>
    </w:p>
    <w:p>
      <w:pPr>
        <w:ind w:left="1200" w:right="60" w:hanging="544"/>
        <w:spacing w:after="0" w:line="253"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5"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90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370"/>
        </w:trPr>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178"/>
        </w:trPr>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99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 of Exhibit</w:t>
            </w:r>
          </w:p>
        </w:tc>
      </w:tr>
      <w:tr>
        <w:trPr>
          <w:trHeight w:val="315"/>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720" w:type="dxa"/>
            <w:vAlign w:val="bottom"/>
          </w:tcPr>
          <w:p>
            <w:pPr>
              <w:ind w:left="1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as amended (currently in effect)</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Bylaws (currently in effect)</w:t>
            </w:r>
          </w:p>
        </w:tc>
      </w:tr>
      <w:tr>
        <w:trPr>
          <w:trHeight w:val="311"/>
        </w:trPr>
        <w:tc>
          <w:tcPr>
            <w:tcW w:w="720" w:type="dxa"/>
            <w:vAlign w:val="bottom"/>
          </w:tcPr>
          <w:p>
            <w:pPr>
              <w:ind w:left="10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Amended and Restated Certificate of Incorporation (to be effective immediately prior to the closing of this offering)</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Amended and Restated Bylaws (to be effective immediately prior to the closing of this offering)</w:t>
            </w:r>
          </w:p>
        </w:tc>
      </w:tr>
      <w:tr>
        <w:trPr>
          <w:trHeight w:val="311"/>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274"/>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3"/>
                <w:szCs w:val="23"/>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Amended and Restated Investor Rights’ Agreement, dated April 5, 2023, by and among the Registrant and certain of its</w:t>
            </w:r>
          </w:p>
        </w:tc>
      </w:tr>
      <w:tr>
        <w:trPr>
          <w:trHeight w:val="239"/>
        </w:trPr>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stockholders</w:t>
            </w:r>
          </w:p>
        </w:tc>
      </w:tr>
      <w:tr>
        <w:trPr>
          <w:trHeight w:val="310"/>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Opinion of Latham &amp; Watkins LLP</w:t>
            </w:r>
          </w:p>
        </w:tc>
      </w:tr>
      <w:tr>
        <w:trPr>
          <w:trHeight w:val="27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3"/>
                <w:szCs w:val="23"/>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Boundless Bio, Inc. 2018 Equity Incentive Plan, as amended, and form of stock option agreement and form of restricted</w:t>
            </w:r>
          </w:p>
        </w:tc>
      </w:tr>
      <w:tr>
        <w:trPr>
          <w:trHeight w:val="239"/>
        </w:trPr>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stock agreement thereunder</w:t>
            </w:r>
          </w:p>
        </w:tc>
      </w:tr>
      <w:tr>
        <w:trPr>
          <w:trHeight w:val="27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3"/>
                <w:szCs w:val="23"/>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Boundless Bio, Inc. 2024 Incentive Award Plan and form of stock option agreement and form of restricted stock unit</w:t>
            </w:r>
          </w:p>
        </w:tc>
      </w:tr>
      <w:tr>
        <w:trPr>
          <w:trHeight w:val="239"/>
        </w:trPr>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agreement thereunder</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Boundless Bio, Inc. 2024 Employee Stock Purchase Plan</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Non-Employee Director Compensation Program</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Employment Offer Letter Agreement, dated January 1, 2020, between Zachary D. Hornby and the Registrant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Employment Offer Letter Agreement, dated July 7, 2023, between Jami Rubin and the Registrant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Employment Offer Letter Agreement, dated December 3, 2021, between Klaus Wagner, M.D., Ph.D. and the Registrant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Restated Employment Offer Letter Agreement, dated January 1, 2020, between Chris Hassig, Ph.D. and the Registrant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Employment Offer Letter Agreement, dated June 29, 2021, between Neil Abdollahian and the Registrant</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Employment Offer Letter Agreement, dated June 23, 2021, between Jessica Oien and the Registrant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Policy for the Recovery of Erroneously Awarded Compensation</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Power of Attorney (included on signature page)</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**Previously submitted.</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w:t>
      </w:r>
    </w:p>
    <w:p>
      <w:pPr>
        <w:spacing w:after="0" w:line="14" w:lineRule="exact"/>
        <w:rPr>
          <w:sz w:val="20"/>
          <w:szCs w:val="20"/>
          <w:color w:val="auto"/>
        </w:rPr>
      </w:pPr>
    </w:p>
    <w:p>
      <w:pPr>
        <w:ind w:left="120"/>
        <w:spacing w:after="0"/>
        <w:tabs>
          <w:tab w:leader="none" w:pos="9040" w:val="left"/>
          <w:tab w:leader="none" w:pos="10540" w:val="left"/>
        </w:tabs>
        <w:rPr>
          <w:sz w:val="20"/>
          <w:szCs w:val="20"/>
          <w:color w:val="auto"/>
        </w:rPr>
      </w:pPr>
      <w:r>
        <w:rPr>
          <w:rFonts w:ascii="Arial" w:cs="Arial" w:eastAsia="Arial" w:hAnsi="Arial"/>
          <w:sz w:val="18"/>
          <w:szCs w:val="18"/>
          <w:color w:val="auto"/>
        </w:rPr>
        <w:t>behalf by the undersigned, thereunto duly authorized, in the City of San Diego, State of California,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7"/>
          <w:szCs w:val="17"/>
          <w:color w:val="auto"/>
        </w:rPr>
        <w:t>, 2024</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BOUNDLESS BIO, INC.</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Zachary D. Hornby</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 AND POWER OF ATTORNEY</w:t>
      </w:r>
    </w:p>
    <w:p>
      <w:pPr>
        <w:spacing w:after="0" w:line="21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the undersigned officers and directors of Boundless Bio, Inc., hereby severally constitute and appoint Zachary D. Hornby and Jami Rubin,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0"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ectPr>
          <w:pgSz w:w="11900" w:h="16838" w:orient="portrait"/>
          <w:cols w:equalWidth="0" w:num="1">
            <w:col w:w="11100"/>
          </w:cols>
          <w:pgMar w:left="320" w:top="455" w:right="479" w:bottom="1440" w:gutter="0" w:footer="0" w:header="0"/>
        </w:sectPr>
      </w:pPr>
    </w:p>
    <w:p>
      <w:pPr>
        <w:spacing w:after="0" w:line="190"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Signature</w:t>
      </w:r>
    </w:p>
    <w:p>
      <w:pPr>
        <w:spacing w:after="0" w:line="20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Zachary D.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Jami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Christine Brennan,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Kristina Burow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James Christensen ,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209994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25"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Jennifer Lew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Jakob Loven,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Fabio Pucci,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Nancy Whiting,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0999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ind w:left="2380"/>
              <w:spacing w:after="0"/>
              <w:rPr>
                <w:sz w:val="20"/>
                <w:szCs w:val="20"/>
                <w:color w:val="auto"/>
              </w:rPr>
            </w:pPr>
            <w:r>
              <w:rPr>
                <w:rFonts w:ascii="Arial" w:cs="Arial" w:eastAsia="Arial" w:hAnsi="Arial"/>
                <w:sz w:val="14"/>
                <w:szCs w:val="14"/>
                <w:b w:val="1"/>
                <w:bCs w:val="1"/>
                <w:color w:val="auto"/>
              </w:rPr>
              <w:t>Title</w:t>
            </w:r>
          </w:p>
        </w:tc>
        <w:tc>
          <w:tcPr>
            <w:tcW w:w="2140" w:type="dxa"/>
            <w:vAlign w:val="bottom"/>
          </w:tcPr>
          <w:p>
            <w:pPr>
              <w:jc w:val="right"/>
              <w:ind w:right="512"/>
              <w:spacing w:after="0"/>
              <w:rPr>
                <w:sz w:val="20"/>
                <w:szCs w:val="20"/>
                <w:color w:val="auto"/>
              </w:rPr>
            </w:pPr>
            <w:r>
              <w:rPr>
                <w:rFonts w:ascii="Arial" w:cs="Arial" w:eastAsia="Arial" w:hAnsi="Arial"/>
                <w:sz w:val="14"/>
                <w:szCs w:val="14"/>
                <w:b w:val="1"/>
                <w:bCs w:val="1"/>
                <w:color w:val="auto"/>
              </w:rPr>
              <w:t>Date</w:t>
            </w:r>
          </w:p>
        </w:tc>
      </w:tr>
      <w:tr>
        <w:trPr>
          <w:trHeight w:val="205"/>
        </w:trPr>
        <w:tc>
          <w:tcPr>
            <w:tcW w:w="5000" w:type="dxa"/>
            <w:vAlign w:val="bottom"/>
          </w:tcPr>
          <w:p>
            <w:pPr>
              <w:spacing w:after="0" w:line="205" w:lineRule="exact"/>
              <w:rPr>
                <w:sz w:val="20"/>
                <w:szCs w:val="20"/>
                <w:color w:val="auto"/>
              </w:rPr>
            </w:pPr>
            <w:r>
              <w:rPr>
                <w:rFonts w:ascii="Arial" w:cs="Arial" w:eastAsia="Arial" w:hAnsi="Arial"/>
                <w:sz w:val="18"/>
                <w:szCs w:val="18"/>
                <w:color w:val="auto"/>
              </w:rPr>
              <w:t>President, Chief Executive Officer, and Director</w:t>
            </w:r>
          </w:p>
        </w:tc>
        <w:tc>
          <w:tcPr>
            <w:tcW w:w="2140" w:type="dxa"/>
            <w:vAlign w:val="bottom"/>
          </w:tcPr>
          <w:p>
            <w:pPr>
              <w:jc w:val="right"/>
              <w:spacing w:after="0" w:line="205" w:lineRule="exact"/>
              <w:rPr>
                <w:sz w:val="20"/>
                <w:szCs w:val="20"/>
                <w:color w:val="auto"/>
              </w:rPr>
            </w:pPr>
            <w:r>
              <w:rPr>
                <w:rFonts w:ascii="Arial" w:cs="Arial" w:eastAsia="Arial" w:hAnsi="Arial"/>
                <w:sz w:val="18"/>
                <w:szCs w:val="18"/>
                <w:color w:val="auto"/>
              </w:rPr>
              <w:t>, 2024</w:t>
            </w:r>
          </w:p>
        </w:tc>
      </w:tr>
      <w:tr>
        <w:trPr>
          <w:trHeight w:val="237"/>
        </w:trPr>
        <w:tc>
          <w:tcPr>
            <w:tcW w:w="50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140" w:type="dxa"/>
            <w:vAlign w:val="bottom"/>
          </w:tcPr>
          <w:p>
            <w:pPr>
              <w:spacing w:after="0"/>
              <w:rPr>
                <w:sz w:val="20"/>
                <w:szCs w:val="20"/>
                <w:color w:val="auto"/>
              </w:rPr>
            </w:pPr>
          </w:p>
        </w:tc>
      </w:tr>
      <w:tr>
        <w:trPr>
          <w:trHeight w:val="303"/>
        </w:trPr>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237"/>
        </w:trPr>
        <w:tc>
          <w:tcPr>
            <w:tcW w:w="50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140" w:type="dxa"/>
            <w:vAlign w:val="bottom"/>
          </w:tcPr>
          <w:p>
            <w:pPr>
              <w:spacing w:after="0"/>
              <w:rPr>
                <w:sz w:val="20"/>
                <w:szCs w:val="20"/>
                <w:color w:val="auto"/>
              </w:rPr>
            </w:pPr>
          </w:p>
        </w:tc>
      </w:tr>
      <w:tr>
        <w:trPr>
          <w:trHeight w:val="338"/>
        </w:trPr>
        <w:tc>
          <w:tcPr>
            <w:tcW w:w="5000" w:type="dxa"/>
            <w:vAlign w:val="bottom"/>
          </w:tcPr>
          <w:p>
            <w:pPr>
              <w:spacing w:after="0"/>
              <w:rPr>
                <w:sz w:val="20"/>
                <w:szCs w:val="20"/>
                <w:color w:val="auto"/>
              </w:rPr>
            </w:pPr>
            <w:r>
              <w:rPr>
                <w:rFonts w:ascii="Arial" w:cs="Arial" w:eastAsia="Arial" w:hAnsi="Arial"/>
                <w:sz w:val="18"/>
                <w:szCs w:val="18"/>
                <w:color w:val="auto"/>
              </w:rPr>
              <w:t>Chairman</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spacing w:after="0"/>
              <w:rPr>
                <w:sz w:val="20"/>
                <w:szCs w:val="20"/>
                <w:color w:val="auto"/>
              </w:rPr>
            </w:pPr>
            <w:r>
              <w:rPr>
                <w:rFonts w:ascii="Arial" w:cs="Arial" w:eastAsia="Arial" w:hAnsi="Arial"/>
                <w:sz w:val="18"/>
                <w:szCs w:val="18"/>
                <w:color w:val="auto"/>
              </w:rPr>
              <w:t>, 2024</w:t>
            </w:r>
          </w:p>
        </w:tc>
      </w:tr>
      <w:tr>
        <w:trPr>
          <w:trHeight w:val="580"/>
        </w:trPr>
        <w:tc>
          <w:tcPr>
            <w:tcW w:w="5000" w:type="dxa"/>
            <w:vAlign w:val="bottom"/>
          </w:tcPr>
          <w:p>
            <w:pPr>
              <w:ind w:left="1960"/>
              <w:spacing w:after="0"/>
              <w:rPr>
                <w:sz w:val="20"/>
                <w:szCs w:val="20"/>
                <w:color w:val="auto"/>
              </w:rPr>
            </w:pPr>
            <w:r>
              <w:rPr>
                <w:rFonts w:ascii="Arial" w:cs="Arial" w:eastAsia="Arial" w:hAnsi="Arial"/>
                <w:sz w:val="18"/>
                <w:szCs w:val="18"/>
                <w:color w:val="auto"/>
              </w:rPr>
              <w:t>II-6</w:t>
            </w:r>
          </w:p>
        </w:tc>
        <w:tc>
          <w:tcPr>
            <w:tcW w:w="2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2">
        <w:col w:w="2840" w:space="700"/>
        <w:col w:w="7560"/>
      </w:cols>
      <w:pgMar w:left="320" w:top="455"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lvl w:ilvl="1">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lvl w:ilvl="1">
      <w:lvlJc w:val="left"/>
      <w:lvlText w:val="(%2)"/>
      <w:numFmt w:val="decimal"/>
      <w:start w:val="2"/>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1)"/>
      <w:numFmt w:val="decimal"/>
      <w:start w:val="1"/>
    </w:lvl>
  </w:abstractNum>
  <w:abstractNum w:abstractNumId="11">
    <w:nsid w:val="42963E5A"/>
    <w:multiLevelType w:val="hybridMultilevel"/>
    <w:lvl w:ilvl="0">
      <w:lvlJc w:val="left"/>
      <w:lvlText w:val="(%1)"/>
      <w:numFmt w:val="decimal"/>
      <w:start w:val="2"/>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1)"/>
      <w:numFmt w:val="decimal"/>
      <w:start w:val="3"/>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1)"/>
      <w:numFmt w:val="lowerRoman"/>
      <w:start w:val="2"/>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lvl w:ilvl="1">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lvl w:ilvl="1">
      <w:lvlJc w:val="left"/>
      <w:lvlText w:val="•"/>
      <w:numFmt w:val="bullet"/>
      <w:start w:val="1"/>
    </w:lvl>
  </w:abstractNum>
  <w:abstractNum w:abstractNumId="68">
    <w:nsid w:val="1FBFE8E0"/>
    <w:multiLevelType w:val="hybridMultilevel"/>
    <w:lvl w:ilvl="0">
      <w:lvlJc w:val="left"/>
      <w:lvlText w:val="•"/>
      <w:numFmt w:val="bullet"/>
      <w:start w:val="1"/>
    </w:lvl>
    <w:lvl w:ilvl="1">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1)"/>
      <w:numFmt w:val="decimal"/>
      <w:start w:val="1"/>
    </w:lvl>
  </w:abstractNum>
  <w:abstractNum w:abstractNumId="81">
    <w:nsid w:val="23D86AAC"/>
    <w:multiLevelType w:val="hybridMultilevel"/>
    <w:lvl w:ilvl="0">
      <w:lvlJc w:val="left"/>
      <w:lvlText w:val="(%1)"/>
      <w:numFmt w:val="decimal"/>
      <w:start w:val="1"/>
    </w:lvl>
  </w:abstractNum>
  <w:abstractNum w:abstractNumId="82">
    <w:nsid w:val="45E6D486"/>
    <w:multiLevelType w:val="hybridMultilevel"/>
    <w:lvl w:ilvl="0">
      <w:lvlJc w:val="left"/>
      <w:lvlText w:val="(%1)"/>
      <w:numFmt w:val="lowerLetter"/>
      <w:start w:val="35"/>
    </w:lvl>
  </w:abstractNum>
  <w:abstractNum w:abstractNumId="83">
    <w:nsid w:val="5C10FE21"/>
    <w:multiLevelType w:val="hybridMultilevel"/>
    <w:lvl w:ilvl="0">
      <w:lvlJc w:val="left"/>
      <w:lvlText w:val="(%1)"/>
      <w:numFmt w:val="lowerLetter"/>
      <w:start w:val="4"/>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decimal"/>
      <w:start w:val="3"/>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1)"/>
      <w:numFmt w:val="decimal"/>
      <w:start w:val="1"/>
    </w:lvl>
  </w:abstractNum>
  <w:abstractNum w:abstractNumId="94">
    <w:nsid w:val="4C9B0904"/>
    <w:multiLevelType w:val="hybridMultilevel"/>
    <w:lvl w:ilvl="0">
      <w:lvlJc w:val="left"/>
      <w:lvlText w:val="(%1)"/>
      <w:numFmt w:val="decimal"/>
      <w:start w:val="3"/>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amp;"/>
      <w:numFmt w:val="bullet"/>
      <w:start w:val="1"/>
    </w:lvl>
  </w:abstractNum>
  <w:abstractNum w:abstractNumId="100">
    <w:nsid w:val="2708C9AF"/>
    <w:multiLevelType w:val="hybridMultilevel"/>
    <w:lvl w:ilvl="0">
      <w:lvlJc w:val="left"/>
      <w:lvlText w:val="(%1)"/>
      <w:numFmt w:val="lowerRoman"/>
      <w:start w:val="1"/>
    </w:lvl>
  </w:abstractNum>
  <w:abstractNum w:abstractNumId="101">
    <w:nsid w:val="5B25ACE2"/>
    <w:multiLevelType w:val="hybridMultilevel"/>
    <w:lvl w:ilvl="0">
      <w:lvlJc w:val="left"/>
      <w:lvlText w:val="(%1)"/>
      <w:numFmt w:val="lowerRoman"/>
      <w:start w:val="1"/>
    </w:lvl>
  </w:abstractNum>
  <w:abstractNum w:abstractNumId="102">
    <w:nsid w:val="175DFCF0"/>
    <w:multiLevelType w:val="hybridMultilevel"/>
    <w:lvl w:ilvl="0">
      <w:lvlJc w:val="left"/>
      <w:lvlText w:val="%1."/>
      <w:numFmt w:val="decimal"/>
      <w:start w:val="1"/>
    </w:lvl>
  </w:abstractNum>
  <w:abstractNum w:abstractNumId="103">
    <w:nsid w:val="4F97E3E4"/>
    <w:multiLevelType w:val="hybridMultilevel"/>
    <w:lvl w:ilvl="0">
      <w:lvlJc w:val="left"/>
      <w:lvlText w:val="%1."/>
      <w:numFmt w:val="decimal"/>
      <w:start w:val="2"/>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1."/>
      <w:numFmt w:val="decimal"/>
      <w:start w:val="3"/>
    </w:lvl>
  </w:abstractNum>
  <w:abstractNum w:abstractNumId="107">
    <w:nsid w:val="56438D15"/>
    <w:multiLevelType w:val="hybridMultilevel"/>
    <w:lvl w:ilvl="0">
      <w:lvlJc w:val="left"/>
      <w:lvlText w:val="(%1)"/>
      <w:numFmt w:val="decimal"/>
      <w:start w:val="1"/>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4"/>
    </w:lvl>
  </w:abstractNum>
  <w:abstractNum w:abstractNumId="110">
    <w:nsid w:val="17A1B582"/>
    <w:multiLevelType w:val="hybridMultilevel"/>
    <w:lvl w:ilvl="0">
      <w:lvlJc w:val="left"/>
      <w:lvlText w:val="%1."/>
      <w:numFmt w:val="decimal"/>
      <w:start w:val="5"/>
    </w:lvl>
  </w:abstractNum>
  <w:abstractNum w:abstractNumId="111">
    <w:nsid w:val="4DF72E4E"/>
    <w:multiLevelType w:val="hybridMultilevel"/>
    <w:lvl w:ilvl="0">
      <w:lvlJc w:val="left"/>
      <w:lvlText w:val="%1."/>
      <w:numFmt w:val="decimal"/>
      <w:start w:val="6"/>
    </w:lvl>
  </w:abstractNum>
  <w:abstractNum w:abstractNumId="112">
    <w:nsid w:val="5046B5A9"/>
    <w:multiLevelType w:val="hybridMultilevel"/>
    <w:lvl w:ilvl="0">
      <w:lvlJc w:val="left"/>
      <w:lvlText w:val="%1."/>
      <w:numFmt w:val="decimal"/>
      <w:start w:val="7"/>
    </w:lvl>
  </w:abstractNum>
  <w:abstractNum w:abstractNumId="113">
    <w:nsid w:val="5D888A08"/>
    <w:multiLevelType w:val="hybridMultilevel"/>
    <w:lvl w:ilvl="0">
      <w:lvlJc w:val="left"/>
      <w:lvlText w:val="%1."/>
      <w:numFmt w:val="decimal"/>
      <w:start w:val="8"/>
    </w:lvl>
  </w:abstractNum>
  <w:abstractNum w:abstractNumId="114">
    <w:nsid w:val="2A082C70"/>
    <w:multiLevelType w:val="hybridMultilevel"/>
    <w:lvl w:ilvl="0">
      <w:lvlJc w:val="left"/>
      <w:lvlText w:val="%1."/>
      <w:numFmt w:val="decimal"/>
      <w:start w:val="9"/>
    </w:lvl>
  </w:abstractNum>
  <w:abstractNum w:abstractNumId="115">
    <w:nsid w:val="5EC6AFD4"/>
    <w:multiLevelType w:val="hybridMultilevel"/>
    <w:lvl w:ilvl="0">
      <w:lvlJc w:val="left"/>
      <w:lvlText w:val="%1."/>
      <w:numFmt w:val="decimal"/>
      <w:start w:val="11"/>
    </w:lvl>
  </w:abstractNum>
  <w:abstractNum w:abstractNumId="116">
    <w:nsid w:val="19E21BB2"/>
    <w:multiLevelType w:val="hybridMultilevel"/>
    <w:lvl w:ilvl="0">
      <w:lvlJc w:val="left"/>
      <w:lvlText w:val="(%1)"/>
      <w:numFmt w:val="lowerRoman"/>
      <w:start w:val="1"/>
    </w:lvl>
  </w:abstractNum>
  <w:abstractNum w:abstractNumId="117">
    <w:nsid w:val="75E0858A"/>
    <w:multiLevelType w:val="hybridMultilevel"/>
    <w:lvl w:ilvl="0">
      <w:lvlJc w:val="left"/>
      <w:lvlText w:val="(%1)"/>
      <w:numFmt w:val="decimal"/>
      <w:start w:val="1"/>
    </w:lvl>
  </w:abstractNum>
  <w:abstractNum w:abstractNumId="118">
    <w:nsid w:val="57A61A29"/>
    <w:multiLevelType w:val="hybridMultilevel"/>
    <w:lvl w:ilvl="0">
      <w:lvlJc w:val="left"/>
      <w:lvlText w:val="%1."/>
      <w:numFmt w:val="decimal"/>
      <w:start w:val="12"/>
    </w:lvl>
  </w:abstractNum>
  <w:abstractNum w:abstractNumId="119">
    <w:nsid w:val="5399C654"/>
    <w:multiLevelType w:val="hybridMultilevel"/>
    <w:lvl w:ilvl="0">
      <w:lvlJc w:val="left"/>
      <w:lvlText w:val="%1."/>
      <w:numFmt w:val="decimal"/>
      <w:start w:val="13"/>
    </w:lvl>
  </w:abstractNum>
  <w:abstractNum w:abstractNumId="120">
    <w:nsid w:val="20EE1348"/>
    <w:multiLevelType w:val="hybridMultilevel"/>
    <w:lvl w:ilvl="0">
      <w:lvlJc w:val="left"/>
      <w:lvlText w:val="%1."/>
      <w:numFmt w:val="decimal"/>
      <w:start w:val="14"/>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2"/>
    </w:lvl>
  </w:abstractNum>
  <w:abstractNum w:abstractNumId="123">
    <w:nsid w:val="2157F6BC"/>
    <w:multiLevelType w:val="hybridMultilevel"/>
    <w:lvl w:ilvl="0">
      <w:lvlJc w:val="left"/>
      <w:lvlText w:val="%1."/>
      <w:numFmt w:val="decimal"/>
      <w:start w:val="3"/>
    </w:lvl>
  </w:abstractNum>
  <w:abstractNum w:abstractNumId="124">
    <w:nsid w:val="704E1DD5"/>
    <w:multiLevelType w:val="hybridMultilevel"/>
    <w:lvl w:ilvl="0">
      <w:lvlJc w:val="left"/>
      <w:lvlText w:val="(%1)"/>
      <w:numFmt w:val="decimal"/>
      <w:start w:val="1"/>
    </w:lvl>
  </w:abstractNum>
  <w:abstractNum w:abstractNumId="125">
    <w:nsid w:val="57D2F10E"/>
    <w:multiLevelType w:val="hybridMultilevel"/>
    <w:lvl w:ilvl="0">
      <w:lvlJc w:val="left"/>
      <w:lvlText w:val="(%1)"/>
      <w:numFmt w:val="decimal"/>
      <w:start w:val="1"/>
    </w:lvl>
  </w:abstractNum>
  <w:abstractNum w:abstractNumId="126">
    <w:nsid w:val="BFFAE18"/>
    <w:multiLevelType w:val="hybridMultilevel"/>
    <w:lvl w:ilvl="0">
      <w:lvlJc w:val="left"/>
      <w:lvlText w:val="%1."/>
      <w:numFmt w:val="decimal"/>
      <w:start w:val="4"/>
    </w:lvl>
  </w:abstractNum>
  <w:abstractNum w:abstractNumId="127">
    <w:nsid w:val="E3E47A8"/>
    <w:multiLevelType w:val="hybridMultilevel"/>
    <w:lvl w:ilvl="0">
      <w:lvlJc w:val="left"/>
      <w:lvlText w:val="%1."/>
      <w:numFmt w:val="decimal"/>
      <w:start w:val="5"/>
    </w:lvl>
  </w:abstractNum>
  <w:abstractNum w:abstractNumId="128">
    <w:nsid w:val="2E48F044"/>
    <w:multiLevelType w:val="hybridMultilevel"/>
    <w:lvl w:ilvl="0">
      <w:lvlJc w:val="left"/>
      <w:lvlText w:val="%1."/>
      <w:numFmt w:val="decimal"/>
      <w:start w:val="6"/>
    </w:lvl>
  </w:abstractNum>
  <w:abstractNum w:abstractNumId="129">
    <w:nsid w:val="49D0FEAC"/>
    <w:multiLevelType w:val="hybridMultilevel"/>
    <w:lvl w:ilvl="0">
      <w:lvlJc w:val="left"/>
      <w:lvlText w:val="%1."/>
      <w:numFmt w:val="decimal"/>
      <w:start w:val="7"/>
    </w:lvl>
  </w:abstractNum>
  <w:abstractNum w:abstractNumId="130">
    <w:nsid w:val="4BEE5A5B"/>
    <w:multiLevelType w:val="hybridMultilevel"/>
    <w:lvl w:ilvl="0">
      <w:lvlJc w:val="left"/>
      <w:lvlText w:val="%1."/>
      <w:numFmt w:val="decimal"/>
      <w:start w:val="8"/>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1."/>
      <w:numFmt w:val="decimal"/>
      <w:start w:val="10"/>
    </w:lvl>
  </w:abstractNum>
  <w:abstractNum w:abstractNumId="133">
    <w:nsid w:val="634C574C"/>
    <w:multiLevelType w:val="hybridMultilevel"/>
    <w:lvl w:ilvl="0">
      <w:lvlJc w:val="left"/>
      <w:lvlText w:val="(%1)"/>
      <w:numFmt w:val="decimal"/>
      <w:start w:val="1"/>
    </w:lvl>
  </w:abstractNum>
  <w:abstractNum w:abstractNumId="134">
    <w:nsid w:val="24E99DD7"/>
    <w:multiLevelType w:val="hybridMultilevel"/>
    <w:lvl w:ilvl="0">
      <w:lvlJc w:val="left"/>
      <w:lvlText w:val="%1."/>
      <w:numFmt w:val="decimal"/>
      <w:start w:val="11"/>
    </w:lvl>
  </w:abstractNum>
  <w:abstractNum w:abstractNumId="135">
    <w:nsid w:val="2A31B62D"/>
    <w:multiLevelType w:val="hybridMultilevel"/>
    <w:lvl w:ilvl="0">
      <w:lvlJc w:val="left"/>
      <w:lvlText w:val="%1."/>
      <w:numFmt w:val="decimal"/>
      <w:start w:val="12"/>
    </w:lvl>
  </w:abstractNum>
  <w:abstractNum w:abstractNumId="136">
    <w:nsid w:val="1849C29B"/>
    <w:multiLevelType w:val="hybridMultilevel"/>
    <w:lvl w:ilvl="0">
      <w:lvlJc w:val="left"/>
      <w:lvlText w:val="%1."/>
      <w:numFmt w:val="decimal"/>
      <w:start w:val="13"/>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lowerLetter"/>
      <w:start w:val="1"/>
    </w:lvl>
    <w:lvl w:ilvl="1">
      <w:lvlJc w:val="left"/>
      <w:lvlText w:val="%2."/>
      <w:numFmt w:val="decimal"/>
      <w:start w:val="1"/>
    </w:lvl>
  </w:abstractNum>
  <w:abstractNum w:abstractNumId="139">
    <w:nsid w:val="69E7F3E5"/>
    <w:multiLevelType w:val="hybridMultilevel"/>
    <w:lvl w:ilvl="0">
      <w:lvlJc w:val="left"/>
      <w:lvlText w:val="(%1)"/>
      <w:numFmt w:val="lowerLetter"/>
      <w:start w:val="2"/>
    </w:lvl>
    <w:lvl w:ilvl="1">
      <w:lvlJc w:val="left"/>
      <w:lvlText w:val="%2."/>
      <w:numFmt w:val="decimal"/>
      <w:start w:val="1"/>
    </w:lvl>
  </w:abstractNum>
  <w:abstractNum w:abstractNumId="140">
    <w:nsid w:val="2A6DE806"/>
    <w:multiLevelType w:val="hybridMultilevel"/>
    <w:lvl w:ilvl="0">
      <w:lvlJc w:val="left"/>
      <w:lvlText w:val="(%1)"/>
      <w:numFmt w:val="lowerLetter"/>
      <w:start w:val="3"/>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2024-03-06T23:18:29Z</dcterms:created>
  <dcterms:modified xsi:type="dcterms:W3CDTF">2024-03-06T23:18:29Z</dcterms:modified>
</cp:coreProperties>
</file>