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470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470265"/>
                    </a:xfrm>
                    <a:prstGeom prst="rect">
                      <a:avLst/>
                    </a:prstGeom>
                    <a:noFill/>
                  </pic:spPr>
                </pic:pic>
              </a:graphicData>
            </a:graphic>
          </wp:anchor>
        </w:drawing>
      </w:r>
    </w:p>
    <w:p>
      <w:pPr>
        <w:spacing w:after="0" w:line="1285" w:lineRule="exact"/>
        <w:rPr>
          <w:sz w:val="24"/>
          <w:szCs w:val="24"/>
          <w:color w:val="auto"/>
        </w:rPr>
      </w:pPr>
    </w:p>
    <w:p>
      <w:pPr>
        <w:sectPr>
          <w:pgSz w:w="11900" w:h="1684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TANG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4747 EXECUTIVE DRIVE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Boundless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BOLD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7" w:lineRule="exact"/>
        <w:rPr>
          <w:sz w:val="24"/>
          <w:szCs w:val="24"/>
          <w:color w:val="auto"/>
        </w:rPr>
      </w:pPr>
    </w:p>
    <w:p>
      <w:pPr>
        <w:sectPr>
          <w:pgSz w:w="11900" w:h="16840"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40"/>
              <w:spacing w:after="0" w:line="146" w:lineRule="exact"/>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8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80" w:type="dxa"/>
            <w:vAlign w:val="bottom"/>
            <w:gridSpan w:val="4"/>
            <w:vMerge w:val="restart"/>
          </w:tcPr>
          <w:p>
            <w:pPr>
              <w:ind w:left="800"/>
              <w:spacing w:after="0"/>
              <w:rPr>
                <w:sz w:val="20"/>
                <w:szCs w:val="20"/>
                <w:color w:val="auto"/>
              </w:rPr>
            </w:pPr>
            <w:r>
              <w:rPr>
                <w:rFonts w:ascii="Times New Roman" w:cs="Times New Roman" w:eastAsia="Times New Roman" w:hAnsi="Times New Roman"/>
                <w:sz w:val="17"/>
                <w:szCs w:val="17"/>
                <w:color w:val="0000FF"/>
              </w:rPr>
              <w:t>10/27/2026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10,707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2.4</w:t>
            </w:r>
            <w:r>
              <w:rPr>
                <w:rFonts w:ascii="Times New Roman" w:cs="Times New Roman" w:eastAsia="Times New Roman" w:hAnsi="Times New Roman"/>
                <w:sz w:val="22"/>
                <w:szCs w:val="22"/>
                <w:color w:val="008000"/>
                <w:w w:val="91"/>
                <w:vertAlign w:val="superscript"/>
              </w:rPr>
              <w:t>(1)</w:t>
            </w:r>
          </w:p>
        </w:tc>
        <w:tc>
          <w:tcPr>
            <w:tcW w:w="12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3,022,456</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0" w:type="dxa"/>
            <w:vAlign w:val="bottom"/>
            <w:gridSpan w:val="17"/>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4"/>
          </w:tcPr>
          <w:p>
            <w:pPr>
              <w:jc w:val="center"/>
              <w:ind w:left="6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3"/>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TANG KEVIN</w:t>
              </w:r>
            </w:hyperlink>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4747 EXECUTIVE DRIVE</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3"/>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TANG CAPITAL MANAGEMENT LLC</w:t>
              </w:r>
            </w:hyperlink>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4747 EXECUTIVE DRIVE</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40" w:orient="portrait"/>
          <w:cols w:equalWidth="0" w:num="1">
            <w:col w:w="11080"/>
          </w:cols>
          <w:pgMar w:left="460" w:top="219" w:right="359" w:bottom="0" w:gutter="0" w:footer="0" w:header="0"/>
          <w:type w:val="continuous"/>
        </w:sectPr>
      </w:pPr>
    </w:p>
    <w:bookmarkStart w:id="1" w:name="page2"/>
    <w:bookmarkEnd w:id="1"/>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prices reported are weighted-average prices. These shares were purchased in multiple transactions at prices ranging from $2.38 to $2.40. The Reporting Persons undertake to provide the Issuer, any security holder of the Issuer or the SEC staff, upon request, all information regarding the number of shares purchased at each price within the range set forth in Footnote 1.</w:t>
      </w:r>
    </w:p>
    <w:p>
      <w:pPr>
        <w:spacing w:after="0" w:line="7" w:lineRule="exact"/>
        <w:rPr>
          <w:rFonts w:ascii="Times New Roman" w:cs="Times New Roman" w:eastAsia="Times New Roman" w:hAnsi="Times New Roman"/>
          <w:sz w:val="13"/>
          <w:szCs w:val="13"/>
          <w:color w:val="008000"/>
        </w:rPr>
      </w:pPr>
    </w:p>
    <w:p>
      <w:pPr>
        <w:ind w:right="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Tang Capital Partners, LP ("TCP") beneficially owns 691,177 shares, Tang Capital Partners International, LP ("TCPI") beneficially owns 961,511 shares, Tang Capital Partners III, Inc. ("TCP III") beneficially owns 691,170 shares, and Tang Capital Partners IV, Inc. ("TCP IV") beneficially owns 678,598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p>
      <w:pPr>
        <w:spacing w:after="0" w:line="41"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Kevin Tang</w:t>
            </w:r>
          </w:p>
        </w:tc>
        <w:tc>
          <w:tcPr>
            <w:tcW w:w="12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10/29/2026</w:t>
            </w:r>
          </w:p>
        </w:tc>
      </w:tr>
      <w:tr>
        <w:trPr>
          <w:trHeight w:val="247"/>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Kevin Tang, Manager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10/29/2026</w:t>
            </w:r>
          </w:p>
        </w:tc>
      </w:tr>
      <w:tr>
        <w:trPr>
          <w:trHeight w:val="20"/>
        </w:trPr>
        <w:tc>
          <w:tcPr>
            <w:tcW w:w="15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3" Type="http://schemas.openxmlformats.org/officeDocument/2006/relationships/hyperlink" Target="http://www.sec.gov/cgi-bin/browse-edgar?action=getcompany&amp;CIK=0001178579" TargetMode="External"/><Relationship Id="rId14" Type="http://schemas.openxmlformats.org/officeDocument/2006/relationships/hyperlink" Target="http://www.sec.gov/cgi-bin/browse-edgar?action=getcompany&amp;CIK=0001782303" TargetMode="External"/><Relationship Id="rId16" Type="http://schemas.openxmlformats.org/officeDocument/2006/relationships/hyperlink" Target="http://www.sec.gov/cgi-bin/browse-edgar?action=getcompany&amp;CIK=000123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2026-10-29T17:21:47Z</dcterms:created>
  <dcterms:modified xsi:type="dcterms:W3CDTF">2026-10-29T17:21:47Z</dcterms:modified>
</cp:coreProperties>
</file>