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92" w:lineRule="exact"/>
        <w:rPr>
          <w:sz w:val="24"/>
          <w:szCs w:val="24"/>
          <w:color w:val="auto"/>
        </w:rPr>
      </w:pPr>
    </w:p>
    <w:p>
      <w:pPr>
        <w:ind w:left="3540"/>
        <w:spacing w:after="0"/>
        <w:rPr>
          <w:sz w:val="20"/>
          <w:szCs w:val="20"/>
          <w:color w:val="auto"/>
        </w:rPr>
      </w:pPr>
      <w:r>
        <w:rPr>
          <w:rFonts w:ascii="Arial" w:cs="Arial" w:eastAsia="Arial" w:hAnsi="Arial"/>
          <w:sz w:val="12"/>
          <w:szCs w:val="12"/>
          <w:b w:val="1"/>
          <w:bCs w:val="1"/>
          <w:color w:val="auto"/>
        </w:rPr>
        <w:t>As filed with the Securities and Exchange Commission on March 21, 2024</w:t>
      </w:r>
    </w:p>
    <w:p>
      <w:pPr>
        <w:spacing w:after="0" w:line="92" w:lineRule="exact"/>
        <w:rPr>
          <w:sz w:val="24"/>
          <w:szCs w:val="24"/>
          <w:color w:val="auto"/>
        </w:rPr>
      </w:pPr>
    </w:p>
    <w:p>
      <w:pPr>
        <w:jc w:val="right"/>
        <w:spacing w:after="0"/>
        <w:rPr>
          <w:sz w:val="20"/>
          <w:szCs w:val="20"/>
          <w:color w:val="auto"/>
        </w:rPr>
      </w:pPr>
      <w:r>
        <w:rPr>
          <w:rFonts w:ascii="Arial" w:cs="Arial" w:eastAsia="Arial" w:hAnsi="Arial"/>
          <w:sz w:val="12"/>
          <w:szCs w:val="12"/>
          <w:b w:val="1"/>
          <w:bCs w:val="1"/>
          <w:color w:val="auto"/>
        </w:rPr>
        <w:t>Registration No. 333-277696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45085</wp:posOffset>
            </wp:positionV>
            <wp:extent cx="66205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20510" cy="825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85725</wp:posOffset>
            </wp:positionV>
            <wp:extent cx="66205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20510" cy="8255"/>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26"/>
          <w:szCs w:val="26"/>
          <w:b w:val="1"/>
          <w:bCs w:val="1"/>
          <w:color w:val="auto"/>
        </w:rPr>
        <w:t>UNITED STATES</w:t>
      </w:r>
    </w:p>
    <w:p>
      <w:pPr>
        <w:spacing w:after="0" w:line="19" w:lineRule="exact"/>
        <w:rPr>
          <w:sz w:val="24"/>
          <w:szCs w:val="24"/>
          <w:color w:val="auto"/>
        </w:rPr>
      </w:pPr>
    </w:p>
    <w:p>
      <w:pPr>
        <w:jc w:val="center"/>
        <w:ind w:right="-399"/>
        <w:spacing w:after="0"/>
        <w:rPr>
          <w:sz w:val="20"/>
          <w:szCs w:val="20"/>
          <w:color w:val="auto"/>
        </w:rPr>
      </w:pPr>
      <w:r>
        <w:rPr>
          <w:rFonts w:ascii="Arial" w:cs="Arial" w:eastAsia="Arial" w:hAnsi="Arial"/>
          <w:sz w:val="26"/>
          <w:szCs w:val="26"/>
          <w:b w:val="1"/>
          <w:bCs w:val="1"/>
          <w:color w:val="auto"/>
        </w:rPr>
        <w:t>SECURITIES AND EXCHANGE COMMISSION</w:t>
      </w:r>
    </w:p>
    <w:p>
      <w:pPr>
        <w:jc w:val="center"/>
        <w:ind w:right="-39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140970</wp:posOffset>
            </wp:positionV>
            <wp:extent cx="21907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0750" cy="8255"/>
                    </a:xfrm>
                    <a:prstGeom prst="rect">
                      <a:avLst/>
                    </a:prstGeom>
                    <a:noFill/>
                  </pic:spPr>
                </pic:pic>
              </a:graphicData>
            </a:graphic>
          </wp:anchor>
        </w:drawing>
      </w:r>
    </w:p>
    <w:p>
      <w:pPr>
        <w:spacing w:after="0" w:line="290" w:lineRule="exact"/>
        <w:rPr>
          <w:sz w:val="24"/>
          <w:szCs w:val="24"/>
          <w:color w:val="auto"/>
        </w:rPr>
      </w:pPr>
    </w:p>
    <w:p>
      <w:pPr>
        <w:jc w:val="center"/>
        <w:ind w:right="-399"/>
        <w:spacing w:after="0"/>
        <w:rPr>
          <w:sz w:val="20"/>
          <w:szCs w:val="20"/>
          <w:color w:val="auto"/>
        </w:rPr>
      </w:pPr>
      <w:r>
        <w:rPr>
          <w:rFonts w:ascii="Arial" w:cs="Arial" w:eastAsia="Arial" w:hAnsi="Arial"/>
          <w:sz w:val="26"/>
          <w:szCs w:val="26"/>
          <w:b w:val="1"/>
          <w:bCs w:val="1"/>
          <w:color w:val="auto"/>
        </w:rPr>
        <w:t>AMENDMENT NO. 1</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26"/>
          <w:szCs w:val="26"/>
          <w:b w:val="1"/>
          <w:bCs w:val="1"/>
          <w:color w:val="auto"/>
        </w:rPr>
        <w:t>FORM S-1</w:t>
      </w:r>
    </w:p>
    <w:p>
      <w:pPr>
        <w:jc w:val="center"/>
        <w:ind w:right="-399"/>
        <w:spacing w:after="0"/>
        <w:rPr>
          <w:sz w:val="20"/>
          <w:szCs w:val="20"/>
          <w:color w:val="auto"/>
        </w:rPr>
      </w:pPr>
      <w:r>
        <w:rPr>
          <w:rFonts w:ascii="Arial" w:cs="Arial" w:eastAsia="Arial" w:hAnsi="Arial"/>
          <w:sz w:val="22"/>
          <w:szCs w:val="22"/>
          <w:b w:val="1"/>
          <w:bCs w:val="1"/>
          <w:color w:val="auto"/>
        </w:rPr>
        <w:t>REGISTRATION STATEMENT</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5"/>
          <w:szCs w:val="15"/>
          <w:b w:val="1"/>
          <w:bCs w:val="1"/>
          <w:i w:val="1"/>
          <w:iCs w:val="1"/>
          <w:color w:val="auto"/>
        </w:rPr>
        <w:t>Under</w:t>
      </w:r>
    </w:p>
    <w:p>
      <w:pPr>
        <w:spacing w:after="0" w:line="6" w:lineRule="exact"/>
        <w:rPr>
          <w:sz w:val="24"/>
          <w:szCs w:val="24"/>
          <w:color w:val="auto"/>
        </w:rPr>
      </w:pPr>
    </w:p>
    <w:p>
      <w:pPr>
        <w:jc w:val="center"/>
        <w:ind w:right="-399"/>
        <w:spacing w:after="0"/>
        <w:rPr>
          <w:sz w:val="20"/>
          <w:szCs w:val="20"/>
          <w:color w:val="auto"/>
        </w:rPr>
      </w:pPr>
      <w:r>
        <w:rPr>
          <w:rFonts w:ascii="Arial" w:cs="Arial" w:eastAsia="Arial" w:hAnsi="Arial"/>
          <w:sz w:val="15"/>
          <w:szCs w:val="15"/>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67945</wp:posOffset>
            </wp:positionV>
            <wp:extent cx="21907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0750" cy="8255"/>
                    </a:xfrm>
                    <a:prstGeom prst="rect">
                      <a:avLst/>
                    </a:prstGeom>
                    <a:noFill/>
                  </pic:spPr>
                </pic:pic>
              </a:graphicData>
            </a:graphic>
          </wp:anchor>
        </w:drawing>
      </w:r>
    </w:p>
    <w:p>
      <w:pPr>
        <w:spacing w:after="0" w:line="175" w:lineRule="exact"/>
        <w:rPr>
          <w:sz w:val="24"/>
          <w:szCs w:val="24"/>
          <w:color w:val="auto"/>
        </w:rPr>
      </w:pPr>
    </w:p>
    <w:p>
      <w:pPr>
        <w:jc w:val="center"/>
        <w:ind w:right="-399"/>
        <w:spacing w:after="0"/>
        <w:rPr>
          <w:sz w:val="20"/>
          <w:szCs w:val="20"/>
          <w:color w:val="auto"/>
        </w:rPr>
      </w:pPr>
      <w:r>
        <w:rPr>
          <w:rFonts w:ascii="Arial" w:cs="Arial" w:eastAsia="Arial" w:hAnsi="Arial"/>
          <w:sz w:val="26"/>
          <w:szCs w:val="26"/>
          <w:b w:val="1"/>
          <w:bCs w:val="1"/>
          <w:color w:val="auto"/>
        </w:rPr>
        <w:t>BOUNDLESS BIO, INC.</w:t>
      </w:r>
    </w:p>
    <w:p>
      <w:pPr>
        <w:spacing w:after="0" w:line="16"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135255</wp:posOffset>
            </wp:positionV>
            <wp:extent cx="21907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0750" cy="8255"/>
                    </a:xfrm>
                    <a:prstGeom prst="rect">
                      <a:avLst/>
                    </a:prstGeom>
                    <a:noFill/>
                  </pic:spPr>
                </pic:pic>
              </a:graphicData>
            </a:graphic>
          </wp:anchor>
        </w:drawing>
      </w:r>
    </w:p>
    <w:p>
      <w:pPr>
        <w:spacing w:after="0" w:line="338" w:lineRule="exact"/>
        <w:rPr>
          <w:sz w:val="24"/>
          <w:szCs w:val="24"/>
          <w:color w:val="auto"/>
        </w:rPr>
      </w:pPr>
    </w:p>
    <w:tbl>
      <w:tblPr>
        <w:tblLayout w:type="fixed"/>
        <w:tblInd w:w="1460" w:type="dxa"/>
        <w:tblCellMar>
          <w:top w:w="0" w:type="dxa"/>
          <w:left w:w="0" w:type="dxa"/>
          <w:bottom w:w="0" w:type="dxa"/>
          <w:right w:w="0" w:type="dxa"/>
        </w:tblCellMar>
      </w:tblPr>
      <w:tr>
        <w:trPr>
          <w:trHeight w:val="161"/>
        </w:trPr>
        <w:tc>
          <w:tcPr>
            <w:tcW w:w="2520" w:type="dxa"/>
            <w:vAlign w:val="bottom"/>
          </w:tcPr>
          <w:p>
            <w:pPr>
              <w:jc w:val="center"/>
              <w:ind w:right="1023"/>
              <w:spacing w:after="0"/>
              <w:rPr>
                <w:sz w:val="20"/>
                <w:szCs w:val="20"/>
                <w:color w:val="auto"/>
              </w:rPr>
            </w:pPr>
            <w:r>
              <w:rPr>
                <w:rFonts w:ascii="Arial" w:cs="Arial" w:eastAsia="Arial" w:hAnsi="Arial"/>
                <w:sz w:val="14"/>
                <w:szCs w:val="14"/>
                <w:b w:val="1"/>
                <w:bCs w:val="1"/>
                <w:color w:val="auto"/>
                <w:w w:val="97"/>
              </w:rPr>
              <w:t>Delaware</w:t>
            </w:r>
          </w:p>
        </w:tc>
        <w:tc>
          <w:tcPr>
            <w:tcW w:w="3600" w:type="dxa"/>
            <w:vAlign w:val="bottom"/>
          </w:tcPr>
          <w:p>
            <w:pPr>
              <w:jc w:val="center"/>
              <w:ind w:right="43"/>
              <w:spacing w:after="0"/>
              <w:rPr>
                <w:sz w:val="20"/>
                <w:szCs w:val="20"/>
                <w:color w:val="auto"/>
              </w:rPr>
            </w:pPr>
            <w:r>
              <w:rPr>
                <w:rFonts w:ascii="Arial" w:cs="Arial" w:eastAsia="Arial" w:hAnsi="Arial"/>
                <w:sz w:val="14"/>
                <w:szCs w:val="14"/>
                <w:b w:val="1"/>
                <w:bCs w:val="1"/>
                <w:color w:val="auto"/>
                <w:w w:val="96"/>
              </w:rPr>
              <w:t>2834</w:t>
            </w:r>
          </w:p>
        </w:tc>
        <w:tc>
          <w:tcPr>
            <w:tcW w:w="2020" w:type="dxa"/>
            <w:vAlign w:val="bottom"/>
          </w:tcPr>
          <w:p>
            <w:pPr>
              <w:jc w:val="center"/>
              <w:ind w:left="1103"/>
              <w:spacing w:after="0"/>
              <w:rPr>
                <w:sz w:val="20"/>
                <w:szCs w:val="20"/>
                <w:color w:val="auto"/>
              </w:rPr>
            </w:pPr>
            <w:r>
              <w:rPr>
                <w:rFonts w:ascii="Arial" w:cs="Arial" w:eastAsia="Arial" w:hAnsi="Arial"/>
                <w:sz w:val="14"/>
                <w:szCs w:val="14"/>
                <w:b w:val="1"/>
                <w:bCs w:val="1"/>
                <w:color w:val="auto"/>
                <w:w w:val="98"/>
              </w:rPr>
              <w:t>83-0751369</w:t>
            </w:r>
          </w:p>
        </w:tc>
      </w:tr>
      <w:tr>
        <w:trPr>
          <w:trHeight w:val="115"/>
        </w:trPr>
        <w:tc>
          <w:tcPr>
            <w:tcW w:w="2520" w:type="dxa"/>
            <w:vAlign w:val="bottom"/>
          </w:tcPr>
          <w:p>
            <w:pPr>
              <w:jc w:val="center"/>
              <w:ind w:right="1023"/>
              <w:spacing w:after="0"/>
              <w:rPr>
                <w:sz w:val="20"/>
                <w:szCs w:val="20"/>
                <w:color w:val="auto"/>
              </w:rPr>
            </w:pPr>
            <w:r>
              <w:rPr>
                <w:rFonts w:ascii="Arial" w:cs="Arial" w:eastAsia="Arial" w:hAnsi="Arial"/>
                <w:sz w:val="10"/>
                <w:szCs w:val="10"/>
                <w:b w:val="1"/>
                <w:bCs w:val="1"/>
                <w:color w:val="auto"/>
              </w:rPr>
              <w:t>(State or other jurisdiction of</w:t>
            </w:r>
          </w:p>
        </w:tc>
        <w:tc>
          <w:tcPr>
            <w:tcW w:w="3600" w:type="dxa"/>
            <w:vAlign w:val="bottom"/>
          </w:tcPr>
          <w:p>
            <w:pPr>
              <w:jc w:val="center"/>
              <w:ind w:right="43"/>
              <w:spacing w:after="0"/>
              <w:rPr>
                <w:sz w:val="20"/>
                <w:szCs w:val="20"/>
                <w:color w:val="auto"/>
              </w:rPr>
            </w:pPr>
            <w:r>
              <w:rPr>
                <w:rFonts w:ascii="Arial" w:cs="Arial" w:eastAsia="Arial" w:hAnsi="Arial"/>
                <w:sz w:val="10"/>
                <w:szCs w:val="10"/>
                <w:b w:val="1"/>
                <w:bCs w:val="1"/>
                <w:color w:val="auto"/>
              </w:rPr>
              <w:t>(Primary Standard Industrial</w:t>
            </w:r>
          </w:p>
        </w:tc>
        <w:tc>
          <w:tcPr>
            <w:tcW w:w="2020" w:type="dxa"/>
            <w:vAlign w:val="bottom"/>
          </w:tcPr>
          <w:p>
            <w:pPr>
              <w:jc w:val="center"/>
              <w:ind w:left="1103"/>
              <w:spacing w:after="0"/>
              <w:rPr>
                <w:sz w:val="20"/>
                <w:szCs w:val="20"/>
                <w:color w:val="auto"/>
              </w:rPr>
            </w:pPr>
            <w:r>
              <w:rPr>
                <w:rFonts w:ascii="Arial" w:cs="Arial" w:eastAsia="Arial" w:hAnsi="Arial"/>
                <w:sz w:val="10"/>
                <w:szCs w:val="10"/>
                <w:b w:val="1"/>
                <w:bCs w:val="1"/>
                <w:color w:val="auto"/>
              </w:rPr>
              <w:t>(I.R.S. Employer</w:t>
            </w:r>
          </w:p>
        </w:tc>
      </w:tr>
      <w:tr>
        <w:trPr>
          <w:trHeight w:val="141"/>
        </w:trPr>
        <w:tc>
          <w:tcPr>
            <w:tcW w:w="2520" w:type="dxa"/>
            <w:vAlign w:val="bottom"/>
          </w:tcPr>
          <w:p>
            <w:pPr>
              <w:jc w:val="center"/>
              <w:ind w:right="1003"/>
              <w:spacing w:after="0"/>
              <w:rPr>
                <w:sz w:val="20"/>
                <w:szCs w:val="20"/>
                <w:color w:val="auto"/>
              </w:rPr>
            </w:pPr>
            <w:r>
              <w:rPr>
                <w:rFonts w:ascii="Arial" w:cs="Arial" w:eastAsia="Arial" w:hAnsi="Arial"/>
                <w:sz w:val="10"/>
                <w:szCs w:val="10"/>
                <w:b w:val="1"/>
                <w:bCs w:val="1"/>
                <w:color w:val="auto"/>
              </w:rPr>
              <w:t>incorporation or organization)</w:t>
            </w:r>
          </w:p>
        </w:tc>
        <w:tc>
          <w:tcPr>
            <w:tcW w:w="3600" w:type="dxa"/>
            <w:vAlign w:val="bottom"/>
          </w:tcPr>
          <w:p>
            <w:pPr>
              <w:jc w:val="center"/>
              <w:ind w:right="23"/>
              <w:spacing w:after="0"/>
              <w:rPr>
                <w:sz w:val="20"/>
                <w:szCs w:val="20"/>
                <w:color w:val="auto"/>
              </w:rPr>
            </w:pPr>
            <w:r>
              <w:rPr>
                <w:rFonts w:ascii="Arial" w:cs="Arial" w:eastAsia="Arial" w:hAnsi="Arial"/>
                <w:sz w:val="10"/>
                <w:szCs w:val="10"/>
                <w:b w:val="1"/>
                <w:bCs w:val="1"/>
                <w:color w:val="auto"/>
              </w:rPr>
              <w:t>Classification Code Number)</w:t>
            </w:r>
          </w:p>
        </w:tc>
        <w:tc>
          <w:tcPr>
            <w:tcW w:w="2020" w:type="dxa"/>
            <w:vAlign w:val="bottom"/>
          </w:tcPr>
          <w:p>
            <w:pPr>
              <w:jc w:val="center"/>
              <w:ind w:left="1103"/>
              <w:spacing w:after="0"/>
              <w:rPr>
                <w:sz w:val="20"/>
                <w:szCs w:val="20"/>
                <w:color w:val="auto"/>
              </w:rPr>
            </w:pPr>
            <w:r>
              <w:rPr>
                <w:rFonts w:ascii="Arial" w:cs="Arial" w:eastAsia="Arial" w:hAnsi="Arial"/>
                <w:sz w:val="10"/>
                <w:szCs w:val="10"/>
                <w:b w:val="1"/>
                <w:bCs w:val="1"/>
                <w:color w:val="auto"/>
              </w:rPr>
              <w:t>Identification No.)</w:t>
            </w:r>
          </w:p>
        </w:tc>
      </w:tr>
    </w:tbl>
    <w:p>
      <w:pPr>
        <w:spacing w:after="0" w:line="93"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9880 Campus Point Drive, Suite 120</w:t>
      </w:r>
    </w:p>
    <w:p>
      <w:pPr>
        <w:jc w:val="center"/>
        <w:ind w:right="-399"/>
        <w:spacing w:after="0" w:line="237" w:lineRule="auto"/>
        <w:rPr>
          <w:sz w:val="20"/>
          <w:szCs w:val="20"/>
          <w:color w:val="auto"/>
        </w:rPr>
      </w:pPr>
      <w:r>
        <w:rPr>
          <w:rFonts w:ascii="Arial" w:cs="Arial" w:eastAsia="Arial" w:hAnsi="Arial"/>
          <w:sz w:val="14"/>
          <w:szCs w:val="14"/>
          <w:b w:val="1"/>
          <w:bCs w:val="1"/>
          <w:color w:val="auto"/>
        </w:rPr>
        <w:t>San Diego, CA 92121</w:t>
      </w:r>
    </w:p>
    <w:p>
      <w:pPr>
        <w:jc w:val="center"/>
        <w:ind w:right="-399"/>
        <w:spacing w:after="0" w:line="218" w:lineRule="auto"/>
        <w:rPr>
          <w:sz w:val="20"/>
          <w:szCs w:val="20"/>
          <w:color w:val="auto"/>
        </w:rPr>
      </w:pPr>
      <w:r>
        <w:rPr>
          <w:rFonts w:ascii="Arial" w:cs="Arial" w:eastAsia="Arial" w:hAnsi="Arial"/>
          <w:sz w:val="14"/>
          <w:szCs w:val="14"/>
          <w:b w:val="1"/>
          <w:bCs w:val="1"/>
          <w:color w:val="auto"/>
        </w:rPr>
        <w:t>(858) 766-9912</w:t>
      </w:r>
    </w:p>
    <w:p>
      <w:pPr>
        <w:ind w:left="2800"/>
        <w:spacing w:after="0"/>
        <w:rPr>
          <w:sz w:val="20"/>
          <w:szCs w:val="20"/>
          <w:color w:val="auto"/>
        </w:rPr>
      </w:pPr>
      <w:r>
        <w:rPr>
          <w:rFonts w:ascii="Arial" w:cs="Arial" w:eastAsia="Arial" w:hAnsi="Arial"/>
          <w:sz w:val="10"/>
          <w:szCs w:val="10"/>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139700</wp:posOffset>
            </wp:positionV>
            <wp:extent cx="21907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0750" cy="8255"/>
                    </a:xfrm>
                    <a:prstGeom prst="rect">
                      <a:avLst/>
                    </a:prstGeom>
                    <a:noFill/>
                  </pic:spPr>
                </pic:pic>
              </a:graphicData>
            </a:graphic>
          </wp:anchor>
        </w:drawing>
      </w:r>
    </w:p>
    <w:p>
      <w:pPr>
        <w:spacing w:after="0" w:line="30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Zachary Hornby</w:t>
      </w:r>
    </w:p>
    <w:p>
      <w:pPr>
        <w:jc w:val="center"/>
        <w:ind w:right="-399"/>
        <w:spacing w:after="0" w:line="237"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399"/>
        <w:spacing w:after="0" w:line="229" w:lineRule="auto"/>
        <w:rPr>
          <w:sz w:val="20"/>
          <w:szCs w:val="20"/>
          <w:color w:val="auto"/>
        </w:rPr>
      </w:pPr>
      <w:r>
        <w:rPr>
          <w:rFonts w:ascii="Arial" w:cs="Arial" w:eastAsia="Arial" w:hAnsi="Arial"/>
          <w:sz w:val="14"/>
          <w:szCs w:val="14"/>
          <w:b w:val="1"/>
          <w:bCs w:val="1"/>
          <w:color w:val="auto"/>
        </w:rPr>
        <w:t>Boundless Bio, Inc.</w:t>
      </w:r>
    </w:p>
    <w:p>
      <w:pPr>
        <w:jc w:val="center"/>
        <w:ind w:right="-399"/>
        <w:spacing w:after="0" w:line="229" w:lineRule="auto"/>
        <w:rPr>
          <w:sz w:val="20"/>
          <w:szCs w:val="20"/>
          <w:color w:val="auto"/>
        </w:rPr>
      </w:pPr>
      <w:r>
        <w:rPr>
          <w:rFonts w:ascii="Arial" w:cs="Arial" w:eastAsia="Arial" w:hAnsi="Arial"/>
          <w:sz w:val="14"/>
          <w:szCs w:val="14"/>
          <w:b w:val="1"/>
          <w:bCs w:val="1"/>
          <w:color w:val="auto"/>
        </w:rPr>
        <w:t>9880 Campus Point Drive, Suite 120</w:t>
      </w:r>
    </w:p>
    <w:p>
      <w:pPr>
        <w:jc w:val="center"/>
        <w:ind w:right="-399"/>
        <w:spacing w:after="0" w:line="228" w:lineRule="auto"/>
        <w:rPr>
          <w:sz w:val="20"/>
          <w:szCs w:val="20"/>
          <w:color w:val="auto"/>
        </w:rPr>
      </w:pPr>
      <w:r>
        <w:rPr>
          <w:rFonts w:ascii="Arial" w:cs="Arial" w:eastAsia="Arial" w:hAnsi="Arial"/>
          <w:sz w:val="14"/>
          <w:szCs w:val="14"/>
          <w:b w:val="1"/>
          <w:bCs w:val="1"/>
          <w:color w:val="auto"/>
        </w:rPr>
        <w:t>San Diego, CA 92121</w:t>
      </w:r>
    </w:p>
    <w:p>
      <w:pPr>
        <w:jc w:val="center"/>
        <w:ind w:right="-399"/>
        <w:spacing w:after="0" w:line="217" w:lineRule="auto"/>
        <w:rPr>
          <w:sz w:val="20"/>
          <w:szCs w:val="20"/>
          <w:color w:val="auto"/>
        </w:rPr>
      </w:pPr>
      <w:r>
        <w:rPr>
          <w:rFonts w:ascii="Arial" w:cs="Arial" w:eastAsia="Arial" w:hAnsi="Arial"/>
          <w:sz w:val="14"/>
          <w:szCs w:val="14"/>
          <w:b w:val="1"/>
          <w:bCs w:val="1"/>
          <w:color w:val="auto"/>
        </w:rPr>
        <w:t>(858) 766-9912</w:t>
      </w:r>
    </w:p>
    <w:p>
      <w:pPr>
        <w:spacing w:after="0" w:line="1" w:lineRule="exact"/>
        <w:rPr>
          <w:sz w:val="24"/>
          <w:szCs w:val="24"/>
          <w:color w:val="auto"/>
        </w:rPr>
      </w:pPr>
    </w:p>
    <w:p>
      <w:pPr>
        <w:ind w:left="3180"/>
        <w:spacing w:after="0"/>
        <w:rPr>
          <w:sz w:val="20"/>
          <w:szCs w:val="20"/>
          <w:color w:val="auto"/>
        </w:rPr>
      </w:pPr>
      <w:r>
        <w:rPr>
          <w:rFonts w:ascii="Arial" w:cs="Arial" w:eastAsia="Arial" w:hAnsi="Arial"/>
          <w:sz w:val="10"/>
          <w:szCs w:val="10"/>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139700</wp:posOffset>
            </wp:positionV>
            <wp:extent cx="21907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90750" cy="8255"/>
                    </a:xfrm>
                    <a:prstGeom prst="rect">
                      <a:avLst/>
                    </a:prstGeom>
                    <a:noFill/>
                  </pic:spPr>
                </pic:pic>
              </a:graphicData>
            </a:graphic>
          </wp:anchor>
        </w:drawing>
      </w:r>
    </w:p>
    <w:p>
      <w:pPr>
        <w:spacing w:after="0" w:line="231" w:lineRule="exact"/>
        <w:rPr>
          <w:sz w:val="24"/>
          <w:szCs w:val="24"/>
          <w:color w:val="auto"/>
        </w:rPr>
      </w:pPr>
    </w:p>
    <w:tbl>
      <w:tblPr>
        <w:tblLayout w:type="fixed"/>
        <w:tblInd w:w="1440" w:type="dxa"/>
        <w:tblCellMar>
          <w:top w:w="0" w:type="dxa"/>
          <w:left w:w="0" w:type="dxa"/>
          <w:bottom w:w="0" w:type="dxa"/>
          <w:right w:w="0" w:type="dxa"/>
        </w:tblCellMar>
      </w:tblPr>
      <w:tr>
        <w:trPr>
          <w:trHeight w:val="185"/>
        </w:trPr>
        <w:tc>
          <w:tcPr>
            <w:tcW w:w="2180" w:type="dxa"/>
            <w:vAlign w:val="bottom"/>
          </w:tcPr>
          <w:p>
            <w:pPr>
              <w:spacing w:after="0"/>
              <w:rPr>
                <w:sz w:val="16"/>
                <w:szCs w:val="16"/>
                <w:color w:val="auto"/>
              </w:rPr>
            </w:pPr>
          </w:p>
        </w:tc>
        <w:tc>
          <w:tcPr>
            <w:tcW w:w="4100" w:type="dxa"/>
            <w:vAlign w:val="bottom"/>
          </w:tcPr>
          <w:p>
            <w:pPr>
              <w:ind w:left="1680"/>
              <w:spacing w:after="0"/>
              <w:rPr>
                <w:sz w:val="20"/>
                <w:szCs w:val="20"/>
                <w:color w:val="auto"/>
              </w:rPr>
            </w:pPr>
            <w:r>
              <w:rPr>
                <w:rFonts w:ascii="Arial" w:cs="Arial" w:eastAsia="Arial" w:hAnsi="Arial"/>
                <w:sz w:val="14"/>
                <w:szCs w:val="14"/>
                <w:b w:val="1"/>
                <w:bCs w:val="1"/>
                <w:i w:val="1"/>
                <w:iCs w:val="1"/>
                <w:color w:val="auto"/>
              </w:rPr>
              <w:t>Copies to:</w:t>
            </w:r>
          </w:p>
        </w:tc>
        <w:tc>
          <w:tcPr>
            <w:tcW w:w="2340" w:type="dxa"/>
            <w:vAlign w:val="bottom"/>
          </w:tcPr>
          <w:p>
            <w:pPr>
              <w:spacing w:after="0"/>
              <w:rPr>
                <w:sz w:val="16"/>
                <w:szCs w:val="16"/>
                <w:color w:val="auto"/>
              </w:rPr>
            </w:pPr>
          </w:p>
        </w:tc>
      </w:tr>
      <w:tr>
        <w:trPr>
          <w:trHeight w:val="234"/>
        </w:trPr>
        <w:tc>
          <w:tcPr>
            <w:tcW w:w="2180" w:type="dxa"/>
            <w:vAlign w:val="bottom"/>
          </w:tcPr>
          <w:p>
            <w:pPr>
              <w:jc w:val="center"/>
              <w:ind w:right="632"/>
              <w:spacing w:after="0"/>
              <w:rPr>
                <w:sz w:val="20"/>
                <w:szCs w:val="20"/>
                <w:color w:val="auto"/>
              </w:rPr>
            </w:pPr>
            <w:r>
              <w:rPr>
                <w:rFonts w:ascii="Arial" w:cs="Arial" w:eastAsia="Arial" w:hAnsi="Arial"/>
                <w:sz w:val="14"/>
                <w:szCs w:val="14"/>
                <w:b w:val="1"/>
                <w:bCs w:val="1"/>
                <w:color w:val="auto"/>
                <w:w w:val="98"/>
              </w:rPr>
              <w:t>Cheston J. Larson</w:t>
            </w:r>
          </w:p>
        </w:tc>
        <w:tc>
          <w:tcPr>
            <w:tcW w:w="4100" w:type="dxa"/>
            <w:vAlign w:val="bottom"/>
          </w:tcPr>
          <w:p>
            <w:pPr>
              <w:jc w:val="center"/>
              <w:ind w:left="52"/>
              <w:spacing w:after="0"/>
              <w:rPr>
                <w:sz w:val="20"/>
                <w:szCs w:val="20"/>
                <w:color w:val="auto"/>
              </w:rPr>
            </w:pPr>
            <w:r>
              <w:rPr>
                <w:rFonts w:ascii="Arial" w:cs="Arial" w:eastAsia="Arial" w:hAnsi="Arial"/>
                <w:sz w:val="14"/>
                <w:szCs w:val="14"/>
                <w:b w:val="1"/>
                <w:bCs w:val="1"/>
                <w:color w:val="auto"/>
                <w:w w:val="95"/>
              </w:rPr>
              <w:t>Jessica Oien</w:t>
            </w:r>
          </w:p>
        </w:tc>
        <w:tc>
          <w:tcPr>
            <w:tcW w:w="2340" w:type="dxa"/>
            <w:vAlign w:val="bottom"/>
          </w:tcPr>
          <w:p>
            <w:pPr>
              <w:jc w:val="center"/>
              <w:ind w:left="492"/>
              <w:spacing w:after="0"/>
              <w:rPr>
                <w:sz w:val="20"/>
                <w:szCs w:val="20"/>
                <w:color w:val="auto"/>
              </w:rPr>
            </w:pPr>
            <w:r>
              <w:rPr>
                <w:rFonts w:ascii="Arial" w:cs="Arial" w:eastAsia="Arial" w:hAnsi="Arial"/>
                <w:sz w:val="14"/>
                <w:szCs w:val="14"/>
                <w:b w:val="1"/>
                <w:bCs w:val="1"/>
                <w:color w:val="auto"/>
                <w:w w:val="99"/>
              </w:rPr>
              <w:t>Charles S. Kim</w:t>
            </w:r>
          </w:p>
        </w:tc>
      </w:tr>
      <w:tr>
        <w:trPr>
          <w:trHeight w:val="153"/>
        </w:trPr>
        <w:tc>
          <w:tcPr>
            <w:tcW w:w="2180" w:type="dxa"/>
            <w:vAlign w:val="bottom"/>
          </w:tcPr>
          <w:p>
            <w:pPr>
              <w:jc w:val="center"/>
              <w:ind w:right="632"/>
              <w:spacing w:after="0" w:line="153" w:lineRule="exact"/>
              <w:rPr>
                <w:sz w:val="20"/>
                <w:szCs w:val="20"/>
                <w:color w:val="auto"/>
              </w:rPr>
            </w:pPr>
            <w:r>
              <w:rPr>
                <w:rFonts w:ascii="Arial" w:cs="Arial" w:eastAsia="Arial" w:hAnsi="Arial"/>
                <w:sz w:val="14"/>
                <w:szCs w:val="14"/>
                <w:b w:val="1"/>
                <w:bCs w:val="1"/>
                <w:color w:val="auto"/>
                <w:w w:val="97"/>
              </w:rPr>
              <w:t>Matthew T. Bush</w:t>
            </w:r>
          </w:p>
        </w:tc>
        <w:tc>
          <w:tcPr>
            <w:tcW w:w="4100" w:type="dxa"/>
            <w:vAlign w:val="bottom"/>
          </w:tcPr>
          <w:p>
            <w:pPr>
              <w:jc w:val="center"/>
              <w:ind w:left="72"/>
              <w:spacing w:after="0" w:line="153" w:lineRule="exact"/>
              <w:rPr>
                <w:sz w:val="20"/>
                <w:szCs w:val="20"/>
                <w:color w:val="auto"/>
              </w:rPr>
            </w:pPr>
            <w:r>
              <w:rPr>
                <w:rFonts w:ascii="Arial" w:cs="Arial" w:eastAsia="Arial" w:hAnsi="Arial"/>
                <w:sz w:val="14"/>
                <w:szCs w:val="14"/>
                <w:b w:val="1"/>
                <w:bCs w:val="1"/>
                <w:color w:val="auto"/>
                <w:w w:val="97"/>
              </w:rPr>
              <w:t>Chief Legal Officer and Corporate Secretary</w:t>
            </w:r>
          </w:p>
        </w:tc>
        <w:tc>
          <w:tcPr>
            <w:tcW w:w="2340" w:type="dxa"/>
            <w:vAlign w:val="bottom"/>
          </w:tcPr>
          <w:p>
            <w:pPr>
              <w:jc w:val="center"/>
              <w:ind w:left="492"/>
              <w:spacing w:after="0" w:line="153" w:lineRule="exact"/>
              <w:rPr>
                <w:sz w:val="20"/>
                <w:szCs w:val="20"/>
                <w:color w:val="auto"/>
              </w:rPr>
            </w:pPr>
            <w:r>
              <w:rPr>
                <w:rFonts w:ascii="Arial" w:cs="Arial" w:eastAsia="Arial" w:hAnsi="Arial"/>
                <w:sz w:val="14"/>
                <w:szCs w:val="14"/>
                <w:b w:val="1"/>
                <w:bCs w:val="1"/>
                <w:color w:val="auto"/>
                <w:w w:val="96"/>
              </w:rPr>
              <w:t>Denny Won</w:t>
            </w:r>
          </w:p>
        </w:tc>
      </w:tr>
      <w:tr>
        <w:trPr>
          <w:trHeight w:val="153"/>
        </w:trPr>
        <w:tc>
          <w:tcPr>
            <w:tcW w:w="2180" w:type="dxa"/>
            <w:vAlign w:val="bottom"/>
          </w:tcPr>
          <w:p>
            <w:pPr>
              <w:jc w:val="center"/>
              <w:ind w:right="632"/>
              <w:spacing w:after="0" w:line="153" w:lineRule="exact"/>
              <w:rPr>
                <w:sz w:val="20"/>
                <w:szCs w:val="20"/>
                <w:color w:val="auto"/>
              </w:rPr>
            </w:pPr>
            <w:r>
              <w:rPr>
                <w:rFonts w:ascii="Arial" w:cs="Arial" w:eastAsia="Arial" w:hAnsi="Arial"/>
                <w:sz w:val="14"/>
                <w:szCs w:val="14"/>
                <w:b w:val="1"/>
                <w:bCs w:val="1"/>
                <w:color w:val="auto"/>
                <w:w w:val="97"/>
              </w:rPr>
              <w:t>Latham &amp; Watkins LLP</w:t>
            </w:r>
          </w:p>
        </w:tc>
        <w:tc>
          <w:tcPr>
            <w:tcW w:w="4100" w:type="dxa"/>
            <w:vAlign w:val="bottom"/>
          </w:tcPr>
          <w:p>
            <w:pPr>
              <w:jc w:val="center"/>
              <w:ind w:left="52"/>
              <w:spacing w:after="0" w:line="153" w:lineRule="exact"/>
              <w:rPr>
                <w:sz w:val="20"/>
                <w:szCs w:val="20"/>
                <w:color w:val="auto"/>
              </w:rPr>
            </w:pPr>
            <w:r>
              <w:rPr>
                <w:rFonts w:ascii="Arial" w:cs="Arial" w:eastAsia="Arial" w:hAnsi="Arial"/>
                <w:sz w:val="14"/>
                <w:szCs w:val="14"/>
                <w:b w:val="1"/>
                <w:bCs w:val="1"/>
                <w:color w:val="auto"/>
                <w:w w:val="96"/>
              </w:rPr>
              <w:t>Boundless Bio, Inc.</w:t>
            </w:r>
          </w:p>
        </w:tc>
        <w:tc>
          <w:tcPr>
            <w:tcW w:w="2340" w:type="dxa"/>
            <w:vAlign w:val="bottom"/>
          </w:tcPr>
          <w:p>
            <w:pPr>
              <w:jc w:val="center"/>
              <w:ind w:left="492"/>
              <w:spacing w:after="0" w:line="153" w:lineRule="exact"/>
              <w:rPr>
                <w:sz w:val="20"/>
                <w:szCs w:val="20"/>
                <w:color w:val="auto"/>
              </w:rPr>
            </w:pPr>
            <w:r>
              <w:rPr>
                <w:rFonts w:ascii="Arial" w:cs="Arial" w:eastAsia="Arial" w:hAnsi="Arial"/>
                <w:sz w:val="14"/>
                <w:szCs w:val="14"/>
                <w:b w:val="1"/>
                <w:bCs w:val="1"/>
                <w:color w:val="auto"/>
                <w:w w:val="99"/>
              </w:rPr>
              <w:t>Charles Bair</w:t>
            </w:r>
          </w:p>
        </w:tc>
      </w:tr>
      <w:tr>
        <w:trPr>
          <w:trHeight w:val="153"/>
        </w:trPr>
        <w:tc>
          <w:tcPr>
            <w:tcW w:w="2180" w:type="dxa"/>
            <w:vAlign w:val="bottom"/>
          </w:tcPr>
          <w:p>
            <w:pPr>
              <w:jc w:val="center"/>
              <w:ind w:right="632"/>
              <w:spacing w:after="0" w:line="153" w:lineRule="exact"/>
              <w:rPr>
                <w:sz w:val="20"/>
                <w:szCs w:val="20"/>
                <w:color w:val="auto"/>
              </w:rPr>
            </w:pPr>
            <w:r>
              <w:rPr>
                <w:rFonts w:ascii="Arial" w:cs="Arial" w:eastAsia="Arial" w:hAnsi="Arial"/>
                <w:sz w:val="14"/>
                <w:szCs w:val="14"/>
                <w:b w:val="1"/>
                <w:bCs w:val="1"/>
                <w:color w:val="auto"/>
                <w:w w:val="96"/>
              </w:rPr>
              <w:t>12670 High Bluff Drive</w:t>
            </w:r>
          </w:p>
        </w:tc>
        <w:tc>
          <w:tcPr>
            <w:tcW w:w="4100" w:type="dxa"/>
            <w:vAlign w:val="bottom"/>
          </w:tcPr>
          <w:p>
            <w:pPr>
              <w:jc w:val="center"/>
              <w:ind w:left="52"/>
              <w:spacing w:after="0" w:line="153" w:lineRule="exact"/>
              <w:rPr>
                <w:sz w:val="20"/>
                <w:szCs w:val="20"/>
                <w:color w:val="auto"/>
              </w:rPr>
            </w:pPr>
            <w:r>
              <w:rPr>
                <w:rFonts w:ascii="Arial" w:cs="Arial" w:eastAsia="Arial" w:hAnsi="Arial"/>
                <w:sz w:val="14"/>
                <w:szCs w:val="14"/>
                <w:b w:val="1"/>
                <w:bCs w:val="1"/>
                <w:color w:val="auto"/>
                <w:w w:val="96"/>
              </w:rPr>
              <w:t>9880 Campus Point Drive, Suite 120</w:t>
            </w:r>
          </w:p>
        </w:tc>
        <w:tc>
          <w:tcPr>
            <w:tcW w:w="2340" w:type="dxa"/>
            <w:vAlign w:val="bottom"/>
          </w:tcPr>
          <w:p>
            <w:pPr>
              <w:jc w:val="center"/>
              <w:ind w:left="492"/>
              <w:spacing w:after="0" w:line="153" w:lineRule="exact"/>
              <w:rPr>
                <w:sz w:val="20"/>
                <w:szCs w:val="20"/>
                <w:color w:val="auto"/>
              </w:rPr>
            </w:pPr>
            <w:r>
              <w:rPr>
                <w:rFonts w:ascii="Arial" w:cs="Arial" w:eastAsia="Arial" w:hAnsi="Arial"/>
                <w:sz w:val="14"/>
                <w:szCs w:val="14"/>
                <w:b w:val="1"/>
                <w:bCs w:val="1"/>
                <w:color w:val="auto"/>
                <w:w w:val="96"/>
              </w:rPr>
              <w:t>Cooley LLP</w:t>
            </w:r>
          </w:p>
        </w:tc>
      </w:tr>
      <w:tr>
        <w:trPr>
          <w:trHeight w:val="153"/>
        </w:trPr>
        <w:tc>
          <w:tcPr>
            <w:tcW w:w="2180" w:type="dxa"/>
            <w:vAlign w:val="bottom"/>
          </w:tcPr>
          <w:p>
            <w:pPr>
              <w:jc w:val="center"/>
              <w:ind w:right="632"/>
              <w:spacing w:after="0" w:line="153" w:lineRule="exact"/>
              <w:rPr>
                <w:sz w:val="20"/>
                <w:szCs w:val="20"/>
                <w:color w:val="auto"/>
              </w:rPr>
            </w:pPr>
            <w:r>
              <w:rPr>
                <w:rFonts w:ascii="Arial" w:cs="Arial" w:eastAsia="Arial" w:hAnsi="Arial"/>
                <w:sz w:val="14"/>
                <w:szCs w:val="14"/>
                <w:b w:val="1"/>
                <w:bCs w:val="1"/>
                <w:color w:val="auto"/>
                <w:w w:val="97"/>
              </w:rPr>
              <w:t>San Diego, CA 92130</w:t>
            </w:r>
          </w:p>
        </w:tc>
        <w:tc>
          <w:tcPr>
            <w:tcW w:w="4100" w:type="dxa"/>
            <w:vAlign w:val="bottom"/>
          </w:tcPr>
          <w:p>
            <w:pPr>
              <w:jc w:val="center"/>
              <w:ind w:left="72"/>
              <w:spacing w:after="0" w:line="153" w:lineRule="exact"/>
              <w:rPr>
                <w:sz w:val="20"/>
                <w:szCs w:val="20"/>
                <w:color w:val="auto"/>
              </w:rPr>
            </w:pPr>
            <w:r>
              <w:rPr>
                <w:rFonts w:ascii="Arial" w:cs="Arial" w:eastAsia="Arial" w:hAnsi="Arial"/>
                <w:sz w:val="14"/>
                <w:szCs w:val="14"/>
                <w:b w:val="1"/>
                <w:bCs w:val="1"/>
                <w:color w:val="auto"/>
                <w:w w:val="97"/>
              </w:rPr>
              <w:t>San Diego, CA 92121</w:t>
            </w:r>
          </w:p>
        </w:tc>
        <w:tc>
          <w:tcPr>
            <w:tcW w:w="2340" w:type="dxa"/>
            <w:vAlign w:val="bottom"/>
          </w:tcPr>
          <w:p>
            <w:pPr>
              <w:jc w:val="center"/>
              <w:ind w:left="492"/>
              <w:spacing w:after="0" w:line="153" w:lineRule="exact"/>
              <w:rPr>
                <w:sz w:val="20"/>
                <w:szCs w:val="20"/>
                <w:color w:val="auto"/>
              </w:rPr>
            </w:pPr>
            <w:r>
              <w:rPr>
                <w:rFonts w:ascii="Arial" w:cs="Arial" w:eastAsia="Arial" w:hAnsi="Arial"/>
                <w:sz w:val="14"/>
                <w:szCs w:val="14"/>
                <w:b w:val="1"/>
                <w:bCs w:val="1"/>
                <w:color w:val="auto"/>
                <w:w w:val="97"/>
              </w:rPr>
              <w:t>10265 Science Center Drive</w:t>
            </w:r>
          </w:p>
        </w:tc>
      </w:tr>
      <w:tr>
        <w:trPr>
          <w:trHeight w:val="153"/>
        </w:trPr>
        <w:tc>
          <w:tcPr>
            <w:tcW w:w="2180" w:type="dxa"/>
            <w:vAlign w:val="bottom"/>
          </w:tcPr>
          <w:p>
            <w:pPr>
              <w:jc w:val="center"/>
              <w:ind w:right="632"/>
              <w:spacing w:after="0" w:line="153" w:lineRule="exact"/>
              <w:rPr>
                <w:sz w:val="20"/>
                <w:szCs w:val="20"/>
                <w:color w:val="auto"/>
              </w:rPr>
            </w:pPr>
            <w:r>
              <w:rPr>
                <w:rFonts w:ascii="Arial" w:cs="Arial" w:eastAsia="Arial" w:hAnsi="Arial"/>
                <w:sz w:val="14"/>
                <w:szCs w:val="14"/>
                <w:b w:val="1"/>
                <w:bCs w:val="1"/>
                <w:color w:val="auto"/>
                <w:w w:val="96"/>
              </w:rPr>
              <w:t>(858) 523-5400</w:t>
            </w:r>
          </w:p>
        </w:tc>
        <w:tc>
          <w:tcPr>
            <w:tcW w:w="4100" w:type="dxa"/>
            <w:vAlign w:val="bottom"/>
          </w:tcPr>
          <w:p>
            <w:pPr>
              <w:jc w:val="center"/>
              <w:ind w:left="52"/>
              <w:spacing w:after="0" w:line="153" w:lineRule="exact"/>
              <w:rPr>
                <w:sz w:val="20"/>
                <w:szCs w:val="20"/>
                <w:color w:val="auto"/>
              </w:rPr>
            </w:pPr>
            <w:r>
              <w:rPr>
                <w:rFonts w:ascii="Arial" w:cs="Arial" w:eastAsia="Arial" w:hAnsi="Arial"/>
                <w:sz w:val="14"/>
                <w:szCs w:val="14"/>
                <w:b w:val="1"/>
                <w:bCs w:val="1"/>
                <w:color w:val="auto"/>
                <w:w w:val="98"/>
              </w:rPr>
              <w:t>(858) 766-9912</w:t>
            </w:r>
          </w:p>
        </w:tc>
        <w:tc>
          <w:tcPr>
            <w:tcW w:w="2340" w:type="dxa"/>
            <w:vAlign w:val="bottom"/>
          </w:tcPr>
          <w:p>
            <w:pPr>
              <w:jc w:val="center"/>
              <w:ind w:left="492"/>
              <w:spacing w:after="0" w:line="153" w:lineRule="exact"/>
              <w:rPr>
                <w:sz w:val="20"/>
                <w:szCs w:val="20"/>
                <w:color w:val="auto"/>
              </w:rPr>
            </w:pPr>
            <w:r>
              <w:rPr>
                <w:rFonts w:ascii="Arial" w:cs="Arial" w:eastAsia="Arial" w:hAnsi="Arial"/>
                <w:sz w:val="14"/>
                <w:szCs w:val="14"/>
                <w:b w:val="1"/>
                <w:bCs w:val="1"/>
                <w:color w:val="auto"/>
                <w:w w:val="96"/>
              </w:rPr>
              <w:t>San Diego, CA 92121</w:t>
            </w:r>
          </w:p>
        </w:tc>
      </w:tr>
      <w:tr>
        <w:trPr>
          <w:trHeight w:val="187"/>
        </w:trPr>
        <w:tc>
          <w:tcPr>
            <w:tcW w:w="21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340" w:type="dxa"/>
            <w:vAlign w:val="bottom"/>
          </w:tcPr>
          <w:p>
            <w:pPr>
              <w:jc w:val="center"/>
              <w:ind w:left="492"/>
              <w:spacing w:after="0"/>
              <w:rPr>
                <w:sz w:val="20"/>
                <w:szCs w:val="20"/>
                <w:color w:val="auto"/>
              </w:rPr>
            </w:pPr>
            <w:r>
              <w:rPr>
                <w:rFonts w:ascii="Arial" w:cs="Arial" w:eastAsia="Arial" w:hAnsi="Arial"/>
                <w:sz w:val="14"/>
                <w:szCs w:val="14"/>
                <w:b w:val="1"/>
                <w:bCs w:val="1"/>
                <w:color w:val="auto"/>
                <w:w w:val="98"/>
              </w:rPr>
              <w:t>(858) 550-6000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57785</wp:posOffset>
            </wp:positionV>
            <wp:extent cx="21907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90750" cy="8255"/>
                    </a:xfrm>
                    <a:prstGeom prst="rect">
                      <a:avLst/>
                    </a:prstGeom>
                    <a:noFill/>
                  </pic:spPr>
                </pic:pic>
              </a:graphicData>
            </a:graphic>
          </wp:anchor>
        </w:drawing>
      </w:r>
    </w:p>
    <w:p>
      <w:pPr>
        <w:spacing w:after="0" w:line="168" w:lineRule="exact"/>
        <w:rPr>
          <w:sz w:val="24"/>
          <w:szCs w:val="24"/>
          <w:color w:val="auto"/>
        </w:rPr>
      </w:pPr>
    </w:p>
    <w:p>
      <w:pPr>
        <w:ind w:left="940"/>
        <w:spacing w:after="0"/>
        <w:rPr>
          <w:sz w:val="20"/>
          <w:szCs w:val="20"/>
          <w:color w:val="auto"/>
        </w:rPr>
      </w:pPr>
      <w:r>
        <w:rPr>
          <w:rFonts w:ascii="Arial" w:cs="Arial" w:eastAsia="Arial" w:hAnsi="Arial"/>
          <w:sz w:val="12"/>
          <w:szCs w:val="12"/>
          <w:b w:val="1"/>
          <w:bCs w:val="1"/>
          <w:color w:val="auto"/>
        </w:rPr>
        <w:t xml:space="preserve">Approximate date of commencement of proposed sale to the public: </w:t>
      </w:r>
      <w:r>
        <w:rPr>
          <w:rFonts w:ascii="Arial" w:cs="Arial" w:eastAsia="Arial" w:hAnsi="Arial"/>
          <w:sz w:val="12"/>
          <w:szCs w:val="12"/>
          <w:color w:val="auto"/>
        </w:rPr>
        <w:t>As soon as practicable after this Registration Statement is declared effective.</w:t>
      </w:r>
    </w:p>
    <w:p>
      <w:pPr>
        <w:spacing w:after="0" w:line="78" w:lineRule="exact"/>
        <w:rPr>
          <w:sz w:val="24"/>
          <w:szCs w:val="24"/>
          <w:color w:val="auto"/>
        </w:rPr>
      </w:pPr>
    </w:p>
    <w:p>
      <w:pPr>
        <w:ind w:left="940"/>
        <w:spacing w:after="0" w:line="127" w:lineRule="exact"/>
        <w:rPr>
          <w:sz w:val="20"/>
          <w:szCs w:val="20"/>
          <w:color w:val="auto"/>
        </w:rPr>
      </w:pPr>
      <w:r>
        <w:rPr>
          <w:rFonts w:ascii="Arial" w:cs="Arial" w:eastAsia="Arial" w:hAnsi="Arial"/>
          <w:sz w:val="11"/>
          <w:szCs w:val="11"/>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1"/>
          <w:szCs w:val="11"/>
          <w:color w:val="auto"/>
        </w:rPr>
        <w:t>☐</w:t>
      </w:r>
    </w:p>
    <w:p>
      <w:pPr>
        <w:spacing w:after="0" w:line="130" w:lineRule="exact"/>
        <w:rPr>
          <w:sz w:val="24"/>
          <w:szCs w:val="24"/>
          <w:color w:val="auto"/>
        </w:rPr>
      </w:pPr>
    </w:p>
    <w:p>
      <w:pPr>
        <w:ind w:left="420" w:right="100" w:firstLine="521"/>
        <w:spacing w:after="0" w:line="157" w:lineRule="exact"/>
        <w:rPr>
          <w:sz w:val="20"/>
          <w:szCs w:val="20"/>
          <w:color w:val="auto"/>
        </w:rPr>
      </w:pPr>
      <w:r>
        <w:rPr>
          <w:rFonts w:ascii="Arial" w:cs="Arial" w:eastAsia="Arial" w:hAnsi="Arial"/>
          <w:sz w:val="12"/>
          <w:szCs w:val="12"/>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57" w:lineRule="exact"/>
        <w:rPr>
          <w:sz w:val="24"/>
          <w:szCs w:val="24"/>
          <w:color w:val="auto"/>
        </w:rPr>
      </w:pPr>
    </w:p>
    <w:p>
      <w:pPr>
        <w:ind w:left="420" w:right="240" w:firstLine="521"/>
        <w:spacing w:after="0" w:line="157" w:lineRule="exact"/>
        <w:rPr>
          <w:sz w:val="20"/>
          <w:szCs w:val="20"/>
          <w:color w:val="auto"/>
        </w:rPr>
      </w:pPr>
      <w:r>
        <w:rPr>
          <w:rFonts w:ascii="Arial" w:cs="Arial" w:eastAsia="Arial" w:hAnsi="Arial"/>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57" w:lineRule="exact"/>
        <w:rPr>
          <w:sz w:val="24"/>
          <w:szCs w:val="24"/>
          <w:color w:val="auto"/>
        </w:rPr>
      </w:pPr>
    </w:p>
    <w:p>
      <w:pPr>
        <w:ind w:left="420" w:right="240" w:firstLine="521"/>
        <w:spacing w:after="0" w:line="157" w:lineRule="exact"/>
        <w:rPr>
          <w:sz w:val="20"/>
          <w:szCs w:val="20"/>
          <w:color w:val="auto"/>
        </w:rPr>
      </w:pPr>
      <w:r>
        <w:rPr>
          <w:rFonts w:ascii="Arial" w:cs="Arial" w:eastAsia="Arial" w:hAnsi="Arial"/>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57" w:lineRule="exact"/>
        <w:rPr>
          <w:sz w:val="24"/>
          <w:szCs w:val="24"/>
          <w:color w:val="auto"/>
        </w:rPr>
      </w:pPr>
    </w:p>
    <w:p>
      <w:pPr>
        <w:ind w:left="420" w:right="140" w:firstLine="521"/>
        <w:spacing w:after="0" w:line="25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2" w:lineRule="exact"/>
        <w:rPr>
          <w:sz w:val="24"/>
          <w:szCs w:val="24"/>
          <w:color w:val="auto"/>
        </w:rPr>
      </w:pPr>
    </w:p>
    <w:tbl>
      <w:tblPr>
        <w:tblLayout w:type="fixed"/>
        <w:tblInd w:w="420" w:type="dxa"/>
        <w:tblCellMar>
          <w:top w:w="0" w:type="dxa"/>
          <w:left w:w="0" w:type="dxa"/>
          <w:bottom w:w="0" w:type="dxa"/>
          <w:right w:w="0" w:type="dxa"/>
        </w:tblCellMar>
      </w:tblPr>
      <w:tr>
        <w:trPr>
          <w:trHeight w:val="201"/>
        </w:trPr>
        <w:tc>
          <w:tcPr>
            <w:tcW w:w="206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2960" w:type="dxa"/>
            <w:vAlign w:val="bottom"/>
          </w:tcPr>
          <w:p>
            <w:pPr>
              <w:ind w:left="860"/>
              <w:spacing w:after="0" w:line="121" w:lineRule="exact"/>
              <w:rPr>
                <w:sz w:val="20"/>
                <w:szCs w:val="20"/>
                <w:color w:val="auto"/>
              </w:rPr>
            </w:pPr>
            <w:r>
              <w:rPr>
                <w:rFonts w:ascii="MS PGothic" w:cs="MS PGothic" w:eastAsia="MS PGothic" w:hAnsi="MS PGothic"/>
                <w:sz w:val="12"/>
                <w:szCs w:val="12"/>
                <w:color w:val="auto"/>
              </w:rPr>
              <w:t>☐</w:t>
            </w:r>
          </w:p>
        </w:tc>
        <w:tc>
          <w:tcPr>
            <w:tcW w:w="4340" w:type="dxa"/>
            <w:vAlign w:val="bottom"/>
          </w:tcPr>
          <w:p>
            <w:pPr>
              <w:ind w:left="1980"/>
              <w:spacing w:after="0"/>
              <w:rPr>
                <w:sz w:val="20"/>
                <w:szCs w:val="20"/>
                <w:color w:val="auto"/>
              </w:rPr>
            </w:pPr>
            <w:r>
              <w:rPr>
                <w:rFonts w:ascii="Arial" w:cs="Arial" w:eastAsia="Arial" w:hAnsi="Arial"/>
                <w:sz w:val="12"/>
                <w:szCs w:val="12"/>
                <w:color w:val="auto"/>
              </w:rPr>
              <w:t>Accelerated filer</w:t>
            </w:r>
          </w:p>
        </w:tc>
        <w:tc>
          <w:tcPr>
            <w:tcW w:w="1060" w:type="dxa"/>
            <w:vAlign w:val="bottom"/>
          </w:tcPr>
          <w:p>
            <w:pPr>
              <w:ind w:left="9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43"/>
        </w:trPr>
        <w:tc>
          <w:tcPr>
            <w:tcW w:w="2060" w:type="dxa"/>
            <w:vAlign w:val="bottom"/>
          </w:tcPr>
          <w:p>
            <w:pPr>
              <w:spacing w:after="0"/>
              <w:rPr>
                <w:sz w:val="20"/>
                <w:szCs w:val="20"/>
                <w:color w:val="auto"/>
              </w:rPr>
            </w:pPr>
            <w:r>
              <w:rPr>
                <w:rFonts w:ascii="Arial" w:cs="Arial" w:eastAsia="Arial" w:hAnsi="Arial"/>
                <w:sz w:val="12"/>
                <w:szCs w:val="12"/>
                <w:color w:val="auto"/>
              </w:rPr>
              <w:t>Non-accelerated filer</w:t>
            </w:r>
          </w:p>
        </w:tc>
        <w:tc>
          <w:tcPr>
            <w:tcW w:w="2960" w:type="dxa"/>
            <w:vAlign w:val="bottom"/>
          </w:tcPr>
          <w:p>
            <w:pPr>
              <w:ind w:left="860"/>
              <w:spacing w:after="0" w:line="121" w:lineRule="exact"/>
              <w:rPr>
                <w:sz w:val="20"/>
                <w:szCs w:val="20"/>
                <w:color w:val="auto"/>
              </w:rPr>
            </w:pPr>
            <w:r>
              <w:rPr>
                <w:rFonts w:ascii="MS PGothic" w:cs="MS PGothic" w:eastAsia="MS PGothic" w:hAnsi="MS PGothic"/>
                <w:sz w:val="12"/>
                <w:szCs w:val="12"/>
                <w:color w:val="auto"/>
              </w:rPr>
              <w:t>☒</w:t>
            </w:r>
          </w:p>
        </w:tc>
        <w:tc>
          <w:tcPr>
            <w:tcW w:w="4340" w:type="dxa"/>
            <w:vAlign w:val="bottom"/>
          </w:tcPr>
          <w:p>
            <w:pPr>
              <w:ind w:left="1980"/>
              <w:spacing w:after="0"/>
              <w:rPr>
                <w:sz w:val="20"/>
                <w:szCs w:val="20"/>
                <w:color w:val="auto"/>
              </w:rPr>
            </w:pPr>
            <w:r>
              <w:rPr>
                <w:rFonts w:ascii="Arial" w:cs="Arial" w:eastAsia="Arial" w:hAnsi="Arial"/>
                <w:sz w:val="12"/>
                <w:szCs w:val="12"/>
                <w:color w:val="auto"/>
              </w:rPr>
              <w:t>Smaller reporting company</w:t>
            </w:r>
          </w:p>
        </w:tc>
        <w:tc>
          <w:tcPr>
            <w:tcW w:w="1060" w:type="dxa"/>
            <w:vAlign w:val="bottom"/>
          </w:tcPr>
          <w:p>
            <w:pPr>
              <w:ind w:left="9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43"/>
        </w:trPr>
        <w:tc>
          <w:tcPr>
            <w:tcW w:w="206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4340" w:type="dxa"/>
            <w:vAlign w:val="bottom"/>
          </w:tcPr>
          <w:p>
            <w:pPr>
              <w:ind w:left="1980"/>
              <w:spacing w:after="0"/>
              <w:rPr>
                <w:sz w:val="20"/>
                <w:szCs w:val="20"/>
                <w:color w:val="auto"/>
              </w:rPr>
            </w:pPr>
            <w:r>
              <w:rPr>
                <w:rFonts w:ascii="Arial" w:cs="Arial" w:eastAsia="Arial" w:hAnsi="Arial"/>
                <w:sz w:val="12"/>
                <w:szCs w:val="12"/>
                <w:color w:val="auto"/>
              </w:rPr>
              <w:t>Emerging growth company</w:t>
            </w:r>
          </w:p>
        </w:tc>
        <w:tc>
          <w:tcPr>
            <w:tcW w:w="1060" w:type="dxa"/>
            <w:vAlign w:val="bottom"/>
          </w:tcPr>
          <w:p>
            <w:pPr>
              <w:ind w:left="96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56" w:lineRule="exact"/>
        <w:rPr>
          <w:sz w:val="24"/>
          <w:szCs w:val="24"/>
          <w:color w:val="auto"/>
        </w:rPr>
      </w:pPr>
    </w:p>
    <w:p>
      <w:pPr>
        <w:ind w:left="420" w:right="240" w:firstLine="521"/>
        <w:spacing w:after="0" w:line="157"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120015</wp:posOffset>
            </wp:positionV>
            <wp:extent cx="21907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90750" cy="8255"/>
                    </a:xfrm>
                    <a:prstGeom prst="rect">
                      <a:avLst/>
                    </a:prstGeom>
                    <a:noFill/>
                  </pic:spPr>
                </pic:pic>
              </a:graphicData>
            </a:graphic>
          </wp:anchor>
        </w:drawing>
      </w:r>
    </w:p>
    <w:p>
      <w:pPr>
        <w:spacing w:after="0" w:line="267" w:lineRule="exact"/>
        <w:rPr>
          <w:sz w:val="24"/>
          <w:szCs w:val="24"/>
          <w:color w:val="auto"/>
        </w:rPr>
      </w:pPr>
    </w:p>
    <w:p>
      <w:pPr>
        <w:ind w:left="420" w:right="220" w:firstLine="521"/>
        <w:spacing w:after="0" w:line="244"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52070</wp:posOffset>
            </wp:positionV>
            <wp:extent cx="66205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20510" cy="825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92710</wp:posOffset>
            </wp:positionV>
            <wp:extent cx="66205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20510" cy="8255"/>
                    </a:xfrm>
                    <a:prstGeom prst="rect">
                      <a:avLst/>
                    </a:prstGeom>
                    <a:noFill/>
                  </pic:spPr>
                </pic:pic>
              </a:graphicData>
            </a:graphic>
          </wp:anchor>
        </w:drawing>
      </w:r>
    </w:p>
    <w:p>
      <w:pPr>
        <w:sectPr>
          <w:pgSz w:w="11900" w:h="16838" w:orient="portrait"/>
          <w:cols w:equalWidth="0" w:num="1">
            <w:col w:w="10840"/>
          </w:cols>
          <w:pgMar w:left="320" w:top="222" w:right="7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100"/>
        <w:spacing w:after="0" w:line="252" w:lineRule="auto"/>
        <w:rPr>
          <w:sz w:val="20"/>
          <w:szCs w:val="20"/>
          <w:color w:val="auto"/>
        </w:rPr>
      </w:pPr>
      <w:r>
        <w:rPr>
          <w:rFonts w:ascii="Arial" w:cs="Arial" w:eastAsia="Arial" w:hAnsi="Arial"/>
          <w:sz w:val="17"/>
          <w:szCs w:val="17"/>
          <w:color w:val="EB0029"/>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or other jurisdiction where the offer or sale is not permitted.</w:t>
      </w:r>
    </w:p>
    <w:p>
      <w:pPr>
        <w:spacing w:after="0" w:line="100" w:lineRule="exact"/>
        <w:rPr>
          <w:sz w:val="20"/>
          <w:szCs w:val="20"/>
          <w:color w:val="auto"/>
        </w:rPr>
      </w:pPr>
    </w:p>
    <w:p>
      <w:pPr>
        <w:ind w:left="3900"/>
        <w:spacing w:after="0"/>
        <w:rPr>
          <w:sz w:val="20"/>
          <w:szCs w:val="20"/>
          <w:color w:val="auto"/>
        </w:rPr>
      </w:pPr>
      <w:r>
        <w:rPr>
          <w:rFonts w:ascii="Arial" w:cs="Arial" w:eastAsia="Arial" w:hAnsi="Arial"/>
          <w:sz w:val="17"/>
          <w:szCs w:val="17"/>
          <w:color w:val="EB0029"/>
        </w:rPr>
        <w:t>Subject to Completion, Dated March 21, 2024</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7"/>
          <w:szCs w:val="17"/>
          <w:color w:val="EB0029"/>
        </w:rPr>
        <w:t>PRELIMINARY PROSPECTUS</w:t>
      </w:r>
    </w:p>
    <w:p>
      <w:pPr>
        <w:spacing w:after="0" w:line="195" w:lineRule="exact"/>
        <w:rPr>
          <w:sz w:val="20"/>
          <w:szCs w:val="20"/>
          <w:color w:val="auto"/>
        </w:rPr>
      </w:pPr>
    </w:p>
    <w:p>
      <w:pPr>
        <w:jc w:val="center"/>
        <w:ind w:right="-399"/>
        <w:spacing w:after="0"/>
        <w:rPr>
          <w:sz w:val="20"/>
          <w:szCs w:val="20"/>
          <w:color w:val="auto"/>
        </w:rPr>
      </w:pPr>
      <w:r>
        <w:rPr>
          <w:rFonts w:ascii="Arial" w:cs="Arial" w:eastAsia="Arial" w:hAnsi="Arial"/>
          <w:sz w:val="24"/>
          <w:szCs w:val="24"/>
          <w:color w:val="auto"/>
        </w:rPr>
        <w:t>6,250,000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1964690</wp:posOffset>
            </wp:positionH>
            <wp:positionV relativeFrom="paragraph">
              <wp:posOffset>163830</wp:posOffset>
            </wp:positionV>
            <wp:extent cx="3220720" cy="487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20720" cy="48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9"/>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2711450</wp:posOffset>
            </wp:positionH>
            <wp:positionV relativeFrom="paragraph">
              <wp:posOffset>228600</wp:posOffset>
            </wp:positionV>
            <wp:extent cx="17202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20215"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940"/>
        <w:spacing w:after="0"/>
        <w:rPr>
          <w:sz w:val="20"/>
          <w:szCs w:val="20"/>
          <w:color w:val="auto"/>
        </w:rPr>
      </w:pPr>
      <w:r>
        <w:rPr>
          <w:rFonts w:ascii="Arial" w:cs="Arial" w:eastAsia="Arial" w:hAnsi="Arial"/>
          <w:sz w:val="15"/>
          <w:szCs w:val="15"/>
          <w:color w:val="auto"/>
        </w:rPr>
        <w:t>This is the initial public offering of shares of common stock by Boundless Bio, Inc. We are offering 6,250,000 shares of our common stock.</w:t>
      </w:r>
    </w:p>
    <w:p>
      <w:pPr>
        <w:spacing w:after="0" w:line="211" w:lineRule="exact"/>
        <w:rPr>
          <w:sz w:val="20"/>
          <w:szCs w:val="20"/>
          <w:color w:val="auto"/>
        </w:rPr>
      </w:pPr>
    </w:p>
    <w:p>
      <w:pPr>
        <w:ind w:left="420" w:firstLine="521"/>
        <w:spacing w:after="0" w:line="268" w:lineRule="auto"/>
        <w:rPr>
          <w:sz w:val="20"/>
          <w:szCs w:val="20"/>
          <w:color w:val="auto"/>
        </w:rPr>
      </w:pPr>
      <w:r>
        <w:rPr>
          <w:rFonts w:ascii="Arial" w:cs="Arial" w:eastAsia="Arial" w:hAnsi="Arial"/>
          <w:sz w:val="15"/>
          <w:szCs w:val="15"/>
          <w:color w:val="auto"/>
        </w:rPr>
        <w:t>Prior to this offering, there has been no public market for our common stock. It is currently estimated that the initial public offering price will be between $15.00 and $17.00 per share. We have applied to list our common stock on the Nasdaq Global Select Market under the symbol “BOLD,” and this offering is contingent upon obtaining such approval.</w:t>
      </w:r>
    </w:p>
    <w:p>
      <w:pPr>
        <w:spacing w:after="0" w:line="163" w:lineRule="exact"/>
        <w:rPr>
          <w:sz w:val="20"/>
          <w:szCs w:val="20"/>
          <w:color w:val="auto"/>
        </w:rPr>
      </w:pPr>
    </w:p>
    <w:p>
      <w:pPr>
        <w:ind w:left="420" w:right="460" w:firstLine="521"/>
        <w:spacing w:after="0" w:line="288" w:lineRule="auto"/>
        <w:rPr>
          <w:sz w:val="20"/>
          <w:szCs w:val="20"/>
          <w:color w:val="auto"/>
        </w:rPr>
      </w:pPr>
      <w:r>
        <w:rPr>
          <w:rFonts w:ascii="Arial" w:cs="Arial" w:eastAsia="Arial" w:hAnsi="Arial"/>
          <w:sz w:val="15"/>
          <w:szCs w:val="15"/>
          <w:color w:val="auto"/>
        </w:rPr>
        <w:t>We are an “emerging growth company” and a “smaller reporting company” as defined under U.S. federal securities laws and, as such, have elected to comply with certain reduced public company reporting requirements in this prospectus and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2711450</wp:posOffset>
            </wp:positionH>
            <wp:positionV relativeFrom="paragraph">
              <wp:posOffset>182880</wp:posOffset>
            </wp:positionV>
            <wp:extent cx="17202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20215"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820"/>
        <w:spacing w:after="0"/>
        <w:rPr>
          <w:sz w:val="20"/>
          <w:szCs w:val="20"/>
          <w:color w:val="auto"/>
        </w:rPr>
      </w:pPr>
      <w:r>
        <w:rPr>
          <w:rFonts w:ascii="Arial" w:cs="Arial" w:eastAsia="Arial" w:hAnsi="Arial"/>
          <w:sz w:val="15"/>
          <w:szCs w:val="15"/>
          <w:i w:val="1"/>
          <w:iCs w:val="1"/>
          <w:color w:val="auto"/>
        </w:rPr>
        <w:t>See section titled “</w:t>
      </w:r>
      <w:r>
        <w:rPr>
          <w:rFonts w:ascii="Arial" w:cs="Arial" w:eastAsia="Arial" w:hAnsi="Arial"/>
          <w:sz w:val="15"/>
          <w:szCs w:val="15"/>
          <w:i w:val="1"/>
          <w:iCs w:val="1"/>
          <w:u w:val="single" w:color="auto"/>
          <w:color w:val="0000EE"/>
        </w:rPr>
        <w:t>Risk Factors</w:t>
      </w:r>
      <w:r>
        <w:rPr>
          <w:rFonts w:ascii="Arial" w:cs="Arial" w:eastAsia="Arial" w:hAnsi="Arial"/>
          <w:sz w:val="15"/>
          <w:szCs w:val="15"/>
          <w:i w:val="1"/>
          <w:iCs w:val="1"/>
          <w:color w:val="auto"/>
        </w:rPr>
        <w:t>” beginning on page 14 to read about factors you should consider before deciding to invest in shares of our common</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5"/>
          <w:szCs w:val="15"/>
          <w:i w:val="1"/>
          <w:iCs w:val="1"/>
          <w:color w:val="auto"/>
        </w:rPr>
        <w:t>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2711450</wp:posOffset>
            </wp:positionH>
            <wp:positionV relativeFrom="paragraph">
              <wp:posOffset>213995</wp:posOffset>
            </wp:positionV>
            <wp:extent cx="17202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20215"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420" w:right="120" w:firstLine="417"/>
        <w:spacing w:after="0" w:line="302"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nor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2711450</wp:posOffset>
            </wp:positionH>
            <wp:positionV relativeFrom="paragraph">
              <wp:posOffset>171450</wp:posOffset>
            </wp:positionV>
            <wp:extent cx="17202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20215"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ind w:left="240"/>
              <w:spacing w:after="0"/>
              <w:rPr>
                <w:sz w:val="20"/>
                <w:szCs w:val="20"/>
                <w:color w:val="auto"/>
              </w:rPr>
            </w:pPr>
            <w:r>
              <w:rPr>
                <w:rFonts w:ascii="Arial" w:cs="Arial" w:eastAsia="Arial" w:hAnsi="Arial"/>
                <w:sz w:val="17"/>
                <w:szCs w:val="17"/>
                <w:color w:val="auto"/>
              </w:rPr>
              <w:t> </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8"/>
        </w:trPr>
        <w:tc>
          <w:tcPr>
            <w:tcW w:w="7900" w:type="dxa"/>
            <w:vAlign w:val="bottom"/>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Arial" w:cs="Arial" w:eastAsia="Arial" w:hAnsi="Arial"/>
                <w:sz w:val="17"/>
                <w:szCs w:val="17"/>
                <w:color w:val="auto"/>
              </w:rPr>
              <w:t>Per Share </w:t>
            </w:r>
          </w:p>
        </w:tc>
        <w:tc>
          <w:tcPr>
            <w:tcW w:w="900" w:type="dxa"/>
            <w:vAlign w:val="bottom"/>
            <w:gridSpan w:val="2"/>
          </w:tcPr>
          <w:p>
            <w:pPr>
              <w:ind w:left="240"/>
              <w:spacing w:after="0"/>
              <w:rPr>
                <w:sz w:val="20"/>
                <w:szCs w:val="20"/>
                <w:color w:val="auto"/>
              </w:rPr>
            </w:pPr>
            <w:r>
              <w:rPr>
                <w:rFonts w:ascii="Arial" w:cs="Arial" w:eastAsia="Arial" w:hAnsi="Arial"/>
                <w:sz w:val="17"/>
                <w:szCs w:val="17"/>
                <w:color w:val="auto"/>
              </w:rPr>
              <w:t>Total</w:t>
            </w:r>
          </w:p>
        </w:tc>
      </w:tr>
      <w:tr>
        <w:trPr>
          <w:trHeight w:val="210"/>
        </w:trPr>
        <w:tc>
          <w:tcPr>
            <w:tcW w:w="7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Initial public offering price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 xml:space="preserve">          </w:t>
            </w:r>
          </w:p>
        </w:tc>
        <w:tc>
          <w:tcPr>
            <w:tcW w:w="6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 xml:space="preserve">$           </w:t>
            </w:r>
          </w:p>
        </w:tc>
        <w:tc>
          <w:tcPr>
            <w:tcW w:w="60" w:type="dxa"/>
            <w:vAlign w:val="bottom"/>
            <w:tcBorders>
              <w:top w:val="single" w:sz="8" w:color="CCEEFF"/>
            </w:tcBorders>
            <w:shd w:val="clear" w:color="auto" w:fill="CCEEFF"/>
          </w:tcPr>
          <w:p>
            <w:pPr>
              <w:spacing w:after="0"/>
              <w:rPr>
                <w:sz w:val="18"/>
                <w:szCs w:val="18"/>
                <w:color w:val="auto"/>
              </w:rPr>
            </w:pPr>
          </w:p>
        </w:tc>
      </w:tr>
      <w:tr>
        <w:trPr>
          <w:trHeight w:val="217"/>
        </w:trPr>
        <w:tc>
          <w:tcPr>
            <w:tcW w:w="7900" w:type="dxa"/>
            <w:vAlign w:val="bottom"/>
          </w:tcPr>
          <w:p>
            <w:pPr>
              <w:spacing w:after="0" w:line="217" w:lineRule="exact"/>
              <w:rPr>
                <w:sz w:val="20"/>
                <w:szCs w:val="20"/>
                <w:color w:val="auto"/>
              </w:rPr>
            </w:pPr>
            <w:r>
              <w:rPr>
                <w:rFonts w:ascii="Arial" w:cs="Arial" w:eastAsia="Arial" w:hAnsi="Arial"/>
                <w:sz w:val="17"/>
                <w:szCs w:val="17"/>
                <w:color w:val="auto"/>
              </w:rPr>
              <w:t>Underwriting discounts and commissions</w:t>
            </w:r>
            <w:r>
              <w:rPr>
                <w:rFonts w:ascii="Arial" w:cs="Arial" w:eastAsia="Arial" w:hAnsi="Arial"/>
                <w:sz w:val="25"/>
                <w:szCs w:val="25"/>
                <w:color w:val="auto"/>
                <w:vertAlign w:val="superscript"/>
              </w:rPr>
              <w:t>(1)</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r>
      <w:tr>
        <w:trPr>
          <w:trHeight w:val="217"/>
        </w:trPr>
        <w:tc>
          <w:tcPr>
            <w:tcW w:w="7900" w:type="dxa"/>
            <w:vAlign w:val="bottom"/>
            <w:shd w:val="clear" w:color="auto" w:fill="CCEEFF"/>
          </w:tcPr>
          <w:p>
            <w:pPr>
              <w:spacing w:after="0"/>
              <w:rPr>
                <w:sz w:val="20"/>
                <w:szCs w:val="20"/>
                <w:color w:val="auto"/>
              </w:rPr>
            </w:pPr>
            <w:r>
              <w:rPr>
                <w:rFonts w:ascii="Arial" w:cs="Arial" w:eastAsia="Arial" w:hAnsi="Arial"/>
                <w:sz w:val="17"/>
                <w:szCs w:val="17"/>
                <w:color w:val="auto"/>
              </w:rPr>
              <w:t>Proceeds, before expenses, to Boundless Bio, Inc.</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89535</wp:posOffset>
            </wp:positionV>
            <wp:extent cx="10629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(1) See the section titled “Underwriting” for a description of the compensation payable to the underwriters.</w:t>
      </w:r>
    </w:p>
    <w:p>
      <w:pPr>
        <w:spacing w:after="0" w:line="192" w:lineRule="exact"/>
        <w:rPr>
          <w:sz w:val="20"/>
          <w:szCs w:val="20"/>
          <w:color w:val="auto"/>
        </w:rPr>
      </w:pPr>
    </w:p>
    <w:p>
      <w:pPr>
        <w:ind w:left="420" w:right="220" w:firstLine="521"/>
        <w:spacing w:after="0" w:line="288" w:lineRule="auto"/>
        <w:rPr>
          <w:sz w:val="20"/>
          <w:szCs w:val="20"/>
          <w:color w:val="auto"/>
        </w:rPr>
      </w:pPr>
      <w:r>
        <w:rPr>
          <w:rFonts w:ascii="Arial" w:cs="Arial" w:eastAsia="Arial" w:hAnsi="Arial"/>
          <w:sz w:val="15"/>
          <w:szCs w:val="15"/>
          <w:color w:val="auto"/>
        </w:rPr>
        <w:t>We have granted the underwriters an option for a period of 30 days to purchase up to an additional 937,500 shares of our common stock at the initial public offering price, less the underwriting discounts and commissions.</w:t>
      </w:r>
    </w:p>
    <w:p>
      <w:pPr>
        <w:spacing w:after="0" w:line="148" w:lineRule="exact"/>
        <w:rPr>
          <w:sz w:val="20"/>
          <w:szCs w:val="20"/>
          <w:color w:val="auto"/>
        </w:rPr>
      </w:pPr>
    </w:p>
    <w:p>
      <w:pPr>
        <w:ind w:left="940"/>
        <w:spacing w:after="0"/>
        <w:rPr>
          <w:sz w:val="20"/>
          <w:szCs w:val="20"/>
          <w:color w:val="auto"/>
        </w:rPr>
      </w:pPr>
      <w:r>
        <w:rPr>
          <w:rFonts w:ascii="Arial" w:cs="Arial" w:eastAsia="Arial" w:hAnsi="Arial"/>
          <w:sz w:val="15"/>
          <w:szCs w:val="15"/>
          <w:color w:val="auto"/>
        </w:rPr>
        <w:t>The underwriters expect to deliver the shares against payment in New York, New York on 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2711450</wp:posOffset>
            </wp:positionH>
            <wp:positionV relativeFrom="paragraph">
              <wp:posOffset>222885</wp:posOffset>
            </wp:positionV>
            <wp:extent cx="17202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20215"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900"/>
        <w:spacing w:after="0"/>
        <w:tabs>
          <w:tab w:leader="none" w:pos="4200" w:val="left"/>
          <w:tab w:leader="none" w:pos="6420" w:val="left"/>
          <w:tab w:leader="none" w:pos="8360" w:val="left"/>
        </w:tabs>
        <w:rPr>
          <w:sz w:val="20"/>
          <w:szCs w:val="20"/>
          <w:color w:val="auto"/>
        </w:rPr>
      </w:pPr>
      <w:r>
        <w:rPr>
          <w:rFonts w:ascii="Arial" w:cs="Arial" w:eastAsia="Arial" w:hAnsi="Arial"/>
          <w:sz w:val="19"/>
          <w:szCs w:val="19"/>
          <w:b w:val="1"/>
          <w:bCs w:val="1"/>
          <w:color w:val="auto"/>
        </w:rPr>
        <w:t>Goldman Sachs &amp; Co. LLC</w:t>
      </w:r>
      <w:r>
        <w:rPr>
          <w:sz w:val="20"/>
          <w:szCs w:val="20"/>
          <w:color w:val="auto"/>
        </w:rPr>
        <w:tab/>
      </w:r>
      <w:r>
        <w:rPr>
          <w:rFonts w:ascii="Arial" w:cs="Arial" w:eastAsia="Arial" w:hAnsi="Arial"/>
          <w:sz w:val="19"/>
          <w:szCs w:val="19"/>
          <w:b w:val="1"/>
          <w:bCs w:val="1"/>
          <w:color w:val="auto"/>
        </w:rPr>
        <w:t>Leerink Partners</w:t>
      </w:r>
      <w:r>
        <w:rPr>
          <w:sz w:val="20"/>
          <w:szCs w:val="20"/>
          <w:color w:val="auto"/>
        </w:rPr>
        <w:tab/>
      </w:r>
      <w:r>
        <w:rPr>
          <w:rFonts w:ascii="Arial" w:cs="Arial" w:eastAsia="Arial" w:hAnsi="Arial"/>
          <w:sz w:val="19"/>
          <w:szCs w:val="19"/>
          <w:b w:val="1"/>
          <w:bCs w:val="1"/>
          <w:color w:val="auto"/>
        </w:rPr>
        <w:t>Piper Sandler</w:t>
      </w:r>
      <w:r>
        <w:rPr>
          <w:sz w:val="20"/>
          <w:szCs w:val="20"/>
          <w:color w:val="auto"/>
        </w:rPr>
        <w:tab/>
      </w:r>
      <w:r>
        <w:rPr>
          <w:rFonts w:ascii="Arial" w:cs="Arial" w:eastAsia="Arial" w:hAnsi="Arial"/>
          <w:sz w:val="18"/>
          <w:szCs w:val="18"/>
          <w:b w:val="1"/>
          <w:bCs w:val="1"/>
          <w:color w:val="auto"/>
        </w:rPr>
        <w:t>Guggenheim Securities</w:t>
      </w:r>
    </w:p>
    <w:p>
      <w:pPr>
        <w:spacing w:after="0" w:line="200" w:lineRule="exact"/>
        <w:rPr>
          <w:sz w:val="20"/>
          <w:szCs w:val="20"/>
          <w:color w:val="auto"/>
        </w:rPr>
      </w:pPr>
    </w:p>
    <w:p>
      <w:pPr>
        <w:jc w:val="center"/>
        <w:ind w:right="-399"/>
        <w:spacing w:after="0"/>
        <w:rPr>
          <w:sz w:val="20"/>
          <w:szCs w:val="20"/>
          <w:color w:val="auto"/>
        </w:rPr>
      </w:pPr>
      <w:r>
        <w:rPr>
          <w:rFonts w:ascii="Arial" w:cs="Arial" w:eastAsia="Arial" w:hAnsi="Arial"/>
          <w:sz w:val="15"/>
          <w:szCs w:val="15"/>
          <w:color w:val="auto"/>
        </w:rPr>
        <w:t>Prospectus dated            , 2024</w:t>
      </w:r>
    </w:p>
    <w:p>
      <w:pPr>
        <w:sectPr>
          <w:pgSz w:w="11900" w:h="16838" w:orient="portrait"/>
          <w:cols w:equalWidth="0" w:num="1">
            <w:col w:w="10840"/>
          </w:cols>
          <w:pgMar w:left="320" w:top="439" w:right="7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420" w:type="dxa"/>
        <w:tblCellMar>
          <w:top w:w="0" w:type="dxa"/>
          <w:left w:w="0" w:type="dxa"/>
          <w:bottom w:w="0" w:type="dxa"/>
          <w:right w:w="0" w:type="dxa"/>
        </w:tblCellMar>
      </w:tblPr>
      <w:tr>
        <w:trPr>
          <w:trHeight w:val="232"/>
        </w:trPr>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760" w:type="dxa"/>
            <w:vAlign w:val="bottom"/>
            <w:gridSpan w:val="3"/>
          </w:tcPr>
          <w:p>
            <w:pPr>
              <w:ind w:left="120"/>
              <w:spacing w:after="0"/>
              <w:rPr>
                <w:sz w:val="20"/>
                <w:szCs w:val="20"/>
                <w:color w:val="auto"/>
              </w:rPr>
            </w:pPr>
            <w:r>
              <w:rPr>
                <w:rFonts w:ascii="Arial" w:cs="Arial" w:eastAsia="Arial" w:hAnsi="Arial"/>
                <w:sz w:val="17"/>
                <w:szCs w:val="17"/>
                <w:b w:val="1"/>
                <w:bCs w:val="1"/>
                <w:color w:val="auto"/>
              </w:rPr>
              <w:t>TABLE OF CONTENTS</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40" w:type="dxa"/>
            <w:vAlign w:val="bottom"/>
            <w:gridSpan w:val="2"/>
          </w:tcPr>
          <w:p>
            <w:pPr>
              <w:ind w:left="160"/>
              <w:spacing w:after="0"/>
              <w:rPr>
                <w:sz w:val="20"/>
                <w:szCs w:val="20"/>
                <w:color w:val="auto"/>
              </w:rPr>
            </w:pPr>
            <w:r>
              <w:rPr>
                <w:rFonts w:ascii="Arial" w:cs="Arial" w:eastAsia="Arial" w:hAnsi="Arial"/>
                <w:sz w:val="14"/>
                <w:szCs w:val="14"/>
                <w:b w:val="1"/>
                <w:bCs w:val="1"/>
                <w:color w:val="auto"/>
              </w:rPr>
              <w:t>  </w:t>
            </w:r>
          </w:p>
        </w:tc>
        <w:tc>
          <w:tcPr>
            <w:tcW w:w="0" w:type="dxa"/>
            <w:vAlign w:val="bottom"/>
          </w:tcPr>
          <w:p>
            <w:pPr>
              <w:spacing w:after="0"/>
              <w:rPr>
                <w:sz w:val="1"/>
                <w:szCs w:val="1"/>
                <w:color w:val="auto"/>
              </w:rPr>
            </w:pPr>
          </w:p>
        </w:tc>
      </w:tr>
      <w:tr>
        <w:trPr>
          <w:trHeight w:val="163"/>
        </w:trPr>
        <w:tc>
          <w:tcPr>
            <w:tcW w:w="1620" w:type="dxa"/>
            <w:vAlign w:val="bottom"/>
            <w:gridSpan w:val="9"/>
            <w:vMerge w:val="restart"/>
          </w:tcPr>
          <w:p>
            <w:pPr>
              <w:spacing w:after="0"/>
              <w:rPr>
                <w:sz w:val="20"/>
                <w:szCs w:val="20"/>
                <w:color w:val="auto"/>
              </w:rPr>
            </w:pPr>
            <w:r>
              <w:rPr>
                <w:rFonts w:ascii="Arial" w:cs="Arial" w:eastAsia="Arial" w:hAnsi="Arial"/>
                <w:sz w:val="17"/>
                <w:szCs w:val="17"/>
                <w:color w:val="0000EE"/>
                <w:w w:val="98"/>
              </w:rPr>
              <w:t>Prospectus Summary</w:t>
            </w:r>
          </w:p>
        </w:tc>
        <w:tc>
          <w:tcPr>
            <w:tcW w:w="8320" w:type="dxa"/>
            <w:vAlign w:val="bottom"/>
            <w:gridSpan w:val="12"/>
            <w:vMerge w:val="restart"/>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Page   </w:t>
            </w:r>
          </w:p>
        </w:tc>
        <w:tc>
          <w:tcPr>
            <w:tcW w:w="0" w:type="dxa"/>
            <w:vAlign w:val="bottom"/>
          </w:tcPr>
          <w:p>
            <w:pPr>
              <w:spacing w:after="0"/>
              <w:rPr>
                <w:sz w:val="1"/>
                <w:szCs w:val="1"/>
                <w:color w:val="auto"/>
              </w:rPr>
            </w:pPr>
          </w:p>
        </w:tc>
      </w:tr>
      <w:tr>
        <w:trPr>
          <w:trHeight w:val="151"/>
        </w:trPr>
        <w:tc>
          <w:tcPr>
            <w:tcW w:w="1620" w:type="dxa"/>
            <w:vAlign w:val="bottom"/>
            <w:tcBorders>
              <w:bottom w:val="single" w:sz="8" w:color="0000EE"/>
            </w:tcBorders>
            <w:gridSpan w:val="9"/>
            <w:vMerge w:val="continue"/>
          </w:tcPr>
          <w:p>
            <w:pPr>
              <w:spacing w:after="0"/>
              <w:rPr>
                <w:sz w:val="12"/>
                <w:szCs w:val="12"/>
                <w:color w:val="auto"/>
              </w:rPr>
            </w:pPr>
          </w:p>
        </w:tc>
        <w:tc>
          <w:tcPr>
            <w:tcW w:w="8320" w:type="dxa"/>
            <w:vAlign w:val="bottom"/>
            <w:gridSpan w:val="12"/>
            <w:vMerge w:val="continue"/>
          </w:tcPr>
          <w:p>
            <w:pPr>
              <w:spacing w:after="0"/>
              <w:rPr>
                <w:sz w:val="12"/>
                <w:szCs w:val="12"/>
                <w:color w:val="auto"/>
              </w:rPr>
            </w:pPr>
          </w:p>
        </w:tc>
        <w:tc>
          <w:tcPr>
            <w:tcW w:w="4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5"/>
                <w:szCs w:val="15"/>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9940" w:type="dxa"/>
            <w:vAlign w:val="bottom"/>
            <w:gridSpan w:val="21"/>
          </w:tcPr>
          <w:p>
            <w:pPr>
              <w:spacing w:after="0" w:line="185" w:lineRule="exact"/>
              <w:rPr>
                <w:sz w:val="20"/>
                <w:szCs w:val="20"/>
                <w:color w:val="auto"/>
              </w:rPr>
            </w:pPr>
            <w:r>
              <w:rPr>
                <w:rFonts w:ascii="Arial" w:cs="Arial" w:eastAsia="Arial" w:hAnsi="Arial"/>
                <w:sz w:val="17"/>
                <w:szCs w:val="17"/>
                <w:color w:val="0000EE"/>
              </w:rPr>
              <w:t>Risk Factors</w:t>
            </w:r>
          </w:p>
        </w:tc>
        <w:tc>
          <w:tcPr>
            <w:tcW w:w="440" w:type="dxa"/>
            <w:vAlign w:val="bottom"/>
            <w:gridSpan w:val="2"/>
          </w:tcPr>
          <w:p>
            <w:pPr>
              <w:jc w:val="right"/>
              <w:ind w:right="20"/>
              <w:spacing w:after="0" w:line="185" w:lineRule="exact"/>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72"/>
        </w:trPr>
        <w:tc>
          <w:tcPr>
            <w:tcW w:w="940" w:type="dxa"/>
            <w:vAlign w:val="bottom"/>
            <w:tcBorders>
              <w:top w:val="single" w:sz="8" w:color="0000EE"/>
            </w:tcBorders>
            <w:gridSpan w:val="3"/>
          </w:tcPr>
          <w:p>
            <w:pPr>
              <w:spacing w:after="0" w:line="172" w:lineRule="exact"/>
              <w:rPr>
                <w:sz w:val="20"/>
                <w:szCs w:val="20"/>
                <w:color w:val="auto"/>
              </w:rPr>
            </w:pPr>
            <w:r>
              <w:rPr>
                <w:rFonts w:ascii="Arial" w:cs="Arial" w:eastAsia="Arial" w:hAnsi="Arial"/>
                <w:sz w:val="17"/>
                <w:szCs w:val="17"/>
                <w:color w:val="0000EE"/>
                <w:w w:val="95"/>
              </w:rPr>
              <w:t>Special Note</w:t>
            </w:r>
          </w:p>
        </w:tc>
        <w:tc>
          <w:tcPr>
            <w:tcW w:w="40" w:type="dxa"/>
            <w:vAlign w:val="bottom"/>
          </w:tcPr>
          <w:p>
            <w:pPr>
              <w:spacing w:after="0"/>
              <w:rPr>
                <w:sz w:val="14"/>
                <w:szCs w:val="14"/>
                <w:color w:val="auto"/>
              </w:rPr>
            </w:pPr>
          </w:p>
        </w:tc>
        <w:tc>
          <w:tcPr>
            <w:tcW w:w="8960" w:type="dxa"/>
            <w:vAlign w:val="bottom"/>
            <w:gridSpan w:val="17"/>
          </w:tcPr>
          <w:p>
            <w:pPr>
              <w:ind w:left="20"/>
              <w:spacing w:after="0" w:line="172" w:lineRule="exact"/>
              <w:rPr>
                <w:sz w:val="20"/>
                <w:szCs w:val="20"/>
                <w:color w:val="auto"/>
              </w:rPr>
            </w:pPr>
            <w:r>
              <w:rPr>
                <w:rFonts w:ascii="Arial" w:cs="Arial" w:eastAsia="Arial" w:hAnsi="Arial"/>
                <w:sz w:val="17"/>
                <w:szCs w:val="17"/>
                <w:color w:val="0000EE"/>
              </w:rPr>
              <w:t>Regarding Forward-Looking Statements</w:t>
            </w:r>
          </w:p>
        </w:tc>
        <w:tc>
          <w:tcPr>
            <w:tcW w:w="440" w:type="dxa"/>
            <w:vAlign w:val="bottom"/>
            <w:gridSpan w:val="2"/>
          </w:tcPr>
          <w:p>
            <w:pPr>
              <w:jc w:val="right"/>
              <w:ind w:right="20"/>
              <w:spacing w:after="0" w:line="172" w:lineRule="exact"/>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172"/>
        </w:trPr>
        <w:tc>
          <w:tcPr>
            <w:tcW w:w="4020" w:type="dxa"/>
            <w:vAlign w:val="bottom"/>
            <w:tcBorders>
              <w:top w:val="single" w:sz="8" w:color="0000EE"/>
            </w:tcBorders>
            <w:gridSpan w:val="17"/>
          </w:tcPr>
          <w:p>
            <w:pPr>
              <w:spacing w:after="0" w:line="172" w:lineRule="exact"/>
              <w:rPr>
                <w:sz w:val="20"/>
                <w:szCs w:val="20"/>
                <w:color w:val="auto"/>
              </w:rPr>
            </w:pPr>
            <w:r>
              <w:rPr>
                <w:rFonts w:ascii="Arial" w:cs="Arial" w:eastAsia="Arial" w:hAnsi="Arial"/>
                <w:sz w:val="17"/>
                <w:szCs w:val="17"/>
                <w:color w:val="0000EE"/>
              </w:rPr>
              <w:t>Market and Industry Data</w:t>
            </w: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40" w:type="dxa"/>
            <w:vAlign w:val="bottom"/>
            <w:gridSpan w:val="2"/>
          </w:tcPr>
          <w:p>
            <w:pPr>
              <w:jc w:val="right"/>
              <w:ind w:right="20"/>
              <w:spacing w:after="0" w:line="172" w:lineRule="exact"/>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172"/>
        </w:trPr>
        <w:tc>
          <w:tcPr>
            <w:tcW w:w="1900" w:type="dxa"/>
            <w:vAlign w:val="bottom"/>
            <w:tcBorders>
              <w:top w:val="single" w:sz="8" w:color="0000EE"/>
            </w:tcBorders>
            <w:gridSpan w:val="11"/>
          </w:tcPr>
          <w:p>
            <w:pPr>
              <w:spacing w:after="0" w:line="172" w:lineRule="exact"/>
              <w:rPr>
                <w:sz w:val="20"/>
                <w:szCs w:val="20"/>
                <w:color w:val="auto"/>
              </w:rPr>
            </w:pPr>
            <w:r>
              <w:rPr>
                <w:rFonts w:ascii="Arial" w:cs="Arial" w:eastAsia="Arial" w:hAnsi="Arial"/>
                <w:sz w:val="17"/>
                <w:szCs w:val="17"/>
                <w:color w:val="0000EE"/>
              </w:rPr>
              <w:t>Use of Proceeds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2"/>
          </w:tcPr>
          <w:p>
            <w:pPr>
              <w:spacing w:after="0"/>
              <w:rPr>
                <w:sz w:val="14"/>
                <w:szCs w:val="14"/>
                <w:color w:val="auto"/>
              </w:rPr>
            </w:pPr>
          </w:p>
        </w:tc>
        <w:tc>
          <w:tcPr>
            <w:tcW w:w="1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40" w:type="dxa"/>
            <w:vAlign w:val="bottom"/>
            <w:gridSpan w:val="2"/>
          </w:tcPr>
          <w:p>
            <w:pPr>
              <w:jc w:val="right"/>
              <w:ind w:right="20"/>
              <w:spacing w:after="0" w:line="172" w:lineRule="exact"/>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172"/>
        </w:trPr>
        <w:tc>
          <w:tcPr>
            <w:tcW w:w="1240" w:type="dxa"/>
            <w:vAlign w:val="bottom"/>
            <w:tcBorders>
              <w:top w:val="single" w:sz="8" w:color="0000EE"/>
            </w:tcBorders>
            <w:gridSpan w:val="8"/>
          </w:tcPr>
          <w:p>
            <w:pPr>
              <w:spacing w:after="0" w:line="172" w:lineRule="exact"/>
              <w:rPr>
                <w:sz w:val="20"/>
                <w:szCs w:val="20"/>
                <w:color w:val="auto"/>
              </w:rPr>
            </w:pPr>
            <w:r>
              <w:rPr>
                <w:rFonts w:ascii="Arial" w:cs="Arial" w:eastAsia="Arial" w:hAnsi="Arial"/>
                <w:sz w:val="17"/>
                <w:szCs w:val="17"/>
                <w:color w:val="0000EE"/>
              </w:rPr>
              <w:t>Dividend Policy</w:t>
            </w:r>
          </w:p>
        </w:tc>
        <w:tc>
          <w:tcPr>
            <w:tcW w:w="440" w:type="dxa"/>
            <w:vAlign w:val="bottom"/>
            <w:gridSpan w:val="2"/>
          </w:tcPr>
          <w:p>
            <w:pPr>
              <w:spacing w:after="0"/>
              <w:rPr>
                <w:sz w:val="14"/>
                <w:szCs w:val="14"/>
                <w:color w:val="auto"/>
              </w:rPr>
            </w:pPr>
          </w:p>
        </w:tc>
        <w:tc>
          <w:tcPr>
            <w:tcW w:w="40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2"/>
          </w:tcPr>
          <w:p>
            <w:pPr>
              <w:spacing w:after="0"/>
              <w:rPr>
                <w:sz w:val="14"/>
                <w:szCs w:val="14"/>
                <w:color w:val="auto"/>
              </w:rPr>
            </w:pPr>
          </w:p>
        </w:tc>
        <w:tc>
          <w:tcPr>
            <w:tcW w:w="1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40" w:type="dxa"/>
            <w:vAlign w:val="bottom"/>
            <w:gridSpan w:val="2"/>
          </w:tcPr>
          <w:p>
            <w:pPr>
              <w:jc w:val="right"/>
              <w:ind w:right="20"/>
              <w:spacing w:after="0" w:line="172" w:lineRule="exact"/>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172"/>
        </w:trPr>
        <w:tc>
          <w:tcPr>
            <w:tcW w:w="1160" w:type="dxa"/>
            <w:vAlign w:val="bottom"/>
            <w:tcBorders>
              <w:top w:val="single" w:sz="8" w:color="0000EE"/>
            </w:tcBorders>
            <w:gridSpan w:val="7"/>
          </w:tcPr>
          <w:p>
            <w:pPr>
              <w:spacing w:after="0" w:line="172" w:lineRule="exact"/>
              <w:rPr>
                <w:sz w:val="20"/>
                <w:szCs w:val="20"/>
                <w:color w:val="auto"/>
              </w:rPr>
            </w:pPr>
            <w:r>
              <w:rPr>
                <w:rFonts w:ascii="Arial" w:cs="Arial" w:eastAsia="Arial" w:hAnsi="Arial"/>
                <w:sz w:val="17"/>
                <w:szCs w:val="17"/>
                <w:color w:val="0000EE"/>
              </w:rPr>
              <w:t>Capitalization</w:t>
            </w:r>
          </w:p>
        </w:tc>
        <w:tc>
          <w:tcPr>
            <w:tcW w:w="520" w:type="dxa"/>
            <w:vAlign w:val="bottom"/>
            <w:gridSpan w:val="3"/>
          </w:tcPr>
          <w:p>
            <w:pPr>
              <w:spacing w:after="0"/>
              <w:rPr>
                <w:sz w:val="14"/>
                <w:szCs w:val="14"/>
                <w:color w:val="auto"/>
              </w:rPr>
            </w:pPr>
          </w:p>
        </w:tc>
        <w:tc>
          <w:tcPr>
            <w:tcW w:w="40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2"/>
          </w:tcPr>
          <w:p>
            <w:pPr>
              <w:spacing w:after="0"/>
              <w:rPr>
                <w:sz w:val="14"/>
                <w:szCs w:val="14"/>
                <w:color w:val="auto"/>
              </w:rPr>
            </w:pPr>
          </w:p>
        </w:tc>
        <w:tc>
          <w:tcPr>
            <w:tcW w:w="1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40" w:type="dxa"/>
            <w:vAlign w:val="bottom"/>
            <w:gridSpan w:val="2"/>
          </w:tcPr>
          <w:p>
            <w:pPr>
              <w:jc w:val="right"/>
              <w:ind w:right="20"/>
              <w:spacing w:after="0" w:line="172" w:lineRule="exact"/>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172"/>
        </w:trPr>
        <w:tc>
          <w:tcPr>
            <w:tcW w:w="560" w:type="dxa"/>
            <w:vAlign w:val="bottom"/>
            <w:tcBorders>
              <w:top w:val="single" w:sz="8" w:color="0000EE"/>
              <w:bottom w:val="single" w:sz="8" w:color="0000EE"/>
            </w:tcBorders>
          </w:tcPr>
          <w:p>
            <w:pPr>
              <w:spacing w:after="0" w:line="172" w:lineRule="exact"/>
              <w:rPr>
                <w:sz w:val="20"/>
                <w:szCs w:val="20"/>
                <w:color w:val="auto"/>
              </w:rPr>
            </w:pPr>
            <w:r>
              <w:rPr>
                <w:rFonts w:ascii="Arial" w:cs="Arial" w:eastAsia="Arial" w:hAnsi="Arial"/>
                <w:sz w:val="17"/>
                <w:szCs w:val="17"/>
                <w:color w:val="0000EE"/>
                <w:w w:val="95"/>
              </w:rPr>
              <w:t>Dilution</w:t>
            </w:r>
          </w:p>
        </w:tc>
        <w:tc>
          <w:tcPr>
            <w:tcW w:w="460" w:type="dxa"/>
            <w:vAlign w:val="bottom"/>
            <w:tcBorders>
              <w:top w:val="single" w:sz="8" w:color="0000EE"/>
            </w:tcBorders>
            <w:gridSpan w:val="4"/>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4"/>
          </w:tcPr>
          <w:p>
            <w:pPr>
              <w:spacing w:after="0"/>
              <w:rPr>
                <w:sz w:val="14"/>
                <w:szCs w:val="14"/>
                <w:color w:val="auto"/>
              </w:rPr>
            </w:pPr>
          </w:p>
        </w:tc>
        <w:tc>
          <w:tcPr>
            <w:tcW w:w="40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2"/>
          </w:tcPr>
          <w:p>
            <w:pPr>
              <w:spacing w:after="0"/>
              <w:rPr>
                <w:sz w:val="14"/>
                <w:szCs w:val="14"/>
                <w:color w:val="auto"/>
              </w:rPr>
            </w:pPr>
          </w:p>
        </w:tc>
        <w:tc>
          <w:tcPr>
            <w:tcW w:w="1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40" w:type="dxa"/>
            <w:vAlign w:val="bottom"/>
            <w:gridSpan w:val="2"/>
          </w:tcPr>
          <w:p>
            <w:pPr>
              <w:jc w:val="right"/>
              <w:ind w:right="20"/>
              <w:spacing w:after="0" w:line="172" w:lineRule="exact"/>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172"/>
        </w:trPr>
        <w:tc>
          <w:tcPr>
            <w:tcW w:w="9940" w:type="dxa"/>
            <w:vAlign w:val="bottom"/>
            <w:gridSpan w:val="21"/>
          </w:tcPr>
          <w:p>
            <w:pPr>
              <w:spacing w:after="0" w:line="172" w:lineRule="exact"/>
              <w:rPr>
                <w:sz w:val="20"/>
                <w:szCs w:val="20"/>
                <w:color w:val="auto"/>
              </w:rPr>
            </w:pPr>
            <w:r>
              <w:rPr>
                <w:rFonts w:ascii="Arial" w:cs="Arial" w:eastAsia="Arial" w:hAnsi="Arial"/>
                <w:sz w:val="17"/>
                <w:szCs w:val="17"/>
                <w:color w:val="0000EE"/>
              </w:rPr>
              <w:t>Management’s Discussion and Analysis of Financial Condition and Results of Operations</w:t>
            </w:r>
          </w:p>
        </w:tc>
        <w:tc>
          <w:tcPr>
            <w:tcW w:w="440" w:type="dxa"/>
            <w:vAlign w:val="bottom"/>
            <w:gridSpan w:val="2"/>
          </w:tcPr>
          <w:p>
            <w:pPr>
              <w:jc w:val="right"/>
              <w:ind w:right="20"/>
              <w:spacing w:after="0" w:line="172" w:lineRule="exact"/>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172"/>
        </w:trPr>
        <w:tc>
          <w:tcPr>
            <w:tcW w:w="6680" w:type="dxa"/>
            <w:vAlign w:val="bottom"/>
            <w:tcBorders>
              <w:top w:val="single" w:sz="8" w:color="0000EE"/>
            </w:tcBorders>
            <w:gridSpan w:val="20"/>
          </w:tcPr>
          <w:p>
            <w:pPr>
              <w:spacing w:after="0" w:line="172" w:lineRule="exact"/>
              <w:rPr>
                <w:sz w:val="20"/>
                <w:szCs w:val="20"/>
                <w:color w:val="auto"/>
              </w:rPr>
            </w:pPr>
            <w:r>
              <w:rPr>
                <w:rFonts w:ascii="Arial" w:cs="Arial" w:eastAsia="Arial" w:hAnsi="Arial"/>
                <w:sz w:val="17"/>
                <w:szCs w:val="17"/>
                <w:color w:val="0000EE"/>
              </w:rPr>
              <w:t>Business</w:t>
            </w:r>
          </w:p>
        </w:tc>
        <w:tc>
          <w:tcPr>
            <w:tcW w:w="3260" w:type="dxa"/>
            <w:vAlign w:val="bottom"/>
          </w:tcPr>
          <w:p>
            <w:pPr>
              <w:spacing w:after="0"/>
              <w:rPr>
                <w:sz w:val="14"/>
                <w:szCs w:val="14"/>
                <w:color w:val="auto"/>
              </w:rPr>
            </w:pPr>
          </w:p>
        </w:tc>
        <w:tc>
          <w:tcPr>
            <w:tcW w:w="420" w:type="dxa"/>
            <w:vAlign w:val="bottom"/>
          </w:tcPr>
          <w:p>
            <w:pPr>
              <w:jc w:val="right"/>
              <w:spacing w:after="0" w:line="172" w:lineRule="exact"/>
              <w:rPr>
                <w:sz w:val="20"/>
                <w:szCs w:val="20"/>
                <w:color w:val="auto"/>
              </w:rPr>
            </w:pPr>
            <w:r>
              <w:rPr>
                <w:rFonts w:ascii="Arial" w:cs="Arial" w:eastAsia="Arial" w:hAnsi="Arial"/>
                <w:sz w:val="17"/>
                <w:szCs w:val="17"/>
                <w:color w:val="auto"/>
              </w:rPr>
              <w:t>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20" w:type="dxa"/>
            <w:vAlign w:val="bottom"/>
            <w:vMerge w:val="restart"/>
          </w:tcPr>
          <w:p>
            <w:pPr>
              <w:jc w:val="right"/>
              <w:spacing w:after="0" w:line="192" w:lineRule="exact"/>
              <w:rPr>
                <w:sz w:val="20"/>
                <w:szCs w:val="20"/>
                <w:color w:val="auto"/>
              </w:rPr>
            </w:pPr>
            <w:r>
              <w:rPr>
                <w:rFonts w:ascii="Arial" w:cs="Arial" w:eastAsia="Arial" w:hAnsi="Arial"/>
                <w:sz w:val="17"/>
                <w:szCs w:val="17"/>
                <w:color w:val="auto"/>
              </w:rPr>
              <w:t>165</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9940" w:type="dxa"/>
            <w:vAlign w:val="bottom"/>
            <w:gridSpan w:val="21"/>
          </w:tcPr>
          <w:p>
            <w:pPr>
              <w:spacing w:after="0" w:line="172" w:lineRule="exact"/>
              <w:rPr>
                <w:sz w:val="20"/>
                <w:szCs w:val="20"/>
                <w:color w:val="auto"/>
              </w:rPr>
            </w:pPr>
            <w:r>
              <w:rPr>
                <w:rFonts w:ascii="Arial" w:cs="Arial" w:eastAsia="Arial" w:hAnsi="Arial"/>
                <w:sz w:val="17"/>
                <w:szCs w:val="17"/>
                <w:color w:val="0000EE"/>
              </w:rPr>
              <w:t>Management</w:t>
            </w:r>
          </w:p>
        </w:tc>
        <w:tc>
          <w:tcPr>
            <w:tcW w:w="4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20" w:type="dxa"/>
            <w:vAlign w:val="bottom"/>
            <w:vMerge w:val="restart"/>
          </w:tcPr>
          <w:p>
            <w:pPr>
              <w:jc w:val="right"/>
              <w:spacing w:after="0" w:line="192" w:lineRule="exact"/>
              <w:rPr>
                <w:sz w:val="20"/>
                <w:szCs w:val="20"/>
                <w:color w:val="auto"/>
              </w:rPr>
            </w:pPr>
            <w:r>
              <w:rPr>
                <w:rFonts w:ascii="Arial" w:cs="Arial" w:eastAsia="Arial" w:hAnsi="Arial"/>
                <w:sz w:val="17"/>
                <w:szCs w:val="17"/>
                <w:color w:val="auto"/>
              </w:rPr>
              <w:t>175</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9940" w:type="dxa"/>
            <w:vAlign w:val="bottom"/>
            <w:gridSpan w:val="21"/>
          </w:tcPr>
          <w:p>
            <w:pPr>
              <w:spacing w:after="0" w:line="172" w:lineRule="exact"/>
              <w:rPr>
                <w:sz w:val="20"/>
                <w:szCs w:val="20"/>
                <w:color w:val="auto"/>
              </w:rPr>
            </w:pPr>
            <w:r>
              <w:rPr>
                <w:rFonts w:ascii="Arial" w:cs="Arial" w:eastAsia="Arial" w:hAnsi="Arial"/>
                <w:sz w:val="17"/>
                <w:szCs w:val="17"/>
                <w:color w:val="0000EE"/>
              </w:rPr>
              <w:t>Executive and Director Compensation</w:t>
            </w:r>
          </w:p>
        </w:tc>
        <w:tc>
          <w:tcPr>
            <w:tcW w:w="4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20" w:type="dxa"/>
            <w:vAlign w:val="bottom"/>
            <w:vMerge w:val="restart"/>
          </w:tcPr>
          <w:p>
            <w:pPr>
              <w:jc w:val="right"/>
              <w:spacing w:after="0" w:line="192" w:lineRule="exact"/>
              <w:rPr>
                <w:sz w:val="20"/>
                <w:szCs w:val="20"/>
                <w:color w:val="auto"/>
              </w:rPr>
            </w:pPr>
            <w:r>
              <w:rPr>
                <w:rFonts w:ascii="Arial" w:cs="Arial" w:eastAsia="Arial" w:hAnsi="Arial"/>
                <w:sz w:val="17"/>
                <w:szCs w:val="17"/>
                <w:color w:val="auto"/>
              </w:rPr>
              <w:t>194</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9940" w:type="dxa"/>
            <w:vAlign w:val="bottom"/>
            <w:gridSpan w:val="21"/>
          </w:tcPr>
          <w:p>
            <w:pPr>
              <w:spacing w:after="0" w:line="172" w:lineRule="exact"/>
              <w:rPr>
                <w:sz w:val="20"/>
                <w:szCs w:val="20"/>
                <w:color w:val="auto"/>
              </w:rPr>
            </w:pPr>
            <w:r>
              <w:rPr>
                <w:rFonts w:ascii="Arial" w:cs="Arial" w:eastAsia="Arial" w:hAnsi="Arial"/>
                <w:sz w:val="17"/>
                <w:szCs w:val="17"/>
                <w:color w:val="0000EE"/>
              </w:rPr>
              <w:t>Certain Relationships and Related Person Transactions</w:t>
            </w:r>
          </w:p>
        </w:tc>
        <w:tc>
          <w:tcPr>
            <w:tcW w:w="4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80" w:type="dxa"/>
            <w:vAlign w:val="bottom"/>
            <w:tcBorders>
              <w:top w:val="single" w:sz="8" w:color="0000EE"/>
            </w:tcBorders>
            <w:gridSpan w:val="18"/>
          </w:tcPr>
          <w:p>
            <w:pPr>
              <w:spacing w:after="0" w:line="172" w:lineRule="exact"/>
              <w:rPr>
                <w:sz w:val="20"/>
                <w:szCs w:val="20"/>
                <w:color w:val="auto"/>
              </w:rPr>
            </w:pPr>
            <w:r>
              <w:rPr>
                <w:rFonts w:ascii="Arial" w:cs="Arial" w:eastAsia="Arial" w:hAnsi="Arial"/>
                <w:sz w:val="17"/>
                <w:szCs w:val="17"/>
                <w:color w:val="0000EE"/>
              </w:rPr>
              <w:t>Principal Stockholders</w:t>
            </w:r>
          </w:p>
        </w:tc>
        <w:tc>
          <w:tcPr>
            <w:tcW w:w="1780" w:type="dxa"/>
            <w:vAlign w:val="bottom"/>
          </w:tcPr>
          <w:p>
            <w:pPr>
              <w:spacing w:after="0"/>
              <w:rPr>
                <w:sz w:val="14"/>
                <w:szCs w:val="14"/>
                <w:color w:val="auto"/>
              </w:rPr>
            </w:pPr>
          </w:p>
        </w:tc>
        <w:tc>
          <w:tcPr>
            <w:tcW w:w="3980" w:type="dxa"/>
            <w:vAlign w:val="bottom"/>
            <w:gridSpan w:val="2"/>
          </w:tcPr>
          <w:p>
            <w:pPr>
              <w:spacing w:after="0"/>
              <w:rPr>
                <w:sz w:val="14"/>
                <w:szCs w:val="14"/>
                <w:color w:val="auto"/>
              </w:rPr>
            </w:pPr>
          </w:p>
        </w:tc>
        <w:tc>
          <w:tcPr>
            <w:tcW w:w="420" w:type="dxa"/>
            <w:vAlign w:val="bottom"/>
          </w:tcPr>
          <w:p>
            <w:pPr>
              <w:jc w:val="right"/>
              <w:spacing w:after="0" w:line="172" w:lineRule="exact"/>
              <w:rPr>
                <w:sz w:val="20"/>
                <w:szCs w:val="20"/>
                <w:color w:val="auto"/>
              </w:rPr>
            </w:pPr>
            <w:r>
              <w:rPr>
                <w:rFonts w:ascii="Arial" w:cs="Arial" w:eastAsia="Arial" w:hAnsi="Arial"/>
                <w:sz w:val="17"/>
                <w:szCs w:val="17"/>
                <w:color w:val="auto"/>
              </w:rPr>
              <w:t>197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80" w:type="dxa"/>
            <w:vAlign w:val="bottom"/>
            <w:tcBorders>
              <w:top w:val="single" w:sz="8" w:color="0000EE"/>
            </w:tcBorders>
            <w:gridSpan w:val="10"/>
          </w:tcPr>
          <w:p>
            <w:pPr>
              <w:spacing w:after="0" w:line="172" w:lineRule="exact"/>
              <w:rPr>
                <w:sz w:val="20"/>
                <w:szCs w:val="20"/>
                <w:color w:val="auto"/>
              </w:rPr>
            </w:pPr>
            <w:r>
              <w:rPr>
                <w:rFonts w:ascii="Arial" w:cs="Arial" w:eastAsia="Arial" w:hAnsi="Arial"/>
                <w:sz w:val="17"/>
                <w:szCs w:val="17"/>
                <w:color w:val="0000EE"/>
              </w:rPr>
              <w:t>Description of Capital</w:t>
            </w:r>
          </w:p>
        </w:tc>
        <w:tc>
          <w:tcPr>
            <w:tcW w:w="8260" w:type="dxa"/>
            <w:vAlign w:val="bottom"/>
            <w:gridSpan w:val="11"/>
          </w:tcPr>
          <w:p>
            <w:pPr>
              <w:spacing w:after="0" w:line="172" w:lineRule="exact"/>
              <w:rPr>
                <w:sz w:val="20"/>
                <w:szCs w:val="20"/>
                <w:color w:val="auto"/>
              </w:rPr>
            </w:pPr>
            <w:r>
              <w:rPr>
                <w:rFonts w:ascii="Arial" w:cs="Arial" w:eastAsia="Arial" w:hAnsi="Arial"/>
                <w:sz w:val="17"/>
                <w:szCs w:val="17"/>
                <w:color w:val="0000EE"/>
              </w:rPr>
              <w:t>Stock</w:t>
            </w:r>
          </w:p>
        </w:tc>
        <w:tc>
          <w:tcPr>
            <w:tcW w:w="420" w:type="dxa"/>
            <w:vAlign w:val="bottom"/>
          </w:tcPr>
          <w:p>
            <w:pPr>
              <w:jc w:val="right"/>
              <w:spacing w:after="0" w:line="172" w:lineRule="exact"/>
              <w:rPr>
                <w:sz w:val="20"/>
                <w:szCs w:val="20"/>
                <w:color w:val="auto"/>
              </w:rPr>
            </w:pPr>
            <w:r>
              <w:rPr>
                <w:rFonts w:ascii="Arial" w:cs="Arial" w:eastAsia="Arial" w:hAnsi="Arial"/>
                <w:sz w:val="17"/>
                <w:szCs w:val="17"/>
                <w:color w:val="auto"/>
              </w:rPr>
              <w:t>200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80" w:type="dxa"/>
            <w:vAlign w:val="bottom"/>
            <w:tcBorders>
              <w:top w:val="single" w:sz="8" w:color="0000EE"/>
            </w:tcBorders>
            <w:gridSpan w:val="12"/>
          </w:tcPr>
          <w:p>
            <w:pPr>
              <w:spacing w:after="0" w:line="172" w:lineRule="exact"/>
              <w:rPr>
                <w:sz w:val="20"/>
                <w:szCs w:val="20"/>
                <w:color w:val="auto"/>
              </w:rPr>
            </w:pPr>
            <w:r>
              <w:rPr>
                <w:rFonts w:ascii="Arial" w:cs="Arial" w:eastAsia="Arial" w:hAnsi="Arial"/>
                <w:sz w:val="17"/>
                <w:szCs w:val="17"/>
                <w:color w:val="0000EE"/>
              </w:rPr>
              <w:t>Shares Eligible For Future</w:t>
            </w:r>
          </w:p>
        </w:tc>
        <w:tc>
          <w:tcPr>
            <w:tcW w:w="7860" w:type="dxa"/>
            <w:vAlign w:val="bottom"/>
            <w:gridSpan w:val="9"/>
          </w:tcPr>
          <w:p>
            <w:pPr>
              <w:spacing w:after="0" w:line="172" w:lineRule="exact"/>
              <w:rPr>
                <w:sz w:val="20"/>
                <w:szCs w:val="20"/>
                <w:color w:val="auto"/>
              </w:rPr>
            </w:pPr>
            <w:r>
              <w:rPr>
                <w:rFonts w:ascii="Arial" w:cs="Arial" w:eastAsia="Arial" w:hAnsi="Arial"/>
                <w:sz w:val="17"/>
                <w:szCs w:val="17"/>
                <w:color w:val="0000EE"/>
              </w:rPr>
              <w:t>Sale</w:t>
            </w:r>
          </w:p>
        </w:tc>
        <w:tc>
          <w:tcPr>
            <w:tcW w:w="420" w:type="dxa"/>
            <w:vAlign w:val="bottom"/>
          </w:tcPr>
          <w:p>
            <w:pPr>
              <w:jc w:val="right"/>
              <w:spacing w:after="0" w:line="172" w:lineRule="exact"/>
              <w:rPr>
                <w:sz w:val="20"/>
                <w:szCs w:val="20"/>
                <w:color w:val="auto"/>
              </w:rPr>
            </w:pPr>
            <w:r>
              <w:rPr>
                <w:rFonts w:ascii="Arial" w:cs="Arial" w:eastAsia="Arial" w:hAnsi="Arial"/>
                <w:sz w:val="17"/>
                <w:szCs w:val="17"/>
                <w:color w:val="auto"/>
              </w:rPr>
              <w:t>206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60" w:type="dxa"/>
            <w:vAlign w:val="bottom"/>
            <w:tcBorders>
              <w:top w:val="single" w:sz="8" w:color="0000EE"/>
            </w:tcBorders>
            <w:gridSpan w:val="14"/>
          </w:tcPr>
          <w:p>
            <w:pPr>
              <w:spacing w:after="0" w:line="172" w:lineRule="exact"/>
              <w:rPr>
                <w:sz w:val="20"/>
                <w:szCs w:val="20"/>
                <w:color w:val="auto"/>
              </w:rPr>
            </w:pPr>
            <w:r>
              <w:rPr>
                <w:rFonts w:ascii="Arial" w:cs="Arial" w:eastAsia="Arial" w:hAnsi="Arial"/>
                <w:sz w:val="17"/>
                <w:szCs w:val="17"/>
                <w:color w:val="0000EE"/>
              </w:rPr>
              <w:t>Material United States Federal</w:t>
            </w:r>
          </w:p>
        </w:tc>
        <w:tc>
          <w:tcPr>
            <w:tcW w:w="7580" w:type="dxa"/>
            <w:vAlign w:val="bottom"/>
            <w:gridSpan w:val="7"/>
          </w:tcPr>
          <w:p>
            <w:pPr>
              <w:spacing w:after="0" w:line="172" w:lineRule="exact"/>
              <w:rPr>
                <w:sz w:val="20"/>
                <w:szCs w:val="20"/>
                <w:color w:val="auto"/>
              </w:rPr>
            </w:pPr>
            <w:r>
              <w:rPr>
                <w:rFonts w:ascii="Arial" w:cs="Arial" w:eastAsia="Arial" w:hAnsi="Arial"/>
                <w:sz w:val="17"/>
                <w:szCs w:val="17"/>
                <w:color w:val="0000EE"/>
              </w:rPr>
              <w:t>Income Tax Consequences to Non-U.S. Holders</w:t>
            </w:r>
          </w:p>
        </w:tc>
        <w:tc>
          <w:tcPr>
            <w:tcW w:w="420" w:type="dxa"/>
            <w:vAlign w:val="bottom"/>
          </w:tcPr>
          <w:p>
            <w:pPr>
              <w:jc w:val="right"/>
              <w:spacing w:after="0" w:line="172" w:lineRule="exact"/>
              <w:rPr>
                <w:sz w:val="20"/>
                <w:szCs w:val="20"/>
                <w:color w:val="auto"/>
              </w:rPr>
            </w:pPr>
            <w:r>
              <w:rPr>
                <w:rFonts w:ascii="Arial" w:cs="Arial" w:eastAsia="Arial" w:hAnsi="Arial"/>
                <w:sz w:val="17"/>
                <w:szCs w:val="17"/>
                <w:color w:val="auto"/>
              </w:rPr>
              <w:t>209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960" w:type="dxa"/>
            <w:vAlign w:val="bottom"/>
            <w:tcBorders>
              <w:top w:val="single" w:sz="8" w:color="0000EE"/>
            </w:tcBorders>
            <w:gridSpan w:val="19"/>
          </w:tcPr>
          <w:p>
            <w:pPr>
              <w:spacing w:after="0" w:line="172" w:lineRule="exact"/>
              <w:rPr>
                <w:sz w:val="20"/>
                <w:szCs w:val="20"/>
                <w:color w:val="auto"/>
              </w:rPr>
            </w:pPr>
            <w:r>
              <w:rPr>
                <w:rFonts w:ascii="Arial" w:cs="Arial" w:eastAsia="Arial" w:hAnsi="Arial"/>
                <w:sz w:val="17"/>
                <w:szCs w:val="17"/>
                <w:color w:val="0000EE"/>
              </w:rPr>
              <w:t>Underwriting</w:t>
            </w:r>
          </w:p>
        </w:tc>
        <w:tc>
          <w:tcPr>
            <w:tcW w:w="3980" w:type="dxa"/>
            <w:vAlign w:val="bottom"/>
            <w:gridSpan w:val="2"/>
          </w:tcPr>
          <w:p>
            <w:pPr>
              <w:spacing w:after="0"/>
              <w:rPr>
                <w:sz w:val="14"/>
                <w:szCs w:val="14"/>
                <w:color w:val="auto"/>
              </w:rPr>
            </w:pPr>
          </w:p>
        </w:tc>
        <w:tc>
          <w:tcPr>
            <w:tcW w:w="420" w:type="dxa"/>
            <w:vAlign w:val="bottom"/>
          </w:tcPr>
          <w:p>
            <w:pPr>
              <w:jc w:val="right"/>
              <w:spacing w:after="0" w:line="172" w:lineRule="exact"/>
              <w:rPr>
                <w:sz w:val="20"/>
                <w:szCs w:val="20"/>
                <w:color w:val="auto"/>
              </w:rPr>
            </w:pPr>
            <w:r>
              <w:rPr>
                <w:rFonts w:ascii="Arial" w:cs="Arial" w:eastAsia="Arial" w:hAnsi="Arial"/>
                <w:sz w:val="17"/>
                <w:szCs w:val="17"/>
                <w:color w:val="auto"/>
              </w:rPr>
              <w:t>214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80" w:type="dxa"/>
            <w:vAlign w:val="bottom"/>
            <w:tcBorders>
              <w:top w:val="single" w:sz="8" w:color="0000EE"/>
              <w:bottom w:val="single" w:sz="8" w:color="0000EE"/>
            </w:tcBorders>
            <w:gridSpan w:val="4"/>
          </w:tcPr>
          <w:p>
            <w:pPr>
              <w:spacing w:after="0" w:line="172" w:lineRule="exact"/>
              <w:rPr>
                <w:sz w:val="20"/>
                <w:szCs w:val="20"/>
                <w:color w:val="auto"/>
              </w:rPr>
            </w:pPr>
            <w:r>
              <w:rPr>
                <w:rFonts w:ascii="Arial" w:cs="Arial" w:eastAsia="Arial" w:hAnsi="Arial"/>
                <w:sz w:val="17"/>
                <w:szCs w:val="17"/>
                <w:color w:val="0000EE"/>
                <w:w w:val="91"/>
              </w:rPr>
              <w:t>Legal Matters</w:t>
            </w:r>
          </w:p>
        </w:tc>
        <w:tc>
          <w:tcPr>
            <w:tcW w:w="60" w:type="dxa"/>
            <w:vAlign w:val="bottom"/>
            <w:tcBorders>
              <w:bottom w:val="single" w:sz="8" w:color="0000EE"/>
            </w:tcBorders>
            <w:gridSpan w:val="2"/>
          </w:tcPr>
          <w:p>
            <w:pPr>
              <w:spacing w:after="0"/>
              <w:rPr>
                <w:sz w:val="14"/>
                <w:szCs w:val="14"/>
                <w:color w:val="auto"/>
              </w:rPr>
            </w:pPr>
          </w:p>
        </w:tc>
        <w:tc>
          <w:tcPr>
            <w:tcW w:w="1200" w:type="dxa"/>
            <w:vAlign w:val="bottom"/>
            <w:gridSpan w:val="7"/>
          </w:tcPr>
          <w:p>
            <w:pPr>
              <w:spacing w:after="0"/>
              <w:rPr>
                <w:sz w:val="14"/>
                <w:szCs w:val="14"/>
                <w:color w:val="auto"/>
              </w:rPr>
            </w:pPr>
          </w:p>
        </w:tc>
        <w:tc>
          <w:tcPr>
            <w:tcW w:w="660" w:type="dxa"/>
            <w:vAlign w:val="bottom"/>
            <w:gridSpan w:val="3"/>
          </w:tcPr>
          <w:p>
            <w:pPr>
              <w:spacing w:after="0"/>
              <w:rPr>
                <w:sz w:val="14"/>
                <w:szCs w:val="14"/>
                <w:color w:val="auto"/>
              </w:rPr>
            </w:pPr>
          </w:p>
        </w:tc>
        <w:tc>
          <w:tcPr>
            <w:tcW w:w="7040" w:type="dxa"/>
            <w:vAlign w:val="bottom"/>
            <w:gridSpan w:val="5"/>
          </w:tcPr>
          <w:p>
            <w:pPr>
              <w:spacing w:after="0"/>
              <w:rPr>
                <w:sz w:val="14"/>
                <w:szCs w:val="14"/>
                <w:color w:val="auto"/>
              </w:rPr>
            </w:pPr>
          </w:p>
        </w:tc>
        <w:tc>
          <w:tcPr>
            <w:tcW w:w="420" w:type="dxa"/>
            <w:vAlign w:val="bottom"/>
          </w:tcPr>
          <w:p>
            <w:pPr>
              <w:jc w:val="right"/>
              <w:spacing w:after="0" w:line="172" w:lineRule="exact"/>
              <w:rPr>
                <w:sz w:val="20"/>
                <w:szCs w:val="20"/>
                <w:color w:val="auto"/>
              </w:rPr>
            </w:pPr>
            <w:r>
              <w:rPr>
                <w:rFonts w:ascii="Arial" w:cs="Arial" w:eastAsia="Arial" w:hAnsi="Arial"/>
                <w:sz w:val="17"/>
                <w:szCs w:val="17"/>
                <w:color w:val="auto"/>
              </w:rPr>
              <w:t>221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gridSpan w:val="6"/>
          </w:tcPr>
          <w:p>
            <w:pPr>
              <w:spacing w:after="0" w:line="172" w:lineRule="exact"/>
              <w:rPr>
                <w:sz w:val="20"/>
                <w:szCs w:val="20"/>
                <w:color w:val="auto"/>
              </w:rPr>
            </w:pPr>
            <w:r>
              <w:rPr>
                <w:rFonts w:ascii="Arial" w:cs="Arial" w:eastAsia="Arial" w:hAnsi="Arial"/>
                <w:sz w:val="17"/>
                <w:szCs w:val="17"/>
                <w:color w:val="0000EE"/>
              </w:rPr>
              <w:t>Experts</w:t>
            </w:r>
          </w:p>
        </w:tc>
        <w:tc>
          <w:tcPr>
            <w:tcW w:w="1200" w:type="dxa"/>
            <w:vAlign w:val="bottom"/>
            <w:gridSpan w:val="7"/>
          </w:tcPr>
          <w:p>
            <w:pPr>
              <w:spacing w:after="0"/>
              <w:rPr>
                <w:sz w:val="14"/>
                <w:szCs w:val="14"/>
                <w:color w:val="auto"/>
              </w:rPr>
            </w:pPr>
          </w:p>
        </w:tc>
        <w:tc>
          <w:tcPr>
            <w:tcW w:w="660" w:type="dxa"/>
            <w:vAlign w:val="bottom"/>
            <w:gridSpan w:val="3"/>
          </w:tcPr>
          <w:p>
            <w:pPr>
              <w:spacing w:after="0"/>
              <w:rPr>
                <w:sz w:val="14"/>
                <w:szCs w:val="14"/>
                <w:color w:val="auto"/>
              </w:rPr>
            </w:pPr>
          </w:p>
        </w:tc>
        <w:tc>
          <w:tcPr>
            <w:tcW w:w="7040" w:type="dxa"/>
            <w:vAlign w:val="bottom"/>
            <w:gridSpan w:val="5"/>
          </w:tcPr>
          <w:p>
            <w:pPr>
              <w:spacing w:after="0"/>
              <w:rPr>
                <w:sz w:val="14"/>
                <w:szCs w:val="14"/>
                <w:color w:val="auto"/>
              </w:rPr>
            </w:pPr>
          </w:p>
        </w:tc>
        <w:tc>
          <w:tcPr>
            <w:tcW w:w="420" w:type="dxa"/>
            <w:vAlign w:val="bottom"/>
          </w:tcPr>
          <w:p>
            <w:pPr>
              <w:jc w:val="right"/>
              <w:spacing w:after="0" w:line="172" w:lineRule="exact"/>
              <w:rPr>
                <w:sz w:val="20"/>
                <w:szCs w:val="20"/>
                <w:color w:val="auto"/>
              </w:rPr>
            </w:pPr>
            <w:r>
              <w:rPr>
                <w:rFonts w:ascii="Arial" w:cs="Arial" w:eastAsia="Arial" w:hAnsi="Arial"/>
                <w:sz w:val="17"/>
                <w:szCs w:val="17"/>
                <w:color w:val="auto"/>
              </w:rPr>
              <w:t>221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60" w:type="dxa"/>
            <w:vAlign w:val="bottom"/>
            <w:tcBorders>
              <w:top w:val="single" w:sz="8" w:color="0000EE"/>
            </w:tcBorders>
          </w:tcPr>
          <w:p>
            <w:pPr>
              <w:spacing w:after="0" w:line="172" w:lineRule="exact"/>
              <w:rPr>
                <w:sz w:val="20"/>
                <w:szCs w:val="20"/>
                <w:color w:val="auto"/>
              </w:rPr>
            </w:pPr>
            <w:r>
              <w:rPr>
                <w:rFonts w:ascii="Arial" w:cs="Arial" w:eastAsia="Arial" w:hAnsi="Arial"/>
                <w:sz w:val="17"/>
                <w:szCs w:val="17"/>
                <w:color w:val="0000EE"/>
              </w:rPr>
              <w:t>Where</w:t>
            </w:r>
          </w:p>
        </w:tc>
        <w:tc>
          <w:tcPr>
            <w:tcW w:w="9380" w:type="dxa"/>
            <w:vAlign w:val="bottom"/>
            <w:gridSpan w:val="20"/>
          </w:tcPr>
          <w:p>
            <w:pPr>
              <w:spacing w:after="0" w:line="172" w:lineRule="exact"/>
              <w:rPr>
                <w:sz w:val="20"/>
                <w:szCs w:val="20"/>
                <w:color w:val="auto"/>
              </w:rPr>
            </w:pPr>
            <w:r>
              <w:rPr>
                <w:rFonts w:ascii="Arial" w:cs="Arial" w:eastAsia="Arial" w:hAnsi="Arial"/>
                <w:sz w:val="17"/>
                <w:szCs w:val="17"/>
                <w:color w:val="0000EE"/>
              </w:rPr>
              <w:t>You Can Find More Information</w:t>
            </w:r>
          </w:p>
        </w:tc>
        <w:tc>
          <w:tcPr>
            <w:tcW w:w="420" w:type="dxa"/>
            <w:vAlign w:val="bottom"/>
          </w:tcPr>
          <w:p>
            <w:pPr>
              <w:jc w:val="right"/>
              <w:spacing w:after="0" w:line="172" w:lineRule="exact"/>
              <w:rPr>
                <w:sz w:val="20"/>
                <w:szCs w:val="20"/>
                <w:color w:val="auto"/>
              </w:rPr>
            </w:pPr>
            <w:r>
              <w:rPr>
                <w:rFonts w:ascii="Arial" w:cs="Arial" w:eastAsia="Arial" w:hAnsi="Arial"/>
                <w:sz w:val="17"/>
                <w:szCs w:val="17"/>
                <w:color w:val="auto"/>
              </w:rPr>
              <w:t>221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40" w:type="dxa"/>
            <w:vAlign w:val="bottom"/>
            <w:tcBorders>
              <w:top w:val="single" w:sz="8" w:color="0000EE"/>
              <w:bottom w:val="single" w:sz="8" w:color="0000EE"/>
            </w:tcBorders>
            <w:gridSpan w:val="13"/>
          </w:tcPr>
          <w:p>
            <w:pPr>
              <w:spacing w:after="0" w:line="172" w:lineRule="exact"/>
              <w:rPr>
                <w:sz w:val="20"/>
                <w:szCs w:val="20"/>
                <w:color w:val="auto"/>
              </w:rPr>
            </w:pPr>
            <w:r>
              <w:rPr>
                <w:rFonts w:ascii="Arial" w:cs="Arial" w:eastAsia="Arial" w:hAnsi="Arial"/>
                <w:sz w:val="17"/>
                <w:szCs w:val="17"/>
                <w:color w:val="0000EE"/>
                <w:w w:val="99"/>
              </w:rPr>
              <w:t>Index to Financial Statements</w:t>
            </w:r>
          </w:p>
        </w:tc>
        <w:tc>
          <w:tcPr>
            <w:tcW w:w="660" w:type="dxa"/>
            <w:vAlign w:val="bottom"/>
            <w:tcBorders>
              <w:top w:val="single" w:sz="8" w:color="0000EE"/>
            </w:tcBorders>
            <w:gridSpan w:val="3"/>
          </w:tcPr>
          <w:p>
            <w:pPr>
              <w:spacing w:after="0"/>
              <w:rPr>
                <w:sz w:val="14"/>
                <w:szCs w:val="14"/>
                <w:color w:val="auto"/>
              </w:rPr>
            </w:pPr>
          </w:p>
        </w:tc>
        <w:tc>
          <w:tcPr>
            <w:tcW w:w="7040" w:type="dxa"/>
            <w:vAlign w:val="bottom"/>
            <w:gridSpan w:val="5"/>
          </w:tcPr>
          <w:p>
            <w:pPr>
              <w:spacing w:after="0"/>
              <w:rPr>
                <w:sz w:val="14"/>
                <w:szCs w:val="14"/>
                <w:color w:val="auto"/>
              </w:rPr>
            </w:pPr>
          </w:p>
        </w:tc>
        <w:tc>
          <w:tcPr>
            <w:tcW w:w="440" w:type="dxa"/>
            <w:vAlign w:val="bottom"/>
            <w:gridSpan w:val="2"/>
          </w:tcPr>
          <w:p>
            <w:pPr>
              <w:ind w:left="180"/>
              <w:spacing w:after="0" w:line="172" w:lineRule="exact"/>
              <w:rPr>
                <w:sz w:val="20"/>
                <w:szCs w:val="20"/>
                <w:color w:val="auto"/>
              </w:rPr>
            </w:pPr>
            <w:r>
              <w:rPr>
                <w:rFonts w:ascii="Arial" w:cs="Arial" w:eastAsia="Arial" w:hAnsi="Arial"/>
                <w:sz w:val="17"/>
                <w:szCs w:val="17"/>
                <w:color w:val="auto"/>
                <w:w w:val="93"/>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202565</wp:posOffset>
            </wp:positionV>
            <wp:extent cx="11842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8427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420" w:right="20" w:firstLine="417"/>
        <w:spacing w:after="0" w:line="250" w:lineRule="auto"/>
        <w:rPr>
          <w:sz w:val="20"/>
          <w:szCs w:val="20"/>
          <w:color w:val="auto"/>
        </w:rPr>
      </w:pPr>
      <w:r>
        <w:rPr>
          <w:rFonts w:ascii="Arial" w:cs="Arial" w:eastAsia="Arial" w:hAnsi="Arial"/>
          <w:sz w:val="17"/>
          <w:szCs w:val="17"/>
          <w:b w:val="1"/>
          <w:bCs w:val="1"/>
          <w:color w:val="auto"/>
        </w:rPr>
        <w:t>Through and including           , 2024 (the 25th day after the date of this prospectus), all dealers that buy, sell or trade shares of our common stock, whether or not participating in this offering, may be required to deliver a prospectus. This delivery requirement is in addition to the dealer’s obligation to deliver a prospectus when acting as an underwriter and with respect to an unsold allotment or subscription.</w:t>
      </w:r>
    </w:p>
    <w:p>
      <w:pPr>
        <w:spacing w:after="0" w:line="118" w:lineRule="exact"/>
        <w:rPr>
          <w:sz w:val="20"/>
          <w:szCs w:val="20"/>
          <w:color w:val="auto"/>
        </w:rPr>
      </w:pPr>
    </w:p>
    <w:p>
      <w:pPr>
        <w:ind w:left="420" w:firstLine="521"/>
        <w:spacing w:after="0" w:line="241" w:lineRule="auto"/>
        <w:rPr>
          <w:sz w:val="20"/>
          <w:szCs w:val="20"/>
          <w:color w:val="auto"/>
        </w:rPr>
      </w:pPr>
      <w:r>
        <w:rPr>
          <w:rFonts w:ascii="Arial" w:cs="Arial" w:eastAsia="Arial" w:hAnsi="Arial"/>
          <w:sz w:val="17"/>
          <w:szCs w:val="17"/>
          <w:color w:val="auto"/>
        </w:rPr>
        <w:t>Neither we nor the underwriters have authorized anyone to provide you with information other than that contained in this prospectus or any free writing prospectus prepared by or on behalf of us or to which we have referred you. We and the underwriters take no responsibility for, and can provide no assurance as to, the reliability of, any other information that others may give you. We and the underwriters are offering to sell, and seeking offers to buy, shares of our common stock only in jurisdictions where offers and sales are permitted. The information contained in this prospectus or any free writing prospectus is accurate only as of its date, regardless of its time of delivery or of any sale of shares of our common stock. Our business, financial condition, results of operations and prospects may have changed since that date.</w:t>
      </w:r>
    </w:p>
    <w:p>
      <w:pPr>
        <w:spacing w:after="0" w:line="134" w:lineRule="exact"/>
        <w:rPr>
          <w:sz w:val="20"/>
          <w:szCs w:val="20"/>
          <w:color w:val="auto"/>
        </w:rPr>
      </w:pPr>
    </w:p>
    <w:p>
      <w:pPr>
        <w:ind w:left="420" w:right="300" w:firstLine="521"/>
        <w:spacing w:after="0" w:line="244" w:lineRule="auto"/>
        <w:rPr>
          <w:sz w:val="20"/>
          <w:szCs w:val="20"/>
          <w:color w:val="auto"/>
        </w:rPr>
      </w:pPr>
      <w:r>
        <w:rPr>
          <w:rFonts w:ascii="Arial" w:cs="Arial" w:eastAsia="Arial" w:hAnsi="Arial"/>
          <w:sz w:val="17"/>
          <w:szCs w:val="17"/>
          <w:color w:val="auto"/>
        </w:rPr>
        <w:t>For investors outside of the United States: we have not, and the underwriters have not,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common stock and the distribution of this prospectus outside of the United States.</w:t>
      </w:r>
    </w:p>
    <w:p>
      <w:pPr>
        <w:spacing w:after="0" w:line="105"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0840"/>
          </w:cols>
          <w:pgMar w:left="320" w:top="439" w:right="7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194310</wp:posOffset>
            </wp:positionV>
            <wp:extent cx="6624955" cy="5269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24955" cy="526986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auto"/>
        </w:rPr>
        <w:t>PROSPECTUS SUMMARY</w:t>
      </w:r>
    </w:p>
    <w:p>
      <w:pPr>
        <w:spacing w:after="0" w:line="203" w:lineRule="exact"/>
        <w:rPr>
          <w:sz w:val="20"/>
          <w:szCs w:val="20"/>
          <w:color w:val="auto"/>
        </w:rPr>
      </w:pPr>
    </w:p>
    <w:p>
      <w:pPr>
        <w:ind w:left="580" w:right="40" w:firstLine="504"/>
        <w:spacing w:after="0" w:line="239"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and is qualified in its entirety by the more detailed information and financial statements included elsewhere in this prospectus. This summary does not contain all of the information you should consider before investing in our common stock. You should carefully read this entire prospectus, including the information in the sections titled “Risk Factors,” “Management’s Discussion and Analysis of Financial Condition and Results of Operations” and “Special Note Regarding Forward-Looking Statements,” and our financial statements and related notes included elsewhere in this prospectus, before making an investment decision. Unless the context requires otherwise, references in this prospectus to “Boundless,” the “Company,” “we,” “us,” and “our” refer to Boundless Bio, Inc. In addition, in this prospectus we refer to our ecDNA-directed therapeutic candidates as “ecDTx,” which are under clinical or preclinical investigation and which have not yet been approved for marketing by the U.S. Food and Drug Administration (FDA) or any other regulatory authority.</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Overview</w:t>
      </w:r>
    </w:p>
    <w:p>
      <w:pPr>
        <w:spacing w:after="0" w:line="98" w:lineRule="exact"/>
        <w:rPr>
          <w:sz w:val="20"/>
          <w:szCs w:val="20"/>
          <w:color w:val="auto"/>
        </w:rPr>
      </w:pPr>
    </w:p>
    <w:p>
      <w:pPr>
        <w:ind w:left="580" w:right="200" w:firstLine="504"/>
        <w:spacing w:after="0" w:line="244" w:lineRule="auto"/>
        <w:rPr>
          <w:sz w:val="20"/>
          <w:szCs w:val="20"/>
          <w:color w:val="auto"/>
        </w:rPr>
      </w:pPr>
      <w:r>
        <w:rPr>
          <w:rFonts w:ascii="Arial" w:cs="Arial" w:eastAsia="Arial" w:hAnsi="Arial"/>
          <w:sz w:val="17"/>
          <w:szCs w:val="17"/>
          <w:color w:val="auto"/>
        </w:rPr>
        <w:t>We are a clinical-stage oncology company dedicated to unlocking a new paradigm in cancer therapeutics that addresses the significant unmet need in patients with oncogene amplified tumors by targeting extrachromosomal DNA (ecDNA), a root cause of oncogene amplification observed in more than 14% of cancer patients. Our mission is to be the foremost biopharma company interrogating ecDNA biology to deliver transformative therapies that improve and extend the lives of patients with previously intractable oncogene amplified cancers.</w:t>
      </w:r>
    </w:p>
    <w:p>
      <w:pPr>
        <w:spacing w:after="0" w:line="131" w:lineRule="exact"/>
        <w:rPr>
          <w:sz w:val="20"/>
          <w:szCs w:val="20"/>
          <w:color w:val="auto"/>
        </w:rPr>
      </w:pPr>
    </w:p>
    <w:p>
      <w:pPr>
        <w:ind w:left="580" w:right="20" w:firstLine="504"/>
        <w:spacing w:after="0" w:line="238" w:lineRule="auto"/>
        <w:rPr>
          <w:sz w:val="20"/>
          <w:szCs w:val="20"/>
          <w:color w:val="auto"/>
        </w:rPr>
      </w:pPr>
      <w:r>
        <w:rPr>
          <w:rFonts w:ascii="Arial" w:cs="Arial" w:eastAsia="Arial" w:hAnsi="Arial"/>
          <w:sz w:val="17"/>
          <w:szCs w:val="17"/>
          <w:color w:val="auto"/>
        </w:rPr>
        <w:t>ecDNA are large circular units of nuclear DNA that are a primary mechanism of gene amplification and, like oncogene amplifications, are detected only in cancer cells, not in healthy cells. Despite tremendous advancements in treating cancer broadly, patients with oncogene amplified cancers generally derive little benefit from existing therapies, such as molecular targeted therapies or immunotherapies, and have worse survival rates than patients with other types of cancer. Using our proprietary Spyglass platform, we identify targets essential for ecDNA functionality in oncogene amplified cancer cells, then design and develop small molecule drugs called ecDNA-directed therapeutic candidates (ecDTx) to inhibit those targets, with the aim to prevent cancer cells from using ecDNA to express amplified oncogenes and grow, adapt, and become resistant to existing therapies. Instead of directly targeting the proteins produced by amplified oncogenes, which is the approach of traditional targeted therapies, our ecDTx are intended to be synthetic lethal in tumor cells reliant on ecDNA. In the context of drug development, synthetic lethality is a therapeutic approach wherein using a drug to pharmacologically inhibit one target is lethal to cancer cells harboring a specific genetic alteration to a second target, but not lethal to healthy cells that lack the genetic alteration to the second target. Accordingly, our ecDTx are designed to preferentially kill ecDNA-bearing cancer cells, but not healthy cells without ecDNA. They are engineered to disrupt the underlying cellular machinery that enables ecDNA to function properly, such as proteins essential for ecDNA replication, transcription, assembly, repair, and segregation.</w:t>
      </w:r>
    </w:p>
    <w:p>
      <w:pPr>
        <w:spacing w:after="0" w:line="148" w:lineRule="exact"/>
        <w:rPr>
          <w:sz w:val="20"/>
          <w:szCs w:val="20"/>
          <w:color w:val="auto"/>
        </w:rPr>
      </w:pPr>
    </w:p>
    <w:p>
      <w:pPr>
        <w:ind w:left="580" w:firstLine="504"/>
        <w:spacing w:after="0" w:line="241" w:lineRule="auto"/>
        <w:rPr>
          <w:sz w:val="20"/>
          <w:szCs w:val="20"/>
          <w:color w:val="auto"/>
        </w:rPr>
      </w:pPr>
      <w:r>
        <w:rPr>
          <w:rFonts w:ascii="Arial" w:cs="Arial" w:eastAsia="Arial" w:hAnsi="Arial"/>
          <w:sz w:val="17"/>
          <w:szCs w:val="17"/>
          <w:color w:val="auto"/>
        </w:rPr>
        <w:t>Our lead ecDTx, BBI-355, is a novel, oral, selective inhibitor of checkpoint kinase 1 (CHK1), which manages ecDNA replication and transcription in cancer cells. BBI-355 demonstrated CHK1 inhibition and tumor regressions in ecDNA-enabled preclinical cancer models and is currently being studied in a first-in-human, Phase 1/2 clinical trial in patients with oncogene amplified cancers. We refer to this trial as POTENTIATE (</w:t>
      </w:r>
      <w:r>
        <w:rPr>
          <w:rFonts w:ascii="Arial" w:cs="Arial" w:eastAsia="Arial" w:hAnsi="Arial"/>
          <w:sz w:val="17"/>
          <w:szCs w:val="17"/>
          <w:u w:val="single" w:color="auto"/>
          <w:color w:val="auto"/>
        </w:rPr>
        <w:t>P</w:t>
      </w:r>
      <w:r>
        <w:rPr>
          <w:rFonts w:ascii="Arial" w:cs="Arial" w:eastAsia="Arial" w:hAnsi="Arial"/>
          <w:sz w:val="17"/>
          <w:szCs w:val="17"/>
          <w:color w:val="auto"/>
        </w:rPr>
        <w:t xml:space="preserve">recision </w:t>
      </w:r>
      <w:r>
        <w:rPr>
          <w:rFonts w:ascii="Arial" w:cs="Arial" w:eastAsia="Arial" w:hAnsi="Arial"/>
          <w:sz w:val="17"/>
          <w:szCs w:val="17"/>
          <w:u w:val="single" w:color="auto"/>
          <w:color w:val="auto"/>
        </w:rPr>
        <w:t>O</w:t>
      </w:r>
      <w:r>
        <w:rPr>
          <w:rFonts w:ascii="Arial" w:cs="Arial" w:eastAsia="Arial" w:hAnsi="Arial"/>
          <w:sz w:val="17"/>
          <w:szCs w:val="17"/>
          <w:color w:val="auto"/>
        </w:rPr>
        <w:t xml:space="preserve">ncology </w:t>
      </w:r>
      <w:r>
        <w:rPr>
          <w:rFonts w:ascii="Arial" w:cs="Arial" w:eastAsia="Arial" w:hAnsi="Arial"/>
          <w:sz w:val="17"/>
          <w:szCs w:val="17"/>
          <w:u w:val="single" w:color="auto"/>
          <w:color w:val="auto"/>
        </w:rPr>
        <w:t>T</w:t>
      </w:r>
      <w:r>
        <w:rPr>
          <w:rFonts w:ascii="Arial" w:cs="Arial" w:eastAsia="Arial" w:hAnsi="Arial"/>
          <w:sz w:val="17"/>
          <w:szCs w:val="17"/>
          <w:color w:val="auto"/>
        </w:rPr>
        <w:t xml:space="preserve">rial </w:t>
      </w:r>
      <w:r>
        <w:rPr>
          <w:rFonts w:ascii="Arial" w:cs="Arial" w:eastAsia="Arial" w:hAnsi="Arial"/>
          <w:sz w:val="17"/>
          <w:szCs w:val="17"/>
          <w:u w:val="single" w:color="auto"/>
          <w:color w:val="auto"/>
        </w:rPr>
        <w:t>E</w:t>
      </w:r>
      <w:r>
        <w:rPr>
          <w:rFonts w:ascii="Arial" w:cs="Arial" w:eastAsia="Arial" w:hAnsi="Arial"/>
          <w:sz w:val="17"/>
          <w:szCs w:val="17"/>
          <w:color w:val="auto"/>
        </w:rPr>
        <w:t xml:space="preserve">valuating </w:t>
      </w:r>
      <w:r>
        <w:rPr>
          <w:rFonts w:ascii="Arial" w:cs="Arial" w:eastAsia="Arial" w:hAnsi="Arial"/>
          <w:sz w:val="17"/>
          <w:szCs w:val="17"/>
          <w:u w:val="single" w:color="auto"/>
          <w:color w:val="auto"/>
        </w:rPr>
        <w:t>N</w:t>
      </w:r>
      <w:r>
        <w:rPr>
          <w:rFonts w:ascii="Arial" w:cs="Arial" w:eastAsia="Arial" w:hAnsi="Arial"/>
          <w:sz w:val="17"/>
          <w:szCs w:val="17"/>
          <w:color w:val="auto"/>
        </w:rPr>
        <w:t xml:space="preserve">ovel </w:t>
      </w:r>
      <w:r>
        <w:rPr>
          <w:rFonts w:ascii="Arial" w:cs="Arial" w:eastAsia="Arial" w:hAnsi="Arial"/>
          <w:sz w:val="17"/>
          <w:szCs w:val="17"/>
          <w:u w:val="single" w:color="auto"/>
          <w:color w:val="auto"/>
        </w:rPr>
        <w:t>T</w:t>
      </w:r>
      <w:r>
        <w:rPr>
          <w:rFonts w:ascii="Arial" w:cs="Arial" w:eastAsia="Arial" w:hAnsi="Arial"/>
          <w:sz w:val="17"/>
          <w:szCs w:val="17"/>
          <w:color w:val="auto"/>
        </w:rPr>
        <w:t xml:space="preserve">herapeutic </w:t>
      </w:r>
      <w:r>
        <w:rPr>
          <w:rFonts w:ascii="Arial" w:cs="Arial" w:eastAsia="Arial" w:hAnsi="Arial"/>
          <w:sz w:val="17"/>
          <w:szCs w:val="17"/>
          <w:u w:val="single" w:color="auto"/>
          <w:color w:val="auto"/>
        </w:rPr>
        <w:t>I</w:t>
      </w:r>
      <w:r>
        <w:rPr>
          <w:rFonts w:ascii="Arial" w:cs="Arial" w:eastAsia="Arial" w:hAnsi="Arial"/>
          <w:sz w:val="17"/>
          <w:szCs w:val="17"/>
          <w:color w:val="auto"/>
        </w:rPr>
        <w:t xml:space="preserve">nterrupting </w:t>
      </w:r>
      <w:r>
        <w:rPr>
          <w:rFonts w:ascii="Arial" w:cs="Arial" w:eastAsia="Arial" w:hAnsi="Arial"/>
          <w:sz w:val="17"/>
          <w:szCs w:val="17"/>
          <w:u w:val="single" w:color="auto"/>
          <w:color w:val="auto"/>
        </w:rPr>
        <w:t>A</w:t>
      </w:r>
      <w:r>
        <w:rPr>
          <w:rFonts w:ascii="Arial" w:cs="Arial" w:eastAsia="Arial" w:hAnsi="Arial"/>
          <w:sz w:val="17"/>
          <w:szCs w:val="17"/>
          <w:color w:val="auto"/>
        </w:rPr>
        <w:t xml:space="preserve">mplifications </w:t>
      </w:r>
      <w:r>
        <w:rPr>
          <w:rFonts w:ascii="Arial" w:cs="Arial" w:eastAsia="Arial" w:hAnsi="Arial"/>
          <w:sz w:val="17"/>
          <w:szCs w:val="17"/>
          <w:u w:val="single" w:color="auto"/>
          <w:color w:val="auto"/>
        </w:rPr>
        <w:t>T</w:t>
      </w:r>
      <w:r>
        <w:rPr>
          <w:rFonts w:ascii="Arial" w:cs="Arial" w:eastAsia="Arial" w:hAnsi="Arial"/>
          <w:sz w:val="17"/>
          <w:szCs w:val="17"/>
          <w:color w:val="auto"/>
        </w:rPr>
        <w:t xml:space="preserve">ied to </w:t>
      </w:r>
      <w:r>
        <w:rPr>
          <w:rFonts w:ascii="Arial" w:cs="Arial" w:eastAsia="Arial" w:hAnsi="Arial"/>
          <w:sz w:val="17"/>
          <w:szCs w:val="17"/>
          <w:u w:val="single" w:color="auto"/>
          <w:color w:val="auto"/>
        </w:rPr>
        <w:t>e</w:t>
      </w:r>
      <w:r>
        <w:rPr>
          <w:rFonts w:ascii="Arial" w:cs="Arial" w:eastAsia="Arial" w:hAnsi="Arial"/>
          <w:sz w:val="17"/>
          <w:szCs w:val="17"/>
          <w:color w:val="auto"/>
        </w:rPr>
        <w:t>cDNA). We expect to have preliminary clinical proof of concept safety and antitumor activity data of BBI-355 as a single agent and in combination with targeted therapies from the POTENTIATE trial in the second half of 2024 from approximately 50 to 90 total enrolled patients (single</w:t>
      </w:r>
    </w:p>
    <w:p>
      <w:pPr>
        <w:spacing w:after="0" w:line="27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640"/>
          </w:cols>
          <w:pgMar w:left="320" w:top="439" w:right="9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194310</wp:posOffset>
            </wp:positionV>
            <wp:extent cx="6624955" cy="4077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24955" cy="407733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80"/>
        <w:spacing w:after="0" w:line="239" w:lineRule="auto"/>
        <w:rPr>
          <w:sz w:val="20"/>
          <w:szCs w:val="20"/>
          <w:color w:val="auto"/>
        </w:rPr>
      </w:pPr>
      <w:r>
        <w:rPr>
          <w:rFonts w:ascii="Arial" w:cs="Arial" w:eastAsia="Arial" w:hAnsi="Arial"/>
          <w:sz w:val="17"/>
          <w:szCs w:val="17"/>
          <w:color w:val="auto"/>
        </w:rPr>
        <w:t>agent cohorts N=~30 to 40, combination cohorts N=~20 to 50). Our second ecDTx, BBI-825, is a novel, oral, selective inhibitor of ribonucleotide reductase (RNR), which is essential for ecDNA assembly and repair in cancer cells. BBI-825 demonstrated RNR inhibition and tumor regressions in amplification-enabled preclinical cancer models. In February 2024, we initiated a first-in-human, Phase 1/2 clinical trial of BBI-825 in patients with resistance gene amplifications. We refer to this trial as STARMAP (</w:t>
      </w:r>
      <w:r>
        <w:rPr>
          <w:rFonts w:ascii="Arial" w:cs="Arial" w:eastAsia="Arial" w:hAnsi="Arial"/>
          <w:sz w:val="17"/>
          <w:szCs w:val="17"/>
          <w:u w:val="single" w:color="auto"/>
          <w:color w:val="auto"/>
        </w:rPr>
        <w:t>S</w:t>
      </w:r>
      <w:r>
        <w:rPr>
          <w:rFonts w:ascii="Arial" w:cs="Arial" w:eastAsia="Arial" w:hAnsi="Arial"/>
          <w:sz w:val="17"/>
          <w:szCs w:val="17"/>
          <w:color w:val="auto"/>
        </w:rPr>
        <w:t xml:space="preserve">tudy </w:t>
      </w:r>
      <w:r>
        <w:rPr>
          <w:rFonts w:ascii="Arial" w:cs="Arial" w:eastAsia="Arial" w:hAnsi="Arial"/>
          <w:sz w:val="17"/>
          <w:szCs w:val="17"/>
          <w:u w:val="single" w:color="auto"/>
          <w:color w:val="auto"/>
        </w:rPr>
        <w:t>T</w:t>
      </w:r>
      <w:r>
        <w:rPr>
          <w:rFonts w:ascii="Arial" w:cs="Arial" w:eastAsia="Arial" w:hAnsi="Arial"/>
          <w:sz w:val="17"/>
          <w:szCs w:val="17"/>
          <w:color w:val="auto"/>
        </w:rPr>
        <w:t xml:space="preserve">reating </w:t>
      </w:r>
      <w:r>
        <w:rPr>
          <w:rFonts w:ascii="Arial" w:cs="Arial" w:eastAsia="Arial" w:hAnsi="Arial"/>
          <w:sz w:val="17"/>
          <w:szCs w:val="17"/>
          <w:u w:val="single" w:color="auto"/>
          <w:color w:val="auto"/>
        </w:rPr>
        <w:t>A</w:t>
      </w:r>
      <w:r>
        <w:rPr>
          <w:rFonts w:ascii="Arial" w:cs="Arial" w:eastAsia="Arial" w:hAnsi="Arial"/>
          <w:sz w:val="17"/>
          <w:szCs w:val="17"/>
          <w:color w:val="auto"/>
        </w:rPr>
        <w:t xml:space="preserve">cquired </w:t>
      </w:r>
      <w:r>
        <w:rPr>
          <w:rFonts w:ascii="Arial" w:cs="Arial" w:eastAsia="Arial" w:hAnsi="Arial"/>
          <w:sz w:val="17"/>
          <w:szCs w:val="17"/>
          <w:u w:val="single" w:color="auto"/>
          <w:color w:val="auto"/>
        </w:rPr>
        <w:t>R</w:t>
      </w:r>
      <w:r>
        <w:rPr>
          <w:rFonts w:ascii="Arial" w:cs="Arial" w:eastAsia="Arial" w:hAnsi="Arial"/>
          <w:sz w:val="17"/>
          <w:szCs w:val="17"/>
          <w:color w:val="auto"/>
        </w:rPr>
        <w:t xml:space="preserve"> esistance: </w:t>
      </w:r>
      <w:r>
        <w:rPr>
          <w:rFonts w:ascii="Arial" w:cs="Arial" w:eastAsia="Arial" w:hAnsi="Arial"/>
          <w:sz w:val="17"/>
          <w:szCs w:val="17"/>
          <w:u w:val="single" w:color="auto"/>
          <w:color w:val="auto"/>
        </w:rPr>
        <w:t>MAP</w:t>
      </w:r>
      <w:r>
        <w:rPr>
          <w:rFonts w:ascii="Arial" w:cs="Arial" w:eastAsia="Arial" w:hAnsi="Arial"/>
          <w:sz w:val="17"/>
          <w:szCs w:val="17"/>
          <w:color w:val="auto"/>
        </w:rPr>
        <w:t>K Amplifications). We expect to have preliminary clinical proof of concept safety and antitumor activity data of BBI-825 in combination with targeted therapies from the STARMAP trial in the second half of 2025. Our third ecDTx program is directed at a previously undrugged kinesin target essential for ecDNA segregation and inheritance during cell division. We are advancing our third ecDTx program through drug discovery to candidate identification and expect to submit an investigational new drug application (IND) in the first half of 2026.</w:t>
      </w:r>
    </w:p>
    <w:p>
      <w:pPr>
        <w:spacing w:after="0" w:line="139" w:lineRule="exact"/>
        <w:rPr>
          <w:sz w:val="20"/>
          <w:szCs w:val="20"/>
          <w:color w:val="auto"/>
        </w:rPr>
      </w:pPr>
    </w:p>
    <w:p>
      <w:pPr>
        <w:ind w:left="580" w:right="20" w:firstLine="504"/>
        <w:spacing w:after="0" w:line="241" w:lineRule="auto"/>
        <w:rPr>
          <w:sz w:val="20"/>
          <w:szCs w:val="20"/>
          <w:color w:val="auto"/>
        </w:rPr>
      </w:pPr>
      <w:r>
        <w:rPr>
          <w:rFonts w:ascii="Arial" w:cs="Arial" w:eastAsia="Arial" w:hAnsi="Arial"/>
          <w:sz w:val="17"/>
          <w:szCs w:val="17"/>
          <w:color w:val="auto"/>
        </w:rPr>
        <w:t>To assist in identifying patients that may benefit from our ecDTx, we have developed an ecDNA diagnostic, which we internally call ECHO (</w:t>
      </w:r>
      <w:r>
        <w:rPr>
          <w:rFonts w:ascii="Arial" w:cs="Arial" w:eastAsia="Arial" w:hAnsi="Arial"/>
          <w:sz w:val="17"/>
          <w:szCs w:val="17"/>
          <w:u w:val="single" w:color="auto"/>
          <w:color w:val="auto"/>
        </w:rPr>
        <w:t>ec</w:t>
      </w:r>
      <w:r>
        <w:rPr>
          <w:rFonts w:ascii="Arial" w:cs="Arial" w:eastAsia="Arial" w:hAnsi="Arial"/>
          <w:sz w:val="17"/>
          <w:szCs w:val="17"/>
          <w:color w:val="auto"/>
        </w:rPr>
        <w:t xml:space="preserve">DNA </w:t>
      </w:r>
      <w:r>
        <w:rPr>
          <w:rFonts w:ascii="Arial" w:cs="Arial" w:eastAsia="Arial" w:hAnsi="Arial"/>
          <w:sz w:val="17"/>
          <w:szCs w:val="17"/>
          <w:u w:val="single" w:color="auto"/>
          <w:color w:val="auto"/>
        </w:rPr>
        <w:t>H</w:t>
      </w:r>
      <w:r>
        <w:rPr>
          <w:rFonts w:ascii="Arial" w:cs="Arial" w:eastAsia="Arial" w:hAnsi="Arial"/>
          <w:sz w:val="17"/>
          <w:szCs w:val="17"/>
          <w:color w:val="auto"/>
        </w:rPr>
        <w:t xml:space="preserve">arboring </w:t>
      </w:r>
      <w:r>
        <w:rPr>
          <w:rFonts w:ascii="Arial" w:cs="Arial" w:eastAsia="Arial" w:hAnsi="Arial"/>
          <w:sz w:val="17"/>
          <w:szCs w:val="17"/>
          <w:u w:val="single" w:color="auto"/>
          <w:color w:val="auto"/>
        </w:rPr>
        <w:t>O</w:t>
      </w:r>
      <w:r>
        <w:rPr>
          <w:rFonts w:ascii="Arial" w:cs="Arial" w:eastAsia="Arial" w:hAnsi="Arial"/>
          <w:sz w:val="17"/>
          <w:szCs w:val="17"/>
          <w:color w:val="auto"/>
        </w:rPr>
        <w:t xml:space="preserve">ncogenes), to detect ecDNA in patient tumor samples. This test analyzes the genomic data output from routine next-generation sequencing (NGS) assays that are commonly used by commercial reference and academic laboratories to profile patient tumor samples. We are working with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company to develop this diagnostic test into a clinical trial assay, which we intend to use in our ongoing Phase 1/2 POTENTIATE clinical trial. The FDA has determined that the ecDNA diagnostic is a non-significant risk device when used in patient selection for the POTENTIATE trial, meaning that we will not be required to obtain FDA approval of an Investigational Device Exemption (IDE) for the use of the ecDNA diagnostic in this trial.</w:t>
      </w:r>
    </w:p>
    <w:p>
      <w:pPr>
        <w:spacing w:after="0" w:line="146" w:lineRule="exact"/>
        <w:rPr>
          <w:sz w:val="20"/>
          <w:szCs w:val="20"/>
          <w:color w:val="auto"/>
        </w:rPr>
      </w:pPr>
    </w:p>
    <w:p>
      <w:pPr>
        <w:ind w:left="580" w:right="40" w:firstLine="504"/>
        <w:spacing w:after="0" w:line="244" w:lineRule="auto"/>
        <w:rPr>
          <w:sz w:val="20"/>
          <w:szCs w:val="20"/>
          <w:color w:val="auto"/>
        </w:rPr>
      </w:pPr>
      <w:r>
        <w:rPr>
          <w:rFonts w:ascii="Arial" w:cs="Arial" w:eastAsia="Arial" w:hAnsi="Arial"/>
          <w:sz w:val="17"/>
          <w:szCs w:val="17"/>
          <w:color w:val="auto"/>
        </w:rPr>
        <w:t>Our current pipeline consists of three ecDTx programs directed against three different ecDNA targets, as well as our ecDNA diagnostic. We also continue to identify new ecDNA targets, both novel and previously clinically validated, through our proprietary Spyglass platform. We have built our Spyglass platform to identify specific, druggable targets essential to ecDNA formation and function in cancer cells. To our knowledge, Spyglass is the only platform in the biopharma industry focused on identifying ecDNA-enabled vulnerabilities in cancer. All of our ecDTx have been discovered internally, and we retain global rights for all of our programs.</w:t>
      </w:r>
    </w:p>
    <w:p>
      <w:pPr>
        <w:spacing w:after="0" w:line="131" w:lineRule="exact"/>
        <w:rPr>
          <w:sz w:val="20"/>
          <w:szCs w:val="20"/>
          <w:color w:val="auto"/>
        </w:rPr>
      </w:pPr>
    </w:p>
    <w:p>
      <w:pPr>
        <w:ind w:left="580" w:right="180" w:firstLine="504"/>
        <w:spacing w:after="0"/>
        <w:rPr>
          <w:sz w:val="20"/>
          <w:szCs w:val="20"/>
          <w:color w:val="auto"/>
        </w:rPr>
      </w:pPr>
      <w:r>
        <w:rPr>
          <w:rFonts w:ascii="Arial" w:cs="Arial" w:eastAsia="Arial" w:hAnsi="Arial"/>
          <w:sz w:val="17"/>
          <w:szCs w:val="17"/>
          <w:color w:val="auto"/>
        </w:rPr>
        <w:t>As we are, to our knowledge, the first company formed to develop new cancer medicines directed at ecDNA and the only company to date to bring an ecDTx into the clinic to treat cancer patients, we consider ourselves to be the world’s leading ecDNA company. Our efforts build on the work of our scientific founders and advisors, including Dr. Paul Mischel, who is a globally recognized leader in the ecDNA field, having authored more than 20 peer-reviewed publications on ecDNA and the team leader for the National Institute of Health’s (NIH) and Cancer Research United Kingdom’s (CRUK) Cancer Grand Challenges team devoted to ecDNA and its role in cancer. Dr. Mischel is the Chairman of our Scientific Advisory Board. We leverage this unique expertise to identify new cancer targets that are synthetic lethal in ecDNA-bearing cancer cells and to develop new medicines for patients with oncogene amplified cancers.</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20"/>
          </w:cols>
          <w:pgMar w:left="320" w:top="439" w:right="9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194310</wp:posOffset>
            </wp:positionV>
            <wp:extent cx="6624955" cy="5748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24955" cy="57486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auto"/>
        </w:rPr>
        <w:t>Our Pipeline and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80" w:firstLine="504"/>
        <w:spacing w:after="0" w:line="237" w:lineRule="auto"/>
        <w:rPr>
          <w:sz w:val="20"/>
          <w:szCs w:val="20"/>
          <w:color w:val="auto"/>
        </w:rPr>
      </w:pPr>
      <w:r>
        <w:rPr>
          <w:rFonts w:ascii="Arial" w:cs="Arial" w:eastAsia="Arial" w:hAnsi="Arial"/>
          <w:sz w:val="17"/>
          <w:szCs w:val="17"/>
          <w:color w:val="auto"/>
        </w:rPr>
        <w:t xml:space="preserve">Our lead ecDTx, BBI-355, is a novel, oral, selective small molecule CHK1 inhibitor being studied in the ongoing first-in-human, Phase 1/2 POTENTIATE clinical trial in patients with oncogene amplified cancers. CHK1 is a master regulator of cells’ response to replication stress (RS). RS is elevated in ecDNA-enabled oncogene amplified cancer cells and, because of this, represents a key vulnerability of those cells. BBI-355 is designed to exploit the elevated RS in ecDNA-enabled oncogene amplified cancer cells by disrupting proper CHK1 function in regulating RS, and thereby facilitating catastrophic RS to preferentially kill cancer cells relative to healthy cells. We believe that using CHK1 inhibition as a therapeutic strategy to target ecDNA-induced RS coupled with our approach to specifically identify patients whose tumors harbor ecDNA differentiates us from other biopharma industry efforts to therapeutically target CHK1 or other components of the cellular RS response. In addition, BBI-355 is orally administered, which, unlike intravenous (IV) dosing of a CHK1 inhibitor, allows for continuous or chronic intermittent dosing, which we believe is critical for targeting ecDNA biology. BBI-355 showed inhibition of CHK1 in a host of tumor cell lines and demonstrated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single agent tumor growth inhibition or tumor regressions across a range of tumor models representing different oncogene amplifications and tumor types. BBI-355 also demonstrated synergistic tumor growth inhibition or tumor regressions when combined with targeted therapies, both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across multiple oncogene amplification tumor settings. We expect to have preliminary clinical proof of concept safety and antitumor activity data of BBI-355 as a single agent and in combination with targeted therapies from our ongoing POTENTIATE clinical trial in the second half of 2024 from approximately 50 to 90 total enrolled patients (single agent cohorts N=~30 to 40, combination cohorts N=~20 to 50).</w:t>
      </w:r>
    </w:p>
    <w:p>
      <w:pPr>
        <w:spacing w:after="0" w:line="157" w:lineRule="exact"/>
        <w:rPr>
          <w:sz w:val="20"/>
          <w:szCs w:val="20"/>
          <w:color w:val="auto"/>
        </w:rPr>
      </w:pPr>
    </w:p>
    <w:p>
      <w:pPr>
        <w:ind w:left="580" w:right="40" w:firstLine="504"/>
        <w:spacing w:after="0" w:line="241" w:lineRule="auto"/>
        <w:rPr>
          <w:sz w:val="20"/>
          <w:szCs w:val="20"/>
          <w:color w:val="auto"/>
        </w:rPr>
      </w:pPr>
      <w:r>
        <w:rPr>
          <w:rFonts w:ascii="Arial" w:cs="Arial" w:eastAsia="Arial" w:hAnsi="Arial"/>
          <w:sz w:val="17"/>
          <w:szCs w:val="17"/>
          <w:color w:val="auto"/>
        </w:rPr>
        <w:t xml:space="preserve">Our second ecDTx, BBI-825, is a novel, oral, selective small molecule RNR inhibitor. In February 2024, we initiated the first-in-human, Phase 1/2 STARMAP clinical trial in patients with resistance gene amplifications. RNR is a rate-limiting enzyme responsible for cellular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synthesis of deoxyribonucleotide triphosphates (dNTPs), the building blocks of DNA, and essential to the assembly and repair of ecDNA. The premise for this ecDTx program is based on the observation that RNR inhibition starved ecDNA-reliant cancer cells of dNTPs, depleted ecDNA, and was synthetic lethal in certain oncogene amplified cancer models. BBI-825 has demonstrated preclinical proof of concept in multiple tumor types and across different oncogene amplifications, including both driver oncogene and resistance settings. BBI-825 demonstrated RNR inhibition in a host of tumor cell lines and showed </w:t>
      </w:r>
      <w:r>
        <w:rPr>
          <w:rFonts w:ascii="Arial" w:cs="Arial" w:eastAsia="Arial" w:hAnsi="Arial"/>
          <w:sz w:val="17"/>
          <w:szCs w:val="17"/>
          <w:i w:val="1"/>
          <w:iCs w:val="1"/>
          <w:color w:val="auto"/>
        </w:rPr>
        <w:t>in</w:t>
      </w:r>
    </w:p>
    <w:p>
      <w:pPr>
        <w:spacing w:after="0" w:line="27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620"/>
          </w:cols>
          <w:pgMar w:left="320" w:top="439" w:right="9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194310</wp:posOffset>
            </wp:positionV>
            <wp:extent cx="6624955" cy="54000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24955" cy="540004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80"/>
        <w:spacing w:after="0" w:line="222" w:lineRule="auto"/>
        <w:rPr>
          <w:sz w:val="20"/>
          <w:szCs w:val="20"/>
          <w:color w:val="auto"/>
        </w:rPr>
      </w:pPr>
      <w:r>
        <w:rPr>
          <w:rFonts w:ascii="Arial" w:cs="Arial" w:eastAsia="Arial" w:hAnsi="Arial"/>
          <w:sz w:val="17"/>
          <w:szCs w:val="17"/>
          <w:i w:val="1"/>
          <w:iCs w:val="1"/>
          <w:color w:val="auto"/>
        </w:rPr>
        <w:t xml:space="preserve">vitro </w:t>
      </w:r>
      <w:r>
        <w:rPr>
          <w:rFonts w:ascii="Arial" w:cs="Arial" w:eastAsia="Arial" w:hAnsi="Arial"/>
          <w:sz w:val="17"/>
          <w:szCs w:val="17"/>
          <w:color w:val="auto"/>
        </w:rPr>
        <w:t>and</w:t>
      </w:r>
      <w:r>
        <w:rPr>
          <w:rFonts w:ascii="Arial" w:cs="Arial" w:eastAsia="Arial" w:hAnsi="Arial"/>
          <w:sz w:val="17"/>
          <w:szCs w:val="17"/>
          <w:i w:val="1"/>
          <w:iCs w:val="1"/>
          <w:color w:val="auto"/>
        </w:rPr>
        <w:t xml:space="preserve"> in vivo </w:t>
      </w:r>
      <w:r>
        <w:rPr>
          <w:rFonts w:ascii="Arial" w:cs="Arial" w:eastAsia="Arial" w:hAnsi="Arial"/>
          <w:sz w:val="17"/>
          <w:szCs w:val="17"/>
          <w:color w:val="auto"/>
        </w:rPr>
        <w:t>single agent tumor growth inhibition and synergistic activity, including tumor regressions, when combined with specific</w:t>
      </w:r>
      <w:r>
        <w:rPr>
          <w:rFonts w:ascii="Arial" w:cs="Arial" w:eastAsia="Arial" w:hAnsi="Arial"/>
          <w:sz w:val="17"/>
          <w:szCs w:val="17"/>
          <w:i w:val="1"/>
          <w:iCs w:val="1"/>
          <w:color w:val="auto"/>
        </w:rPr>
        <w:t xml:space="preserve"> </w:t>
      </w:r>
      <w:r>
        <w:rPr>
          <w:rFonts w:ascii="Arial" w:cs="Arial" w:eastAsia="Arial" w:hAnsi="Arial"/>
          <w:sz w:val="17"/>
          <w:szCs w:val="17"/>
          <w:color w:val="auto"/>
        </w:rPr>
        <w:t>targeted therapies in amplification-enabled tumor models, in particular, cancer models that develop resistance amplifications in response to mitogen activated protein kinase (MAPK) pathway targeting therapies, such as BRAF</w:t>
      </w:r>
      <w:r>
        <w:rPr>
          <w:rFonts w:ascii="Arial" w:cs="Arial" w:eastAsia="Arial" w:hAnsi="Arial"/>
          <w:sz w:val="25"/>
          <w:szCs w:val="25"/>
          <w:color w:val="auto"/>
          <w:vertAlign w:val="superscript"/>
        </w:rPr>
        <w:t>V600</w:t>
      </w:r>
      <w:r>
        <w:rPr>
          <w:rFonts w:ascii="Arial" w:cs="Arial" w:eastAsia="Arial" w:hAnsi="Arial"/>
          <w:sz w:val="17"/>
          <w:szCs w:val="17"/>
          <w:color w:val="auto"/>
        </w:rPr>
        <w:t xml:space="preserve"> and KRAS</w:t>
      </w:r>
      <w:r>
        <w:rPr>
          <w:rFonts w:ascii="Arial" w:cs="Arial" w:eastAsia="Arial" w:hAnsi="Arial"/>
          <w:sz w:val="25"/>
          <w:szCs w:val="25"/>
          <w:color w:val="auto"/>
          <w:vertAlign w:val="superscript"/>
        </w:rPr>
        <w:t>G12C</w:t>
      </w:r>
      <w:r>
        <w:rPr>
          <w:rFonts w:ascii="Arial" w:cs="Arial" w:eastAsia="Arial" w:hAnsi="Arial"/>
          <w:sz w:val="17"/>
          <w:szCs w:val="17"/>
          <w:color w:val="auto"/>
        </w:rPr>
        <w:t xml:space="preserve"> inhibitors. We expect to have preliminary clinical proof of concept safety and antitumor activity data of BBI-825 in combination with targeted therapies from the STARMAP clinical trial in the second half of 2025.</w:t>
      </w:r>
    </w:p>
    <w:p>
      <w:pPr>
        <w:spacing w:after="0" w:line="135" w:lineRule="exact"/>
        <w:rPr>
          <w:sz w:val="20"/>
          <w:szCs w:val="20"/>
          <w:color w:val="auto"/>
        </w:rPr>
      </w:pPr>
    </w:p>
    <w:p>
      <w:pPr>
        <w:ind w:left="580" w:right="60" w:firstLine="504"/>
        <w:spacing w:after="0" w:line="247" w:lineRule="auto"/>
        <w:rPr>
          <w:sz w:val="20"/>
          <w:szCs w:val="20"/>
          <w:color w:val="auto"/>
        </w:rPr>
      </w:pPr>
      <w:r>
        <w:rPr>
          <w:rFonts w:ascii="Arial" w:cs="Arial" w:eastAsia="Arial" w:hAnsi="Arial"/>
          <w:sz w:val="17"/>
          <w:szCs w:val="17"/>
          <w:color w:val="auto"/>
        </w:rPr>
        <w:t>Our third ecDTx program is directed to ecDNA segregation, which we identified as a unique node of ecDNA vulnerability via our Spyglass platform. Specifically, we are targeting a kinesin involved with the cellular mechanism for segregation of ecDNA, and its resulting inheritance, into dividing cells. We are advancing our third ecDTx program through drug discovery to candidate identification and expect to submit an IND in the first half of 2026.</w:t>
      </w:r>
    </w:p>
    <w:p>
      <w:pPr>
        <w:spacing w:after="0" w:line="141" w:lineRule="exact"/>
        <w:rPr>
          <w:sz w:val="20"/>
          <w:szCs w:val="20"/>
          <w:color w:val="auto"/>
        </w:rPr>
      </w:pPr>
    </w:p>
    <w:p>
      <w:pPr>
        <w:ind w:left="580" w:right="100" w:firstLine="504"/>
        <w:spacing w:after="0" w:line="244" w:lineRule="auto"/>
        <w:rPr>
          <w:sz w:val="20"/>
          <w:szCs w:val="20"/>
          <w:color w:val="auto"/>
        </w:rPr>
      </w:pPr>
      <w:r>
        <w:rPr>
          <w:rFonts w:ascii="Arial" w:cs="Arial" w:eastAsia="Arial" w:hAnsi="Arial"/>
          <w:sz w:val="17"/>
          <w:szCs w:val="17"/>
          <w:color w:val="auto"/>
        </w:rPr>
        <w:t>We continue to leverage Spyglass to identify and preclinically validate additional ecDNA-essential targets. These candidate targets span multiple, diverse ecDNA synthetic lethal nodes in oncogene amplified cancers. In addition to our three ecDTx programs described above, we have preclinically validated multiple additional ecDNA targets and have initiated ecDTx drug discovery efforts to identify candidates against such targets. We expect to continue to identify and preclinically validate additional ecDNA targets using our Spyglass platform in the future.</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We believe our unique approach to developing ecDTx has many potential benefits for patients, including:</w:t>
      </w:r>
    </w:p>
    <w:p>
      <w:pPr>
        <w:spacing w:after="0" w:line="111" w:lineRule="exact"/>
        <w:rPr>
          <w:sz w:val="20"/>
          <w:szCs w:val="20"/>
          <w:color w:val="auto"/>
        </w:rPr>
      </w:pPr>
    </w:p>
    <w:p>
      <w:pPr>
        <w:ind w:left="1780" w:hanging="391"/>
        <w:spacing w:after="0"/>
        <w:tabs>
          <w:tab w:leader="none" w:pos="1780" w:val="left"/>
        </w:tabs>
        <w:numPr>
          <w:ilvl w:val="0"/>
          <w:numId w:val="1"/>
        </w:numPr>
        <w:rPr>
          <w:rFonts w:ascii="Arial" w:cs="Arial" w:eastAsia="Arial" w:hAnsi="Arial"/>
          <w:sz w:val="17"/>
          <w:szCs w:val="17"/>
          <w:color w:val="auto"/>
        </w:rPr>
      </w:pPr>
      <w:r>
        <w:rPr>
          <w:rFonts w:ascii="Arial" w:cs="Arial" w:eastAsia="Arial" w:hAnsi="Arial"/>
          <w:sz w:val="17"/>
          <w:szCs w:val="17"/>
          <w:color w:val="auto"/>
        </w:rPr>
        <w:t>addressing oncogene amplified cancers, a type of cancer without effective treatment options;</w:t>
      </w:r>
    </w:p>
    <w:p>
      <w:pPr>
        <w:spacing w:after="0" w:line="111" w:lineRule="exact"/>
        <w:rPr>
          <w:rFonts w:ascii="Arial" w:cs="Arial" w:eastAsia="Arial" w:hAnsi="Arial"/>
          <w:sz w:val="17"/>
          <w:szCs w:val="17"/>
          <w:color w:val="auto"/>
        </w:rPr>
      </w:pPr>
    </w:p>
    <w:p>
      <w:pPr>
        <w:ind w:left="1780" w:right="520" w:hanging="391"/>
        <w:spacing w:after="0" w:line="270" w:lineRule="auto"/>
        <w:tabs>
          <w:tab w:leader="none" w:pos="1780" w:val="left"/>
        </w:tabs>
        <w:numPr>
          <w:ilvl w:val="0"/>
          <w:numId w:val="1"/>
        </w:numPr>
        <w:rPr>
          <w:rFonts w:ascii="Arial" w:cs="Arial" w:eastAsia="Arial" w:hAnsi="Arial"/>
          <w:sz w:val="17"/>
          <w:szCs w:val="17"/>
          <w:color w:val="auto"/>
        </w:rPr>
      </w:pPr>
      <w:r>
        <w:rPr>
          <w:rFonts w:ascii="Arial" w:cs="Arial" w:eastAsia="Arial" w:hAnsi="Arial"/>
          <w:sz w:val="17"/>
          <w:szCs w:val="17"/>
          <w:color w:val="auto"/>
        </w:rPr>
        <w:t>identifying patients whose tumors have ecDNA and are likely to benefit from our ecDTx by using our proprietary ecDNA diagnostic; and</w:t>
      </w:r>
    </w:p>
    <w:p>
      <w:pPr>
        <w:spacing w:after="0" w:line="58" w:lineRule="exact"/>
        <w:rPr>
          <w:rFonts w:ascii="Arial" w:cs="Arial" w:eastAsia="Arial" w:hAnsi="Arial"/>
          <w:sz w:val="17"/>
          <w:szCs w:val="17"/>
          <w:color w:val="auto"/>
        </w:rPr>
      </w:pPr>
    </w:p>
    <w:p>
      <w:pPr>
        <w:ind w:left="1780" w:right="160" w:hanging="391"/>
        <w:spacing w:after="0" w:line="270" w:lineRule="auto"/>
        <w:tabs>
          <w:tab w:leader="none" w:pos="1780" w:val="left"/>
        </w:tabs>
        <w:numPr>
          <w:ilvl w:val="0"/>
          <w:numId w:val="1"/>
        </w:numPr>
        <w:rPr>
          <w:rFonts w:ascii="Arial" w:cs="Arial" w:eastAsia="Arial" w:hAnsi="Arial"/>
          <w:sz w:val="17"/>
          <w:szCs w:val="17"/>
          <w:color w:val="auto"/>
        </w:rPr>
      </w:pPr>
      <w:r>
        <w:rPr>
          <w:rFonts w:ascii="Arial" w:cs="Arial" w:eastAsia="Arial" w:hAnsi="Arial"/>
          <w:sz w:val="17"/>
          <w:szCs w:val="17"/>
          <w:color w:val="auto"/>
        </w:rPr>
        <w:t>employing a tumor-agnostic development strategy, focusing on oncogene amplified cancers across a broad range of tumor types and amplified oncogene drivers.</w:t>
      </w:r>
    </w:p>
    <w:p>
      <w:pPr>
        <w:spacing w:after="0" w:line="110" w:lineRule="exact"/>
        <w:rPr>
          <w:sz w:val="20"/>
          <w:szCs w:val="20"/>
          <w:color w:val="auto"/>
        </w:rPr>
      </w:pPr>
    </w:p>
    <w:p>
      <w:pPr>
        <w:ind w:left="580" w:firstLine="504"/>
        <w:spacing w:after="0" w:line="239" w:lineRule="auto"/>
        <w:rPr>
          <w:sz w:val="20"/>
          <w:szCs w:val="20"/>
          <w:color w:val="auto"/>
        </w:rPr>
      </w:pPr>
      <w:r>
        <w:rPr>
          <w:rFonts w:ascii="Arial" w:cs="Arial" w:eastAsia="Arial" w:hAnsi="Arial"/>
          <w:sz w:val="17"/>
          <w:szCs w:val="17"/>
          <w:color w:val="auto"/>
        </w:rPr>
        <w:t>Since our inception, we have raised $252.1 million from leading life science investors, including our 5% or greater stockholders, ARCH Venture Partners, Fidelity Management &amp; Research Company LLC, RA Capital Management, Leaps by Bayer, Nextech Invest, and Vertex Ventures HC, as well as other investors. Prospective investors should not rely on the investment decisions of our existing investors, as these investors may have different risk tolerances and strategies and have purchased their shares in prior offerings at prices lower than the price offered to the public in this offering. In addition, some of these investors may not be subject to reporting requirements under Section 16 of the Securities Exchange Act of 1934, as amended (the Exchange Act), and, thus, prospective investors may not necessarily know the total amount of investment by each of the prior investors and if and when some of the prior investors decide to sell any of their shares. See the sections titled “Certain Relationships and Related Person Transactions” and “Principal Stockholders” for more information on prior purchases by and current holdings of these stockholders.</w:t>
      </w:r>
    </w:p>
    <w:p>
      <w:pPr>
        <w:spacing w:after="0" w:line="28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Our History and Team</w:t>
      </w:r>
    </w:p>
    <w:p>
      <w:pPr>
        <w:spacing w:after="0" w:line="98" w:lineRule="exact"/>
        <w:rPr>
          <w:sz w:val="20"/>
          <w:szCs w:val="20"/>
          <w:color w:val="auto"/>
        </w:rPr>
      </w:pPr>
    </w:p>
    <w:p>
      <w:pPr>
        <w:ind w:left="580" w:right="100" w:firstLine="504"/>
        <w:spacing w:after="0" w:line="244" w:lineRule="auto"/>
        <w:rPr>
          <w:sz w:val="20"/>
          <w:szCs w:val="20"/>
          <w:color w:val="auto"/>
        </w:rPr>
      </w:pPr>
      <w:r>
        <w:rPr>
          <w:rFonts w:ascii="Arial" w:cs="Arial" w:eastAsia="Arial" w:hAnsi="Arial"/>
          <w:sz w:val="17"/>
          <w:szCs w:val="17"/>
          <w:color w:val="auto"/>
        </w:rPr>
        <w:t>Our company was founded in 2018 by a leading healthcare investor, ARCH Venture Partners, and the world’s leading academic researchers in the burgeoning field of ecDNA. One of our scientific co-founders, Paul Mischel, M.D., Institute Scholar ChEM-H and Vice Chair of Research and Professor for the Department of Pathology at Stanford University, and member of the National Academy of Medicine, is internationally recognized for his expertise in ecDNA and cancer biology. Dr. Mischel serves as the Chairman of our Scientific Advisory Board.</w:t>
      </w:r>
    </w:p>
    <w:p>
      <w:pPr>
        <w:spacing w:after="0" w:line="28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660"/>
          </w:cols>
          <w:pgMar w:left="320" w:top="439" w:right="9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194310</wp:posOffset>
            </wp:positionV>
            <wp:extent cx="6624955" cy="51644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24955" cy="51644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Our other scientific co-founders include:</w:t>
      </w:r>
    </w:p>
    <w:p>
      <w:pPr>
        <w:spacing w:after="0" w:line="111" w:lineRule="exact"/>
        <w:rPr>
          <w:sz w:val="20"/>
          <w:szCs w:val="20"/>
          <w:color w:val="auto"/>
        </w:rPr>
      </w:pPr>
    </w:p>
    <w:p>
      <w:pPr>
        <w:ind w:left="1780" w:right="600" w:hanging="391"/>
        <w:spacing w:after="0" w:line="270" w:lineRule="auto"/>
        <w:tabs>
          <w:tab w:leader="none" w:pos="1780" w:val="left"/>
        </w:tabs>
        <w:numPr>
          <w:ilvl w:val="0"/>
          <w:numId w:val="2"/>
        </w:numPr>
        <w:rPr>
          <w:rFonts w:ascii="Arial" w:cs="Arial" w:eastAsia="Arial" w:hAnsi="Arial"/>
          <w:sz w:val="17"/>
          <w:szCs w:val="17"/>
          <w:color w:val="auto"/>
        </w:rPr>
      </w:pPr>
      <w:r>
        <w:rPr>
          <w:rFonts w:ascii="Arial" w:cs="Arial" w:eastAsia="Arial" w:hAnsi="Arial"/>
          <w:sz w:val="17"/>
          <w:szCs w:val="17"/>
          <w:color w:val="auto"/>
        </w:rPr>
        <w:t>Vineet Bafna, Ph.D., Professor of Computer Science &amp; Engineering at the University of California, San Diego; co-founder of Digital Proteomics; current member of our Scientific Advisory Board.</w:t>
      </w:r>
    </w:p>
    <w:p>
      <w:pPr>
        <w:spacing w:after="0" w:line="58" w:lineRule="exact"/>
        <w:rPr>
          <w:rFonts w:ascii="Arial" w:cs="Arial" w:eastAsia="Arial" w:hAnsi="Arial"/>
          <w:sz w:val="17"/>
          <w:szCs w:val="17"/>
          <w:color w:val="auto"/>
        </w:rPr>
      </w:pPr>
    </w:p>
    <w:p>
      <w:pPr>
        <w:ind w:left="1780" w:right="340" w:hanging="391"/>
        <w:spacing w:after="0" w:line="247" w:lineRule="auto"/>
        <w:tabs>
          <w:tab w:leader="none" w:pos="1780" w:val="left"/>
        </w:tabs>
        <w:numPr>
          <w:ilvl w:val="0"/>
          <w:numId w:val="2"/>
        </w:numPr>
        <w:rPr>
          <w:rFonts w:ascii="Arial" w:cs="Arial" w:eastAsia="Arial" w:hAnsi="Arial"/>
          <w:sz w:val="17"/>
          <w:szCs w:val="17"/>
          <w:color w:val="auto"/>
        </w:rPr>
      </w:pPr>
      <w:r>
        <w:rPr>
          <w:rFonts w:ascii="Arial" w:cs="Arial" w:eastAsia="Arial" w:hAnsi="Arial"/>
          <w:sz w:val="17"/>
          <w:szCs w:val="17"/>
          <w:color w:val="auto"/>
        </w:rPr>
        <w:t>Howard Chang, M.D., Ph.D., Director of the Center for Personal Dynamic Regulomes and the Virginia and D.K. Ludwig Professor of Cancer Genomics at Stanford University; co-founder of Accent Therapeutics, Cartography Biosciences, Epinomics, and Orbital Therapeutics; Howard Hughes Medical Investigator; member of the National Academy of Sciences; current member of our Scientific Advisory Board.</w:t>
      </w:r>
    </w:p>
    <w:p>
      <w:pPr>
        <w:spacing w:after="0" w:line="76" w:lineRule="exact"/>
        <w:rPr>
          <w:rFonts w:ascii="Arial" w:cs="Arial" w:eastAsia="Arial" w:hAnsi="Arial"/>
          <w:sz w:val="17"/>
          <w:szCs w:val="17"/>
          <w:color w:val="auto"/>
        </w:rPr>
      </w:pPr>
    </w:p>
    <w:p>
      <w:pPr>
        <w:ind w:left="1780" w:right="100" w:hanging="391"/>
        <w:spacing w:after="0" w:line="247" w:lineRule="auto"/>
        <w:tabs>
          <w:tab w:leader="none" w:pos="1780" w:val="left"/>
        </w:tabs>
        <w:numPr>
          <w:ilvl w:val="0"/>
          <w:numId w:val="2"/>
        </w:numPr>
        <w:rPr>
          <w:rFonts w:ascii="Arial" w:cs="Arial" w:eastAsia="Arial" w:hAnsi="Arial"/>
          <w:sz w:val="17"/>
          <w:szCs w:val="17"/>
          <w:color w:val="auto"/>
        </w:rPr>
      </w:pPr>
      <w:r>
        <w:rPr>
          <w:rFonts w:ascii="Arial" w:cs="Arial" w:eastAsia="Arial" w:hAnsi="Arial"/>
          <w:sz w:val="17"/>
          <w:szCs w:val="17"/>
          <w:color w:val="auto"/>
        </w:rPr>
        <w:t>Ben Cravatt, Ph.D., Professor and Gilula Chair of Chemical Biology at The Scripps Research Institute; co-founder of Abide Therapeutics, ActiveX Biosciences, Belharra Therapeutics, and Vividion Therapeutics; recipient of the 2022 Wolf Prize for chemistry; member of the National Academy of Sciences; current member of our Scientific Advisory Board.</w:t>
      </w:r>
    </w:p>
    <w:p>
      <w:pPr>
        <w:spacing w:after="0" w:line="76" w:lineRule="exact"/>
        <w:rPr>
          <w:rFonts w:ascii="Arial" w:cs="Arial" w:eastAsia="Arial" w:hAnsi="Arial"/>
          <w:sz w:val="17"/>
          <w:szCs w:val="17"/>
          <w:color w:val="auto"/>
        </w:rPr>
      </w:pPr>
    </w:p>
    <w:p>
      <w:pPr>
        <w:ind w:left="1780" w:right="220" w:hanging="391"/>
        <w:spacing w:after="0" w:line="270" w:lineRule="auto"/>
        <w:tabs>
          <w:tab w:leader="none" w:pos="178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Prashant Mali, Ph.D., Professor of Bioengineering at the University of California, San Diego; co-founder of Navega Therapeutics and Shape Therapeutics.</w:t>
      </w:r>
    </w:p>
    <w:p>
      <w:pPr>
        <w:spacing w:after="0" w:line="58" w:lineRule="exact"/>
        <w:rPr>
          <w:rFonts w:ascii="Arial" w:cs="Arial" w:eastAsia="Arial" w:hAnsi="Arial"/>
          <w:sz w:val="17"/>
          <w:szCs w:val="17"/>
          <w:color w:val="auto"/>
        </w:rPr>
      </w:pPr>
    </w:p>
    <w:p>
      <w:pPr>
        <w:ind w:left="1780" w:hanging="391"/>
        <w:spacing w:after="0"/>
        <w:tabs>
          <w:tab w:leader="none" w:pos="1780" w:val="left"/>
        </w:tabs>
        <w:numPr>
          <w:ilvl w:val="0"/>
          <w:numId w:val="2"/>
        </w:numPr>
        <w:rPr>
          <w:rFonts w:ascii="Arial" w:cs="Arial" w:eastAsia="Arial" w:hAnsi="Arial"/>
          <w:sz w:val="17"/>
          <w:szCs w:val="17"/>
          <w:color w:val="auto"/>
        </w:rPr>
      </w:pPr>
      <w:r>
        <w:rPr>
          <w:rFonts w:ascii="Arial" w:cs="Arial" w:eastAsia="Arial" w:hAnsi="Arial"/>
          <w:sz w:val="17"/>
          <w:szCs w:val="17"/>
          <w:color w:val="auto"/>
        </w:rPr>
        <w:t>Roel Verhaak, Ph.D., Professor in the Department of Neurosurgery at Yale University School of Medicine.</w:t>
      </w:r>
    </w:p>
    <w:p>
      <w:pPr>
        <w:spacing w:after="0" w:line="162" w:lineRule="exact"/>
        <w:rPr>
          <w:sz w:val="20"/>
          <w:szCs w:val="20"/>
          <w:color w:val="auto"/>
        </w:rPr>
      </w:pPr>
    </w:p>
    <w:p>
      <w:pPr>
        <w:ind w:left="580" w:firstLine="504"/>
        <w:spacing w:after="0" w:line="252" w:lineRule="auto"/>
        <w:rPr>
          <w:sz w:val="20"/>
          <w:szCs w:val="20"/>
          <w:color w:val="auto"/>
        </w:rPr>
      </w:pPr>
      <w:r>
        <w:rPr>
          <w:rFonts w:ascii="Arial" w:cs="Arial" w:eastAsia="Arial" w:hAnsi="Arial"/>
          <w:sz w:val="17"/>
          <w:szCs w:val="17"/>
          <w:color w:val="auto"/>
        </w:rPr>
        <w:t>In 2022, a team led by Dr. Mischel and multiple Boundless Bio scientific co-founders was declared as one of the winners of the Cancer Grand Challenges, a global initiative funded by Cancer Research UK (CRUK) and the National Cancer Institute (NCI), to further investigate the pathogenesis of ecDNA in cancer.</w:t>
      </w:r>
    </w:p>
    <w:p>
      <w:pPr>
        <w:spacing w:after="0" w:line="138" w:lineRule="exact"/>
        <w:rPr>
          <w:sz w:val="20"/>
          <w:szCs w:val="20"/>
          <w:color w:val="auto"/>
        </w:rPr>
      </w:pPr>
    </w:p>
    <w:p>
      <w:pPr>
        <w:ind w:left="580" w:right="80" w:firstLine="504"/>
        <w:spacing w:after="0" w:line="270" w:lineRule="auto"/>
        <w:rPr>
          <w:sz w:val="20"/>
          <w:szCs w:val="20"/>
          <w:color w:val="auto"/>
        </w:rPr>
      </w:pPr>
      <w:r>
        <w:rPr>
          <w:rFonts w:ascii="Arial" w:cs="Arial" w:eastAsia="Arial" w:hAnsi="Arial"/>
          <w:sz w:val="17"/>
          <w:szCs w:val="17"/>
          <w:color w:val="auto"/>
        </w:rPr>
        <w:t>One of our industry co-founders is Jonathan Lim, M.D., Co-founder, CEO, and Chairman of Erasca, Venture Partner at ARCH Venture Partners, and former Co-founder and CEO of Ignyta. Dr. Lim serves as the Chairman of our Board of Directors.</w:t>
      </w:r>
    </w:p>
    <w:p>
      <w:pPr>
        <w:spacing w:after="0" w:line="110" w:lineRule="exact"/>
        <w:rPr>
          <w:sz w:val="20"/>
          <w:szCs w:val="20"/>
          <w:color w:val="auto"/>
        </w:rPr>
      </w:pPr>
    </w:p>
    <w:p>
      <w:pPr>
        <w:ind w:left="580" w:right="20" w:firstLine="504"/>
        <w:spacing w:after="0" w:line="242" w:lineRule="auto"/>
        <w:rPr>
          <w:sz w:val="20"/>
          <w:szCs w:val="20"/>
          <w:color w:val="auto"/>
        </w:rPr>
      </w:pPr>
      <w:r>
        <w:rPr>
          <w:rFonts w:ascii="Arial" w:cs="Arial" w:eastAsia="Arial" w:hAnsi="Arial"/>
          <w:sz w:val="17"/>
          <w:szCs w:val="17"/>
          <w:color w:val="auto"/>
        </w:rPr>
        <w:t>In support of our mission to deliver the world’s first ecDTx to patients with oncogene amplified cancers, we have assembled a highly qualified management team with deep experience in precision oncology, drug discovery and development, diagnostic development, company building, capital raising, and strategic partnerships and acquisitions. This team hails from leading oncology-focused organizations such as Ignyta, Loxo Oncology, Sierra Oncology, Halozyme Therapeutics, and Inhibrx, leading pharmaceutical companies such as Bristol-Myers Squibb, Genentech/Roche, Eli Lilly, Merck, and Novartis, and leading investment banks such as Morgan Stanley &amp; Co. LLC and Goldman Sachs &amp; Co. LLC.</w:t>
      </w:r>
    </w:p>
    <w:p>
      <w:pPr>
        <w:spacing w:after="0" w:line="133" w:lineRule="exact"/>
        <w:rPr>
          <w:sz w:val="20"/>
          <w:szCs w:val="20"/>
          <w:color w:val="auto"/>
        </w:rPr>
      </w:pPr>
    </w:p>
    <w:p>
      <w:pPr>
        <w:ind w:left="580" w:firstLine="504"/>
        <w:spacing w:after="0" w:line="227" w:lineRule="auto"/>
        <w:rPr>
          <w:sz w:val="20"/>
          <w:szCs w:val="20"/>
          <w:color w:val="auto"/>
        </w:rPr>
      </w:pPr>
      <w:r>
        <w:rPr>
          <w:rFonts w:ascii="Arial" w:cs="Arial" w:eastAsia="Arial" w:hAnsi="Arial"/>
          <w:sz w:val="17"/>
          <w:szCs w:val="17"/>
          <w:color w:val="auto"/>
        </w:rPr>
        <w:t>Our management team is led by our President and Chief Executive Officer, Zachary Hornby, who formerly served as Chief Operating Officer and Chief Financial Officer at Ignyta (acquired by Roche/Genentech). At Ignyta, he led the operational team that developed Rozlytrek</w:t>
      </w:r>
      <w:r>
        <w:rPr>
          <w:rFonts w:ascii="Arial" w:cs="Arial" w:eastAsia="Arial" w:hAnsi="Arial"/>
          <w:sz w:val="25"/>
          <w:szCs w:val="25"/>
          <w:color w:val="auto"/>
          <w:vertAlign w:val="superscript"/>
        </w:rPr>
        <w:t>™</w:t>
      </w:r>
      <w:r>
        <w:rPr>
          <w:rFonts w:ascii="Arial" w:cs="Arial" w:eastAsia="Arial" w:hAnsi="Arial"/>
          <w:sz w:val="17"/>
          <w:szCs w:val="17"/>
          <w:color w:val="auto"/>
        </w:rPr>
        <w:t xml:space="preserve">, which is globally approved and commercialized for patients with </w:t>
      </w:r>
      <w:r>
        <w:rPr>
          <w:rFonts w:ascii="Arial" w:cs="Arial" w:eastAsia="Arial" w:hAnsi="Arial"/>
          <w:sz w:val="17"/>
          <w:szCs w:val="17"/>
          <w:i w:val="1"/>
          <w:iCs w:val="1"/>
          <w:color w:val="auto"/>
        </w:rPr>
        <w:t>NTRK+</w:t>
      </w:r>
      <w:r>
        <w:rPr>
          <w:rFonts w:ascii="Arial" w:cs="Arial" w:eastAsia="Arial" w:hAnsi="Arial"/>
          <w:sz w:val="17"/>
          <w:szCs w:val="17"/>
          <w:color w:val="auto"/>
        </w:rPr>
        <w:t xml:space="preserve"> solid tumors and </w:t>
      </w:r>
      <w:r>
        <w:rPr>
          <w:rFonts w:ascii="Arial" w:cs="Arial" w:eastAsia="Arial" w:hAnsi="Arial"/>
          <w:sz w:val="17"/>
          <w:szCs w:val="17"/>
          <w:i w:val="1"/>
          <w:iCs w:val="1"/>
          <w:color w:val="auto"/>
        </w:rPr>
        <w:t>ROS1+</w:t>
      </w:r>
      <w:r>
        <w:rPr>
          <w:rFonts w:ascii="Arial" w:cs="Arial" w:eastAsia="Arial" w:hAnsi="Arial"/>
          <w:sz w:val="17"/>
          <w:szCs w:val="17"/>
          <w:color w:val="auto"/>
        </w:rPr>
        <w:t xml:space="preserve"> non-small cell lung cancer. Our Chief Scientific Officer, Chris Hassig, Ph.D., brings over 20 years of oncology research, target discovery, and drug development experience to Boundless Bio. Dr. Hassig was most recently Chief Scientific Officer at Sierra Oncology (acquired by GlaxoSmithKline) where he spearheaded research efforts for the company’s pipeline against several oncology and hematology targets. Our Chief Medical Officer, Klaus Wagner, M.D., Ph.D., is a practicing oncologist who most recently served as Chief Medical Officer and Executive Vice President at Inhibrx (acquisition by Sanofi pending), where he led an integrated clinical development organization that was responsible for advancing three</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600"/>
          </w:cols>
          <w:pgMar w:left="320" w:top="439" w:right="9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194310</wp:posOffset>
            </wp:positionV>
            <wp:extent cx="6624955" cy="52946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24955" cy="529463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80" w:right="300"/>
        <w:spacing w:after="0" w:line="270" w:lineRule="auto"/>
        <w:rPr>
          <w:sz w:val="20"/>
          <w:szCs w:val="20"/>
          <w:color w:val="auto"/>
        </w:rPr>
      </w:pPr>
      <w:r>
        <w:rPr>
          <w:rFonts w:ascii="Arial" w:cs="Arial" w:eastAsia="Arial" w:hAnsi="Arial"/>
          <w:sz w:val="17"/>
          <w:szCs w:val="17"/>
          <w:color w:val="auto"/>
        </w:rPr>
        <w:t>oncology programs from pre-IND into clinical development. Our Chief Financial Officer, Jami Rubin, most recently served as Chief Financial Officer at EQRx (acquired by Revolution Medicines) where she led the go public and capital raising process.</w:t>
      </w:r>
    </w:p>
    <w:p>
      <w:pPr>
        <w:spacing w:after="0" w:line="25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Our Strategy</w:t>
      </w:r>
    </w:p>
    <w:p>
      <w:pPr>
        <w:spacing w:after="0" w:line="98" w:lineRule="exact"/>
        <w:rPr>
          <w:sz w:val="20"/>
          <w:szCs w:val="20"/>
          <w:color w:val="auto"/>
        </w:rPr>
      </w:pPr>
    </w:p>
    <w:p>
      <w:pPr>
        <w:ind w:left="580" w:right="360" w:firstLine="504"/>
        <w:spacing w:after="0" w:line="244" w:lineRule="auto"/>
        <w:rPr>
          <w:sz w:val="20"/>
          <w:szCs w:val="20"/>
          <w:color w:val="auto"/>
        </w:rPr>
      </w:pPr>
      <w:r>
        <w:rPr>
          <w:rFonts w:ascii="Arial" w:cs="Arial" w:eastAsia="Arial" w:hAnsi="Arial"/>
          <w:sz w:val="17"/>
          <w:szCs w:val="17"/>
          <w:color w:val="auto"/>
        </w:rPr>
        <w:t>Our mission is to be the foremost biopharma company interrogating ecDNA biology to deliver transformative therapies that improve and extend the lives of patients with previously intractable oncogene amplified cancers. To accomplish this mission, our strategy is to leverage our unique expertise in ecDNA biology and its role in oncogene amplified cancer to pioneer the discovery, development, and commercialization of novel ecDTx for these patients who are not successfully treated by existing therapeutic options. The principal components of our strategy are to:</w:t>
      </w:r>
    </w:p>
    <w:p>
      <w:pPr>
        <w:spacing w:after="0" w:line="80" w:lineRule="exact"/>
        <w:rPr>
          <w:sz w:val="20"/>
          <w:szCs w:val="20"/>
          <w:color w:val="auto"/>
        </w:rPr>
      </w:pPr>
    </w:p>
    <w:p>
      <w:pPr>
        <w:ind w:left="1780" w:right="100" w:hanging="391"/>
        <w:spacing w:after="0" w:line="280" w:lineRule="auto"/>
        <w:tabs>
          <w:tab w:leader="none" w:pos="1780"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Advance our lead ecDTx, BBI-355, a CHK1 inhibitor, through clinical development and regulatory approval in patients with oncogene amplified cancers enabled by ecDNA.</w:t>
      </w:r>
    </w:p>
    <w:p>
      <w:pPr>
        <w:spacing w:after="0" w:line="42" w:lineRule="exact"/>
        <w:rPr>
          <w:rFonts w:ascii="Arial" w:cs="Arial" w:eastAsia="Arial" w:hAnsi="Arial"/>
          <w:sz w:val="17"/>
          <w:szCs w:val="17"/>
          <w:b w:val="1"/>
          <w:bCs w:val="1"/>
          <w:i w:val="1"/>
          <w:iCs w:val="1"/>
          <w:color w:val="auto"/>
        </w:rPr>
      </w:pPr>
    </w:p>
    <w:p>
      <w:pPr>
        <w:ind w:left="1780" w:right="20" w:hanging="391"/>
        <w:spacing w:after="0" w:line="280" w:lineRule="auto"/>
        <w:tabs>
          <w:tab w:leader="none" w:pos="1780"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Advance our second ecDTx, BBI-825, an RNR inhibitor, through clinical development and regulatory approval in patients whose cancers harbor resistance amplifications.</w:t>
      </w:r>
    </w:p>
    <w:p>
      <w:pPr>
        <w:spacing w:after="0" w:line="42" w:lineRule="exact"/>
        <w:rPr>
          <w:rFonts w:ascii="Arial" w:cs="Arial" w:eastAsia="Arial" w:hAnsi="Arial"/>
          <w:sz w:val="17"/>
          <w:szCs w:val="17"/>
          <w:b w:val="1"/>
          <w:bCs w:val="1"/>
          <w:i w:val="1"/>
          <w:iCs w:val="1"/>
          <w:color w:val="auto"/>
        </w:rPr>
      </w:pPr>
    </w:p>
    <w:p>
      <w:pPr>
        <w:ind w:left="1780" w:hanging="391"/>
        <w:spacing w:after="0"/>
        <w:tabs>
          <w:tab w:leader="none" w:pos="1780"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Advance our ecDTx 3 program to identify a development candidate and progress it into IND-enabling studies.</w:t>
      </w:r>
    </w:p>
    <w:p>
      <w:pPr>
        <w:spacing w:after="0" w:line="111" w:lineRule="exact"/>
        <w:rPr>
          <w:rFonts w:ascii="Arial" w:cs="Arial" w:eastAsia="Arial" w:hAnsi="Arial"/>
          <w:sz w:val="17"/>
          <w:szCs w:val="17"/>
          <w:b w:val="1"/>
          <w:bCs w:val="1"/>
          <w:i w:val="1"/>
          <w:iCs w:val="1"/>
          <w:color w:val="auto"/>
        </w:rPr>
      </w:pPr>
    </w:p>
    <w:p>
      <w:pPr>
        <w:ind w:left="1780" w:hanging="391"/>
        <w:spacing w:after="0"/>
        <w:tabs>
          <w:tab w:leader="none" w:pos="1780"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Deploy our proprietary ecDNA diagnostic, ECHO, to identify patients most likely to benefit from our ecDTx.</w:t>
      </w:r>
    </w:p>
    <w:p>
      <w:pPr>
        <w:spacing w:after="0" w:line="111" w:lineRule="exact"/>
        <w:rPr>
          <w:rFonts w:ascii="Arial" w:cs="Arial" w:eastAsia="Arial" w:hAnsi="Arial"/>
          <w:sz w:val="17"/>
          <w:szCs w:val="17"/>
          <w:b w:val="1"/>
          <w:bCs w:val="1"/>
          <w:i w:val="1"/>
          <w:iCs w:val="1"/>
          <w:color w:val="auto"/>
        </w:rPr>
      </w:pPr>
    </w:p>
    <w:p>
      <w:pPr>
        <w:ind w:left="1780" w:right="200" w:hanging="391"/>
        <w:spacing w:after="0" w:line="280" w:lineRule="auto"/>
        <w:tabs>
          <w:tab w:leader="none" w:pos="1780"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Leverage Spyglass to continue to identify and preclinically validate additional ecDNA targets to expand our pipeline of novel ecDTx.</w:t>
      </w:r>
    </w:p>
    <w:p>
      <w:pPr>
        <w:spacing w:after="0" w:line="42" w:lineRule="exact"/>
        <w:rPr>
          <w:rFonts w:ascii="Arial" w:cs="Arial" w:eastAsia="Arial" w:hAnsi="Arial"/>
          <w:sz w:val="17"/>
          <w:szCs w:val="17"/>
          <w:b w:val="1"/>
          <w:bCs w:val="1"/>
          <w:i w:val="1"/>
          <w:iCs w:val="1"/>
          <w:color w:val="auto"/>
        </w:rPr>
      </w:pPr>
    </w:p>
    <w:p>
      <w:pPr>
        <w:ind w:left="1780" w:right="440" w:hanging="391"/>
        <w:spacing w:after="0" w:line="280" w:lineRule="auto"/>
        <w:tabs>
          <w:tab w:leader="none" w:pos="1780"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Opportunistically pursue strategic collaborations to accelerate development timelines and maximize the commercial potential of our ecDTx.</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Summary of Risks Associated with Our Business</w:t>
      </w:r>
    </w:p>
    <w:p>
      <w:pPr>
        <w:spacing w:after="0" w:line="98" w:lineRule="exact"/>
        <w:rPr>
          <w:sz w:val="20"/>
          <w:szCs w:val="20"/>
          <w:color w:val="auto"/>
        </w:rPr>
      </w:pPr>
    </w:p>
    <w:p>
      <w:pPr>
        <w:jc w:val="both"/>
        <w:ind w:left="580" w:right="360" w:firstLine="504"/>
        <w:spacing w:after="0" w:line="252" w:lineRule="auto"/>
        <w:rPr>
          <w:sz w:val="20"/>
          <w:szCs w:val="20"/>
          <w:color w:val="auto"/>
        </w:rPr>
      </w:pPr>
      <w:r>
        <w:rPr>
          <w:rFonts w:ascii="Arial" w:cs="Arial" w:eastAsia="Arial" w:hAnsi="Arial"/>
          <w:sz w:val="17"/>
          <w:szCs w:val="17"/>
          <w:color w:val="auto"/>
        </w:rPr>
        <w:t>Our ability to execute our business strategy is subject to numerous risks and uncertainties that you should consider before investing in us, as more fully described in the section titled “Risk Factors” immediately following this Prospectus Summary. These risks include, among others:</w:t>
      </w:r>
    </w:p>
    <w:p>
      <w:pPr>
        <w:spacing w:after="0" w:line="74" w:lineRule="exact"/>
        <w:rPr>
          <w:sz w:val="20"/>
          <w:szCs w:val="20"/>
          <w:color w:val="auto"/>
        </w:rPr>
      </w:pPr>
    </w:p>
    <w:p>
      <w:pPr>
        <w:ind w:left="1780" w:hanging="391"/>
        <w:spacing w:after="0" w:line="252" w:lineRule="auto"/>
        <w:tabs>
          <w:tab w:leader="none" w:pos="1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a limited operating history, have incurred significant operating losses since our inception, and expect to incur significant losses for the foreseeable future. We may never generate any revenue or become profitable or, if we achieve profitability, we may not be able to sustain it.</w:t>
      </w:r>
    </w:p>
    <w:p>
      <w:pPr>
        <w:spacing w:after="0" w:line="74" w:lineRule="exact"/>
        <w:rPr>
          <w:rFonts w:ascii="Arial" w:cs="Arial" w:eastAsia="Arial" w:hAnsi="Arial"/>
          <w:sz w:val="17"/>
          <w:szCs w:val="17"/>
          <w:color w:val="auto"/>
        </w:rPr>
      </w:pPr>
    </w:p>
    <w:p>
      <w:pPr>
        <w:ind w:left="1780" w:right="100" w:hanging="391"/>
        <w:spacing w:after="0" w:line="252" w:lineRule="auto"/>
        <w:tabs>
          <w:tab w:leader="none" w:pos="1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Even if this offering is successful, we will require substantial additional capital to finance our operations, and a failure to obtain this necessary capital when needed on acceptable terms, or at all, could force us to delay, limit, reduce, or terminate our development programs, commercialization efforts or other operations.</w:t>
      </w:r>
    </w:p>
    <w:p>
      <w:pPr>
        <w:spacing w:after="0" w:line="74" w:lineRule="exact"/>
        <w:rPr>
          <w:rFonts w:ascii="Arial" w:cs="Arial" w:eastAsia="Arial" w:hAnsi="Arial"/>
          <w:sz w:val="17"/>
          <w:szCs w:val="17"/>
          <w:color w:val="auto"/>
        </w:rPr>
      </w:pPr>
    </w:p>
    <w:p>
      <w:pPr>
        <w:ind w:left="1780" w:right="80" w:hanging="391"/>
        <w:spacing w:after="0" w:line="247" w:lineRule="auto"/>
        <w:tabs>
          <w:tab w:leader="none" w:pos="1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early in our development efforts and have only two ecDTx, BBI-355 and BBI-825, in clinical development. All of our other ecDTx programs are still in the preclinical or discovery stage. If we are unable to successfully develop, obtain regulatory approval, and ultimately commercialize any of our current or future ecDTx, or experience significant delays in doing so, our business will be materially harmed.</w:t>
      </w:r>
    </w:p>
    <w:p>
      <w:pPr>
        <w:spacing w:after="0" w:line="26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640"/>
          </w:cols>
          <w:pgMar w:left="320" w:top="439" w:right="9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194310</wp:posOffset>
            </wp:positionV>
            <wp:extent cx="6624955" cy="52946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24955" cy="529463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780" w:right="300" w:hanging="391"/>
        <w:spacing w:after="0" w:line="252" w:lineRule="auto"/>
        <w:tabs>
          <w:tab w:leader="none" w:pos="1780" w:val="left"/>
        </w:tabs>
        <w:numPr>
          <w:ilvl w:val="1"/>
          <w:numId w:val="5"/>
        </w:numPr>
        <w:rPr>
          <w:rFonts w:ascii="Arial" w:cs="Arial" w:eastAsia="Arial" w:hAnsi="Arial"/>
          <w:sz w:val="17"/>
          <w:szCs w:val="17"/>
          <w:color w:val="auto"/>
        </w:rPr>
      </w:pPr>
      <w:r>
        <w:rPr>
          <w:rFonts w:ascii="Arial" w:cs="Arial" w:eastAsia="Arial" w:hAnsi="Arial"/>
          <w:sz w:val="17"/>
          <w:szCs w:val="17"/>
          <w:color w:val="auto"/>
        </w:rPr>
        <w:t>Our approach to treating cancer with oncogene amplifications by developing ecDTx directed against ecDNA is unproven, and we do not know whether we will be able to develop any ecDTx of commercial value, or if competing approaches will limit the commercial value of our ecDTx.</w:t>
      </w:r>
    </w:p>
    <w:p>
      <w:pPr>
        <w:spacing w:after="0" w:line="74" w:lineRule="exact"/>
        <w:rPr>
          <w:rFonts w:ascii="Arial" w:cs="Arial" w:eastAsia="Arial" w:hAnsi="Arial"/>
          <w:sz w:val="17"/>
          <w:szCs w:val="17"/>
          <w:color w:val="auto"/>
        </w:rPr>
      </w:pPr>
    </w:p>
    <w:p>
      <w:pPr>
        <w:ind w:left="1780" w:hanging="391"/>
        <w:spacing w:after="0" w:line="247" w:lineRule="auto"/>
        <w:tabs>
          <w:tab w:leader="none" w:pos="1780" w:val="left"/>
        </w:tabs>
        <w:numPr>
          <w:ilvl w:val="1"/>
          <w:numId w:val="5"/>
        </w:numPr>
        <w:rPr>
          <w:rFonts w:ascii="Arial" w:cs="Arial" w:eastAsia="Arial" w:hAnsi="Arial"/>
          <w:sz w:val="17"/>
          <w:szCs w:val="17"/>
          <w:color w:val="auto"/>
        </w:rPr>
      </w:pPr>
      <w:r>
        <w:rPr>
          <w:rFonts w:ascii="Arial" w:cs="Arial" w:eastAsia="Arial" w:hAnsi="Arial"/>
          <w:sz w:val="17"/>
          <w:szCs w:val="17"/>
          <w:color w:val="auto"/>
        </w:rPr>
        <w:t>Clinical and preclinical development involves a lengthy and expensive process with uncertain timelines and outcomes, and results of prior preclinical studies and early clinical trials are not necessarily predictive of future results. Our ecDTx may not achieve favorable results in clinical trials or preclinical studies or receive regulatory approval on a timely basis, if at all.</w:t>
      </w:r>
    </w:p>
    <w:p>
      <w:pPr>
        <w:spacing w:after="0" w:line="76" w:lineRule="exact"/>
        <w:rPr>
          <w:rFonts w:ascii="Arial" w:cs="Arial" w:eastAsia="Arial" w:hAnsi="Arial"/>
          <w:sz w:val="17"/>
          <w:szCs w:val="17"/>
          <w:color w:val="auto"/>
        </w:rPr>
      </w:pPr>
    </w:p>
    <w:p>
      <w:pPr>
        <w:ind w:left="1780" w:right="220" w:hanging="391"/>
        <w:spacing w:after="0" w:line="247" w:lineRule="auto"/>
        <w:tabs>
          <w:tab w:leader="none" w:pos="1780" w:val="left"/>
        </w:tabs>
        <w:numPr>
          <w:ilvl w:val="1"/>
          <w:numId w:val="5"/>
        </w:numPr>
        <w:rPr>
          <w:rFonts w:ascii="Arial" w:cs="Arial" w:eastAsia="Arial" w:hAnsi="Arial"/>
          <w:sz w:val="17"/>
          <w:szCs w:val="17"/>
          <w:color w:val="auto"/>
        </w:rPr>
      </w:pPr>
      <w:r>
        <w:rPr>
          <w:rFonts w:ascii="Arial" w:cs="Arial" w:eastAsia="Arial" w:hAnsi="Arial"/>
          <w:sz w:val="17"/>
          <w:szCs w:val="17"/>
          <w:color w:val="auto"/>
        </w:rPr>
        <w:t>Use of our ecDTx could be associated with adverse side effects, adverse events, or other properties or safety risks, which could delay or preclude regulatory approval, cause us to suspend or discontinue clinical trials, abandon a ecDTx, limit the commercial profile of an approved label, or result in other significant negative consequences that could severely harm our business, financial condition, results of operations, and prospects.</w:t>
      </w:r>
    </w:p>
    <w:p>
      <w:pPr>
        <w:spacing w:after="0" w:line="76" w:lineRule="exact"/>
        <w:rPr>
          <w:rFonts w:ascii="Arial" w:cs="Arial" w:eastAsia="Arial" w:hAnsi="Arial"/>
          <w:sz w:val="17"/>
          <w:szCs w:val="17"/>
          <w:color w:val="auto"/>
        </w:rPr>
      </w:pPr>
    </w:p>
    <w:p>
      <w:pPr>
        <w:ind w:left="1780" w:right="220" w:hanging="391"/>
        <w:spacing w:after="0" w:line="247" w:lineRule="auto"/>
        <w:tabs>
          <w:tab w:leader="none" w:pos="1780" w:val="left"/>
        </w:tabs>
        <w:numPr>
          <w:ilvl w:val="1"/>
          <w:numId w:val="5"/>
        </w:numPr>
        <w:rPr>
          <w:rFonts w:ascii="Arial" w:cs="Arial" w:eastAsia="Arial" w:hAnsi="Arial"/>
          <w:sz w:val="17"/>
          <w:szCs w:val="17"/>
          <w:color w:val="auto"/>
        </w:rPr>
      </w:pPr>
      <w:r>
        <w:rPr>
          <w:rFonts w:ascii="Arial" w:cs="Arial" w:eastAsia="Arial" w:hAnsi="Arial"/>
          <w:sz w:val="17"/>
          <w:szCs w:val="17"/>
          <w:color w:val="auto"/>
        </w:rPr>
        <w:t>If we are unable to successfully develop an ecDNA diagnostic to enable patient selection for our ecDTx, or if we experience significant delays in doing so, or if we do not obtain, or face delays in obtaining, FDA approval of such a diagnostic, if required, we may not realize the full commercial potential of, or may be unable to commercialize, our ecDTx.</w:t>
      </w:r>
    </w:p>
    <w:p>
      <w:pPr>
        <w:spacing w:after="0" w:line="76" w:lineRule="exact"/>
        <w:rPr>
          <w:rFonts w:ascii="Arial" w:cs="Arial" w:eastAsia="Arial" w:hAnsi="Arial"/>
          <w:sz w:val="17"/>
          <w:szCs w:val="17"/>
          <w:color w:val="auto"/>
        </w:rPr>
      </w:pPr>
    </w:p>
    <w:p>
      <w:pPr>
        <w:ind w:left="1780" w:right="20" w:hanging="391"/>
        <w:spacing w:after="0" w:line="276" w:lineRule="auto"/>
        <w:tabs>
          <w:tab w:leader="none" w:pos="1780" w:val="left"/>
        </w:tabs>
        <w:numPr>
          <w:ilvl w:val="1"/>
          <w:numId w:val="5"/>
        </w:numPr>
        <w:rPr>
          <w:rFonts w:ascii="Arial" w:cs="Arial" w:eastAsia="Arial" w:hAnsi="Arial"/>
          <w:sz w:val="16"/>
          <w:szCs w:val="16"/>
          <w:color w:val="auto"/>
        </w:rPr>
      </w:pPr>
      <w:r>
        <w:rPr>
          <w:rFonts w:ascii="Arial" w:cs="Arial" w:eastAsia="Arial" w:hAnsi="Arial"/>
          <w:sz w:val="16"/>
          <w:szCs w:val="16"/>
          <w:color w:val="auto"/>
        </w:rPr>
        <w:t>We face significant competition, and if our competitors develop and commercialize technologies or product candidates more rapidly than we do, or their technologies or product candidates are more effective, safer, or less expensive than our ecDTx, our business and our ability to develop and successfully commercialize ecDTx will be adversely affected.</w:t>
      </w:r>
    </w:p>
    <w:p>
      <w:pPr>
        <w:spacing w:after="0" w:line="55" w:lineRule="exact"/>
        <w:rPr>
          <w:rFonts w:ascii="Arial" w:cs="Arial" w:eastAsia="Arial" w:hAnsi="Arial"/>
          <w:sz w:val="16"/>
          <w:szCs w:val="16"/>
          <w:color w:val="auto"/>
        </w:rPr>
      </w:pPr>
    </w:p>
    <w:p>
      <w:pPr>
        <w:jc w:val="both"/>
        <w:ind w:left="1780" w:right="220" w:hanging="391"/>
        <w:spacing w:after="0" w:line="252" w:lineRule="auto"/>
        <w:tabs>
          <w:tab w:leader="none" w:pos="1780" w:val="left"/>
        </w:tabs>
        <w:numPr>
          <w:ilvl w:val="1"/>
          <w:numId w:val="5"/>
        </w:numPr>
        <w:rPr>
          <w:rFonts w:ascii="Arial" w:cs="Arial" w:eastAsia="Arial" w:hAnsi="Arial"/>
          <w:sz w:val="17"/>
          <w:szCs w:val="17"/>
          <w:color w:val="auto"/>
        </w:rPr>
      </w:pPr>
      <w:r>
        <w:rPr>
          <w:rFonts w:ascii="Arial" w:cs="Arial" w:eastAsia="Arial" w:hAnsi="Arial"/>
          <w:sz w:val="17"/>
          <w:szCs w:val="17"/>
          <w:color w:val="auto"/>
        </w:rPr>
        <w:t>We rely on third parties to conduct our clinical trials and preclinical studies, to develop an ecDNA diagnostic, and to manufacture our ecDTx, and these third parties may not perform satisfactorily, which could delay, prevent, or impair our development or commercialization efforts.</w:t>
      </w:r>
    </w:p>
    <w:p>
      <w:pPr>
        <w:spacing w:after="0" w:line="74" w:lineRule="exact"/>
        <w:rPr>
          <w:rFonts w:ascii="Arial" w:cs="Arial" w:eastAsia="Arial" w:hAnsi="Arial"/>
          <w:sz w:val="17"/>
          <w:szCs w:val="17"/>
          <w:color w:val="auto"/>
        </w:rPr>
      </w:pPr>
    </w:p>
    <w:p>
      <w:pPr>
        <w:ind w:left="1780" w:right="100" w:hanging="494"/>
        <w:spacing w:after="0" w:line="247" w:lineRule="auto"/>
        <w:tabs>
          <w:tab w:leader="none" w:pos="1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are unable to obtain, maintain, and enforce patent or other intellectual property protection for our ecDTx, diagnostic test or technology, or if the scope of the patent or other intellectual property protection obtained is not sufficiently broad, our competitors or other third parties could develop and commercialize products similar or identical to ours, and our ability to successfully commercialize our ecDTx may be adversely affected.</w:t>
      </w:r>
    </w:p>
    <w:p>
      <w:pPr>
        <w:spacing w:after="0" w:line="26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Corporate and Other Information</w:t>
      </w:r>
    </w:p>
    <w:p>
      <w:pPr>
        <w:spacing w:after="0" w:line="98" w:lineRule="exact"/>
        <w:rPr>
          <w:sz w:val="20"/>
          <w:szCs w:val="20"/>
          <w:color w:val="auto"/>
        </w:rPr>
      </w:pPr>
    </w:p>
    <w:p>
      <w:pPr>
        <w:ind w:left="580" w:right="20" w:firstLine="504"/>
        <w:spacing w:after="0" w:line="244" w:lineRule="auto"/>
        <w:rPr>
          <w:sz w:val="20"/>
          <w:szCs w:val="20"/>
          <w:color w:val="auto"/>
        </w:rPr>
      </w:pPr>
      <w:r>
        <w:rPr>
          <w:rFonts w:ascii="Arial" w:cs="Arial" w:eastAsia="Arial" w:hAnsi="Arial"/>
          <w:sz w:val="17"/>
          <w:szCs w:val="17"/>
          <w:color w:val="auto"/>
        </w:rPr>
        <w:t>We were originally founded as a Delaware corporation on April 10, 2018 under the name Pretzel Therapeutics, Inc. On July 8, 2019, we changed our name to Boundless Bio, Inc. Our principal executive offices are located at 9880 Campus Point Drive, Suite 120, San Diego, CA 92121, and our telephone number is (858) 766-9912. Our website address is www.boundlessbio.com</w:t>
      </w:r>
      <w:r>
        <w:rPr>
          <w:rFonts w:ascii="Arial" w:cs="Arial" w:eastAsia="Arial" w:hAnsi="Arial"/>
          <w:sz w:val="17"/>
          <w:szCs w:val="17"/>
          <w:i w:val="1"/>
          <w:iCs w:val="1"/>
          <w:color w:val="auto"/>
        </w:rPr>
        <w:t>.</w:t>
      </w:r>
      <w:r>
        <w:rPr>
          <w:rFonts w:ascii="Arial" w:cs="Arial" w:eastAsia="Arial" w:hAnsi="Arial"/>
          <w:sz w:val="17"/>
          <w:szCs w:val="17"/>
          <w:color w:val="auto"/>
        </w:rPr>
        <w:t xml:space="preserve"> The information contained in, or accessible through, our website does not constitute part of this prospectus. We have included our website address as an inactive textual reference only.</w:t>
      </w:r>
    </w:p>
    <w:p>
      <w:pPr>
        <w:spacing w:after="0" w:line="131" w:lineRule="exact"/>
        <w:rPr>
          <w:sz w:val="20"/>
          <w:szCs w:val="20"/>
          <w:color w:val="auto"/>
        </w:rPr>
      </w:pPr>
    </w:p>
    <w:p>
      <w:pPr>
        <w:ind w:left="580" w:right="20" w:firstLine="504"/>
        <w:spacing w:after="0" w:line="219" w:lineRule="auto"/>
        <w:rPr>
          <w:sz w:val="20"/>
          <w:szCs w:val="20"/>
          <w:color w:val="auto"/>
        </w:rPr>
      </w:pPr>
      <w:r>
        <w:rPr>
          <w:rFonts w:ascii="Arial" w:cs="Arial" w:eastAsia="Arial" w:hAnsi="Arial"/>
          <w:sz w:val="17"/>
          <w:szCs w:val="17"/>
          <w:color w:val="auto"/>
        </w:rPr>
        <w:t xml:space="preserve">We use our trademarks in this prospectus as well as trademarks, tradenames and service marks that are the property of other organizations. Solely for convenience, trademarks and tradenames referred to in this prospectus appear without the </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symbols, but those references are not intended to indicate, in any way, that we will not assert, to the fullest extent under applicable law, our rights or that the applicable owner will not assert its rights, to these trademarks and tradenames.</w:t>
      </w:r>
    </w:p>
    <w:p>
      <w:pPr>
        <w:spacing w:after="0" w:line="28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660"/>
          </w:cols>
          <w:pgMar w:left="320" w:top="439" w:right="9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194310</wp:posOffset>
            </wp:positionV>
            <wp:extent cx="6624955" cy="4994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24955" cy="499427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Implications of Being an Emerging Growth Company and a Smaller Reporting Company</w:t>
      </w:r>
    </w:p>
    <w:p>
      <w:pPr>
        <w:spacing w:after="0" w:line="98" w:lineRule="exact"/>
        <w:rPr>
          <w:sz w:val="20"/>
          <w:szCs w:val="20"/>
          <w:color w:val="auto"/>
        </w:rPr>
      </w:pPr>
    </w:p>
    <w:p>
      <w:pPr>
        <w:ind w:left="580" w:right="140" w:firstLine="504"/>
        <w:spacing w:after="0" w:line="252" w:lineRule="auto"/>
        <w:rPr>
          <w:sz w:val="20"/>
          <w:szCs w:val="20"/>
          <w:color w:val="auto"/>
        </w:rPr>
      </w:pPr>
      <w:r>
        <w:rPr>
          <w:rFonts w:ascii="Arial" w:cs="Arial" w:eastAsia="Arial" w:hAnsi="Arial"/>
          <w:sz w:val="17"/>
          <w:szCs w:val="17"/>
          <w:color w:val="auto"/>
        </w:rPr>
        <w:t>We qualify as an “emerging growth company” as defined in the Jumpstart Our Business Startups Act of 2012 (the JOBS Act). An emerging growth company may take advantage of certain reduced disclosure and other requirements that are otherwise applicable to public companies. These provisions include, but are not limited to:</w:t>
      </w:r>
    </w:p>
    <w:p>
      <w:pPr>
        <w:spacing w:after="0" w:line="74" w:lineRule="exact"/>
        <w:rPr>
          <w:sz w:val="20"/>
          <w:szCs w:val="20"/>
          <w:color w:val="auto"/>
        </w:rPr>
      </w:pPr>
    </w:p>
    <w:p>
      <w:pPr>
        <w:ind w:left="1780" w:hanging="391"/>
        <w:spacing w:after="0" w:line="252" w:lineRule="auto"/>
        <w:tabs>
          <w:tab w:leader="none" w:pos="1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74" w:lineRule="exact"/>
        <w:rPr>
          <w:rFonts w:ascii="Arial" w:cs="Arial" w:eastAsia="Arial" w:hAnsi="Arial"/>
          <w:sz w:val="17"/>
          <w:szCs w:val="17"/>
          <w:color w:val="auto"/>
        </w:rPr>
      </w:pPr>
    </w:p>
    <w:p>
      <w:pPr>
        <w:ind w:left="1780" w:right="280" w:hanging="391"/>
        <w:spacing w:after="0" w:line="270" w:lineRule="auto"/>
        <w:tabs>
          <w:tab w:leader="none" w:pos="1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 of 2002, as amended (the Sarbanes-Oxley Act);</w:t>
      </w:r>
    </w:p>
    <w:p>
      <w:pPr>
        <w:spacing w:after="0" w:line="58" w:lineRule="exact"/>
        <w:rPr>
          <w:rFonts w:ascii="Arial" w:cs="Arial" w:eastAsia="Arial" w:hAnsi="Arial"/>
          <w:sz w:val="17"/>
          <w:szCs w:val="17"/>
          <w:color w:val="auto"/>
        </w:rPr>
      </w:pPr>
    </w:p>
    <w:p>
      <w:pPr>
        <w:ind w:left="1780" w:right="20" w:hanging="391"/>
        <w:spacing w:after="0" w:line="247" w:lineRule="auto"/>
        <w:tabs>
          <w:tab w:leader="none" w:pos="1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unless the SEC determines the new rules are necessary for protecting the public;</w:t>
      </w:r>
    </w:p>
    <w:p>
      <w:pPr>
        <w:spacing w:after="0" w:line="76" w:lineRule="exact"/>
        <w:rPr>
          <w:rFonts w:ascii="Arial" w:cs="Arial" w:eastAsia="Arial" w:hAnsi="Arial"/>
          <w:sz w:val="17"/>
          <w:szCs w:val="17"/>
          <w:color w:val="auto"/>
        </w:rPr>
      </w:pPr>
    </w:p>
    <w:p>
      <w:pPr>
        <w:ind w:left="1780" w:right="520" w:hanging="391"/>
        <w:spacing w:after="0" w:line="270" w:lineRule="auto"/>
        <w:tabs>
          <w:tab w:leader="none" w:pos="1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proxy statements and registration statements; and</w:t>
      </w:r>
    </w:p>
    <w:p>
      <w:pPr>
        <w:spacing w:after="0" w:line="58" w:lineRule="exact"/>
        <w:rPr>
          <w:rFonts w:ascii="Arial" w:cs="Arial" w:eastAsia="Arial" w:hAnsi="Arial"/>
          <w:sz w:val="17"/>
          <w:szCs w:val="17"/>
          <w:color w:val="auto"/>
        </w:rPr>
      </w:pPr>
    </w:p>
    <w:p>
      <w:pPr>
        <w:ind w:left="1780" w:right="60" w:hanging="391"/>
        <w:spacing w:after="0" w:line="270" w:lineRule="auto"/>
        <w:tabs>
          <w:tab w:leader="none" w:pos="1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110" w:lineRule="exact"/>
        <w:rPr>
          <w:sz w:val="20"/>
          <w:szCs w:val="20"/>
          <w:color w:val="auto"/>
        </w:rPr>
      </w:pPr>
    </w:p>
    <w:p>
      <w:pPr>
        <w:ind w:left="580" w:right="20" w:firstLine="504"/>
        <w:spacing w:after="0" w:line="242" w:lineRule="auto"/>
        <w:rPr>
          <w:sz w:val="20"/>
          <w:szCs w:val="20"/>
          <w:color w:val="auto"/>
        </w:rPr>
      </w:pPr>
      <w:r>
        <w:rPr>
          <w:rFonts w:ascii="Arial" w:cs="Arial" w:eastAsia="Arial" w:hAnsi="Arial"/>
          <w:sz w:val="17"/>
          <w:szCs w:val="17"/>
          <w:color w:val="auto"/>
        </w:rPr>
        <w:t>We may take advantage of these provisions until the last day of our fiscal year following the fifth anniversary of the date of the first sale of our common equity securities pursuant to an effective registration statement under the Securities Act of 1933, as amended (the Securities Act), which such fifth anniversary will occur in 2029. However, if certain events occur prior to the end of such five-year period, including if we become a “large accelerated filer” as defined in Rule 12b-2 under the Exchange Act, our annual gross revenues exceed $1.235 billion, or we issue more than $1.0 billion of non-convertible debt in any three-year period, we will cease to be an emerging growth company prior to the end of such five-year period.</w:t>
      </w:r>
    </w:p>
    <w:p>
      <w:pPr>
        <w:spacing w:after="0" w:line="146" w:lineRule="exact"/>
        <w:rPr>
          <w:sz w:val="20"/>
          <w:szCs w:val="20"/>
          <w:color w:val="auto"/>
        </w:rPr>
      </w:pPr>
    </w:p>
    <w:p>
      <w:pPr>
        <w:ind w:left="580" w:right="40" w:firstLine="504"/>
        <w:spacing w:after="0" w:line="247" w:lineRule="auto"/>
        <w:rPr>
          <w:sz w:val="20"/>
          <w:szCs w:val="20"/>
          <w:color w:val="auto"/>
        </w:rPr>
      </w:pPr>
      <w:r>
        <w:rPr>
          <w:rFonts w:ascii="Arial" w:cs="Arial" w:eastAsia="Arial" w:hAnsi="Arial"/>
          <w:sz w:val="17"/>
          <w:szCs w:val="17"/>
          <w:color w:val="auto"/>
        </w:rPr>
        <w:t>We have elected to take advantage of certain of the reduced disclosure obligations in this prospectus and in the registration statement of which this prospectus is a part and may elect to take advantage of other reduced reporting requirements in future filings. As a result, the information in this prospectus and that we provide to our stockholders in the future may be different than what you might receive from other public reporting companies in which you hold equity interests.</w:t>
      </w:r>
    </w:p>
    <w:p>
      <w:pPr>
        <w:spacing w:after="0" w:line="128" w:lineRule="exact"/>
        <w:rPr>
          <w:sz w:val="20"/>
          <w:szCs w:val="20"/>
          <w:color w:val="auto"/>
        </w:rPr>
      </w:pPr>
    </w:p>
    <w:p>
      <w:pPr>
        <w:ind w:left="580" w:right="60" w:firstLine="504"/>
        <w:spacing w:after="0" w:line="242"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We have elected to avail ourselves of this exemption and, therefore, we will not be subject to the same new or revised accounting standards as other public companies that are not emerging growth companies. As a result, our consolidated financial statements may not be comparable to companies that comply with new or revised accounting pronouncements as of public company effective dates. We intend to rely on other exemptions provided by the JOBS Act, including without limitation, not being required to comply with the auditor attestation requirements of Section 404(b) of the Sarbanes-Oxley Act.</w:t>
      </w:r>
    </w:p>
    <w:p>
      <w:pPr>
        <w:spacing w:after="0" w:line="27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640"/>
          </w:cols>
          <w:pgMar w:left="320" w:top="439" w:right="9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194310</wp:posOffset>
            </wp:positionV>
            <wp:extent cx="6624955" cy="1075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24955" cy="10756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80" w:firstLine="504"/>
        <w:spacing w:after="0" w:line="241" w:lineRule="auto"/>
        <w:rPr>
          <w:sz w:val="20"/>
          <w:szCs w:val="20"/>
          <w:color w:val="auto"/>
        </w:rPr>
      </w:pPr>
      <w:r>
        <w:rPr>
          <w:rFonts w:ascii="Arial" w:cs="Arial" w:eastAsia="Arial" w:hAnsi="Arial"/>
          <w:sz w:val="17"/>
          <w:szCs w:val="17"/>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7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540"/>
          </w:cols>
          <w:pgMar w:left="320" w:top="439" w:right="10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194310</wp:posOffset>
            </wp:positionV>
            <wp:extent cx="6624955" cy="53187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24955" cy="531876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120"/>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0660"/>
          </w:cols>
          <w:pgMar w:left="320" w:top="439" w:right="919" w:bottom="1440" w:gutter="0" w:footer="0" w:header="0"/>
        </w:sectPr>
      </w:pPr>
    </w:p>
    <w:p>
      <w:pPr>
        <w:spacing w:after="0" w:line="22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6,250,000 shares.</w:t>
      </w:r>
    </w:p>
    <w:p>
      <w:pPr>
        <w:spacing w:after="0" w:line="200" w:lineRule="exact"/>
        <w:rPr>
          <w:sz w:val="20"/>
          <w:szCs w:val="20"/>
          <w:color w:val="auto"/>
        </w:rPr>
      </w:pPr>
    </w:p>
    <w:p>
      <w:pPr>
        <w:sectPr>
          <w:pgSz w:w="11900" w:h="16838" w:orient="portrait"/>
          <w:cols w:equalWidth="0" w:num="2">
            <w:col w:w="4180" w:space="720"/>
            <w:col w:w="5760"/>
          </w:cols>
          <w:pgMar w:left="320" w:top="439" w:right="919" w:bottom="1440" w:gutter="0" w:footer="0" w:header="0"/>
          <w:type w:val="continuous"/>
        </w:sectPr>
      </w:pPr>
    </w:p>
    <w:p>
      <w:pPr>
        <w:spacing w:after="0" w:line="5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Option to purchase additional shares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We have granted the underwriters an option to purchase up to 937,500 additional shares of common stock from us at any time within 30 days from the date of this prospectus.</w:t>
      </w:r>
    </w:p>
    <w:p>
      <w:pPr>
        <w:spacing w:after="0" w:line="189" w:lineRule="exact"/>
        <w:rPr>
          <w:sz w:val="20"/>
          <w:szCs w:val="20"/>
          <w:color w:val="auto"/>
        </w:rPr>
      </w:pPr>
    </w:p>
    <w:p>
      <w:pPr>
        <w:sectPr>
          <w:pgSz w:w="11900" w:h="16838" w:orient="portrait"/>
          <w:cols w:equalWidth="0" w:num="2">
            <w:col w:w="4180" w:space="720"/>
            <w:col w:w="5760"/>
          </w:cols>
          <w:pgMar w:left="320" w:top="439" w:right="919" w:bottom="1440" w:gutter="0" w:footer="0" w:header="0"/>
          <w:type w:val="continuous"/>
        </w:sectPr>
      </w:pPr>
    </w:p>
    <w:p>
      <w:pPr>
        <w:ind w:left="580"/>
        <w:spacing w:after="0" w:line="270" w:lineRule="auto"/>
        <w:rPr>
          <w:sz w:val="20"/>
          <w:szCs w:val="20"/>
          <w:color w:val="auto"/>
        </w:rPr>
      </w:pPr>
      <w:r>
        <w:rPr>
          <w:rFonts w:ascii="Arial" w:cs="Arial" w:eastAsia="Arial" w:hAnsi="Arial"/>
          <w:sz w:val="17"/>
          <w:szCs w:val="17"/>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ind w:right="180"/>
        <w:spacing w:after="0" w:line="270" w:lineRule="auto"/>
        <w:rPr>
          <w:sz w:val="20"/>
          <w:szCs w:val="20"/>
          <w:color w:val="auto"/>
        </w:rPr>
      </w:pPr>
      <w:r>
        <w:rPr>
          <w:rFonts w:ascii="Arial" w:cs="Arial" w:eastAsia="Arial" w:hAnsi="Arial"/>
          <w:sz w:val="17"/>
          <w:szCs w:val="17"/>
          <w:color w:val="auto"/>
        </w:rPr>
        <w:t>22,239,333 shares (or 23,176,833 shares if the underwriters exercise their option to purchase additional shares in full).</w:t>
      </w:r>
    </w:p>
    <w:p>
      <w:pPr>
        <w:spacing w:after="0" w:line="186" w:lineRule="exact"/>
        <w:rPr>
          <w:sz w:val="20"/>
          <w:szCs w:val="20"/>
          <w:color w:val="auto"/>
        </w:rPr>
      </w:pPr>
    </w:p>
    <w:p>
      <w:pPr>
        <w:sectPr>
          <w:pgSz w:w="11900" w:h="16838" w:orient="portrait"/>
          <w:cols w:equalWidth="0" w:num="2">
            <w:col w:w="4720" w:space="180"/>
            <w:col w:w="5760"/>
          </w:cols>
          <w:pgMar w:left="320" w:top="439" w:right="919" w:bottom="1440" w:gutter="0" w:footer="0" w:header="0"/>
          <w:type w:val="continuous"/>
        </w:sectPr>
      </w:pPr>
    </w:p>
    <w:p>
      <w:pPr>
        <w:ind w:left="580"/>
        <w:spacing w:after="0"/>
        <w:rPr>
          <w:sz w:val="20"/>
          <w:szCs w:val="20"/>
          <w:color w:val="auto"/>
        </w:rPr>
      </w:pPr>
      <w:r>
        <w:rPr>
          <w:rFonts w:ascii="Arial" w:cs="Arial" w:eastAsia="Arial" w:hAnsi="Arial"/>
          <w:sz w:val="17"/>
          <w:szCs w:val="17"/>
          <w:color w:val="auto"/>
        </w:rPr>
        <w:t>Use of proceeds</w:t>
      </w:r>
    </w:p>
    <w:p>
      <w:pPr>
        <w:spacing w:after="0" w:line="20" w:lineRule="exact"/>
        <w:rPr>
          <w:sz w:val="20"/>
          <w:szCs w:val="20"/>
          <w:color w:val="auto"/>
        </w:rPr>
      </w:pPr>
      <w:r>
        <w:rPr>
          <w:sz w:val="20"/>
          <w:szCs w:val="20"/>
          <w:color w:val="auto"/>
        </w:rPr>
        <w:br w:type="column"/>
      </w:r>
    </w:p>
    <w:p>
      <w:pPr>
        <w:ind w:right="80"/>
        <w:spacing w:after="0"/>
        <w:rPr>
          <w:sz w:val="20"/>
          <w:szCs w:val="20"/>
          <w:color w:val="auto"/>
        </w:rPr>
      </w:pPr>
      <w:r>
        <w:rPr>
          <w:rFonts w:ascii="Arial" w:cs="Arial" w:eastAsia="Arial" w:hAnsi="Arial"/>
          <w:sz w:val="17"/>
          <w:szCs w:val="17"/>
          <w:color w:val="auto"/>
        </w:rPr>
        <w:t>We estimate that the net proceeds to us from this offering will be approximately $88.4 million (or approximately $102.3 million if the underwriters exercise their option to purchase additional shares in full) from the sale of the shares of common stock offered by us in this offering, assuming an initial public offering price of $16.00 per share, which is the midpoint of the price range set forth on the cover page of this prospectus, and after deducting the estimated underwriting discounts and commissions and estimated offering expenses payable by us.</w:t>
      </w:r>
    </w:p>
    <w:p>
      <w:pPr>
        <w:spacing w:after="0" w:line="199" w:lineRule="exact"/>
        <w:rPr>
          <w:sz w:val="20"/>
          <w:szCs w:val="20"/>
          <w:color w:val="auto"/>
        </w:rPr>
      </w:pPr>
    </w:p>
    <w:p>
      <w:pPr>
        <w:sectPr>
          <w:pgSz w:w="11900" w:h="16838" w:orient="portrait"/>
          <w:cols w:equalWidth="0" w:num="2">
            <w:col w:w="4180" w:space="720"/>
            <w:col w:w="5760"/>
          </w:cols>
          <w:pgMar w:left="320" w:top="439" w:right="919" w:bottom="1440" w:gutter="0" w:footer="0" w:header="0"/>
          <w:type w:val="continuous"/>
        </w:sectPr>
      </w:pPr>
    </w:p>
    <w:p>
      <w:pPr>
        <w:ind w:left="4900" w:right="60"/>
        <w:spacing w:after="0" w:line="244" w:lineRule="auto"/>
        <w:rPr>
          <w:sz w:val="20"/>
          <w:szCs w:val="20"/>
          <w:color w:val="auto"/>
        </w:rPr>
      </w:pPr>
      <w:r>
        <w:rPr>
          <w:rFonts w:ascii="Arial" w:cs="Arial" w:eastAsia="Arial" w:hAnsi="Arial"/>
          <w:sz w:val="17"/>
          <w:szCs w:val="17"/>
          <w:color w:val="auto"/>
        </w:rPr>
        <w:t>We currently intend to use the net proceeds from this offering, together with our existing cash, cash equivalents, and short-term investments, to fund the research and development of our ecDTx, ecDNA diagnostic test, and Spyglass platform, and for working capital and general corporate purposes. See the section titled “Use of Proceeds.”</w:t>
      </w:r>
    </w:p>
    <w:p>
      <w:pPr>
        <w:sectPr>
          <w:pgSz w:w="11900" w:h="16838" w:orient="portrait"/>
          <w:cols w:equalWidth="0" w:num="1">
            <w:col w:w="10660"/>
          </w:cols>
          <w:pgMar w:left="320" w:top="439" w:right="919" w:bottom="1440" w:gutter="0" w:footer="0" w:header="0"/>
          <w:type w:val="continuous"/>
        </w:sectPr>
      </w:pPr>
    </w:p>
    <w:p>
      <w:pPr>
        <w:spacing w:after="0" w:line="19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380"/>
        <w:spacing w:after="0" w:line="270" w:lineRule="auto"/>
        <w:rPr>
          <w:sz w:val="20"/>
          <w:szCs w:val="20"/>
          <w:color w:val="auto"/>
        </w:rPr>
      </w:pPr>
      <w:r>
        <w:rPr>
          <w:rFonts w:ascii="Arial" w:cs="Arial" w:eastAsia="Arial" w:hAnsi="Arial"/>
          <w:sz w:val="17"/>
          <w:szCs w:val="17"/>
          <w:color w:val="auto"/>
        </w:rPr>
        <w:t>See the section titled “Risk Factors” for a discussion of risks you should consider carefully before deciding to invest in our common stock.</w:t>
      </w:r>
    </w:p>
    <w:p>
      <w:pPr>
        <w:spacing w:after="0" w:line="173" w:lineRule="exact"/>
        <w:rPr>
          <w:sz w:val="20"/>
          <w:szCs w:val="20"/>
          <w:color w:val="auto"/>
        </w:rPr>
      </w:pPr>
    </w:p>
    <w:p>
      <w:pPr>
        <w:sectPr>
          <w:pgSz w:w="11900" w:h="16838" w:orient="portrait"/>
          <w:cols w:equalWidth="0" w:num="2">
            <w:col w:w="4180" w:space="720"/>
            <w:col w:w="5760"/>
          </w:cols>
          <w:pgMar w:left="320" w:top="439" w:right="919" w:bottom="1440" w:gutter="0" w:footer="0" w:header="0"/>
          <w:type w:val="continuous"/>
        </w:sectPr>
      </w:pPr>
    </w:p>
    <w:p>
      <w:pPr>
        <w:ind w:left="580"/>
        <w:spacing w:after="0"/>
        <w:rPr>
          <w:sz w:val="20"/>
          <w:szCs w:val="20"/>
          <w:color w:val="auto"/>
        </w:rPr>
      </w:pPr>
      <w:r>
        <w:rPr>
          <w:rFonts w:ascii="Arial" w:cs="Arial" w:eastAsia="Arial" w:hAnsi="Arial"/>
          <w:sz w:val="17"/>
          <w:szCs w:val="17"/>
          <w:color w:val="auto"/>
        </w:rPr>
        <w:t>Proposed 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“BOLD”</w:t>
      </w:r>
    </w:p>
    <w:p>
      <w:pPr>
        <w:spacing w:after="0" w:line="200" w:lineRule="exact"/>
        <w:rPr>
          <w:sz w:val="20"/>
          <w:szCs w:val="20"/>
          <w:color w:val="auto"/>
        </w:rPr>
      </w:pPr>
    </w:p>
    <w:p>
      <w:pPr>
        <w:sectPr>
          <w:pgSz w:w="11900" w:h="16838" w:orient="portrait"/>
          <w:cols w:equalWidth="0" w:num="2">
            <w:col w:w="4180" w:space="720"/>
            <w:col w:w="5760"/>
          </w:cols>
          <w:pgMar w:left="320" w:top="439" w:right="919" w:bottom="1440" w:gutter="0" w:footer="0" w:header="0"/>
          <w:type w:val="continuous"/>
        </w:sectPr>
      </w:pPr>
    </w:p>
    <w:p>
      <w:pPr>
        <w:spacing w:after="0" w:line="13" w:lineRule="exact"/>
        <w:rPr>
          <w:sz w:val="20"/>
          <w:szCs w:val="20"/>
          <w:color w:val="auto"/>
        </w:rPr>
      </w:pPr>
    </w:p>
    <w:p>
      <w:pPr>
        <w:ind w:left="580" w:right="60" w:firstLine="504"/>
        <w:spacing w:after="0" w:line="247" w:lineRule="auto"/>
        <w:rPr>
          <w:sz w:val="20"/>
          <w:szCs w:val="20"/>
          <w:color w:val="auto"/>
        </w:rPr>
      </w:pPr>
      <w:r>
        <w:rPr>
          <w:rFonts w:ascii="Arial" w:cs="Arial" w:eastAsia="Arial" w:hAnsi="Arial"/>
          <w:sz w:val="17"/>
          <w:szCs w:val="17"/>
          <w:color w:val="auto"/>
        </w:rPr>
        <w:t>The number of shares of our common stock to be outstanding after this offering set forth above is based on 15,989,333 shares of our common stock outstanding as of December 31, 2023, including 1,481 shares subject to a right of repurchase after giving effect to the automatic conversion of all outstanding shares of our convertible preferred stock into 14,740,840 shares of our common stock immediately prior to the closing of this offering, and excludes:</w:t>
      </w:r>
    </w:p>
    <w:p>
      <w:pPr>
        <w:spacing w:after="0" w:line="77" w:lineRule="exact"/>
        <w:rPr>
          <w:sz w:val="20"/>
          <w:szCs w:val="20"/>
          <w:color w:val="auto"/>
        </w:rPr>
      </w:pPr>
    </w:p>
    <w:p>
      <w:pPr>
        <w:ind w:left="1780" w:hanging="391"/>
        <w:spacing w:after="0" w:line="270" w:lineRule="auto"/>
        <w:tabs>
          <w:tab w:leader="none" w:pos="1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2,813,937 shares of common stock issuable upon the exercise of stock options outstanding as of December 31, 2023, with a weighted-average exercise price of $4.13 per share;</w:t>
      </w:r>
    </w:p>
    <w:p>
      <w:pPr>
        <w:spacing w:after="0" w:line="58" w:lineRule="exact"/>
        <w:rPr>
          <w:rFonts w:ascii="Arial" w:cs="Arial" w:eastAsia="Arial" w:hAnsi="Arial"/>
          <w:sz w:val="17"/>
          <w:szCs w:val="17"/>
          <w:color w:val="auto"/>
        </w:rPr>
      </w:pPr>
    </w:p>
    <w:p>
      <w:pPr>
        <w:ind w:left="1780" w:right="40" w:hanging="391"/>
        <w:spacing w:after="0" w:line="270" w:lineRule="auto"/>
        <w:tabs>
          <w:tab w:leader="none" w:pos="1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840,292 shares of common stock issuable upon exercise of stock options granted subsequent to December 31, 2023, with a weighted-average exercise price of $8.19 per share;</w:t>
      </w:r>
    </w:p>
    <w:p>
      <w:pPr>
        <w:spacing w:after="0" w:line="250"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660"/>
          </w:cols>
          <w:pgMar w:left="320" w:top="439" w:right="91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194310</wp:posOffset>
            </wp:positionV>
            <wp:extent cx="6624955" cy="43935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24955" cy="439356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780" w:right="20" w:hanging="391"/>
        <w:spacing w:after="0" w:line="241" w:lineRule="auto"/>
        <w:tabs>
          <w:tab w:leader="none" w:pos="1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number of shares of our common stock issuable upon the exercise of stock options (the IPO Grants) equal to 2.2% of the number of shares of our common stock to be outstanding upon the closing of this offering (calculated on an as-converted basis and after giving effect to the number of shares of our common stock to be sold in this offering and assuming the exercise in full of the underwriters’ option to purchase additional shares), to be granted in connection with this offering under our 2024 Incentive Award Plan (the 2024 Plan), which will become effective in connection with this offering, to certain of our executive officers, directors, employees and consultants, at an exercise price equal to the initial public offering price in this offering;</w:t>
      </w:r>
    </w:p>
    <w:p>
      <w:pPr>
        <w:spacing w:after="0" w:line="82" w:lineRule="exact"/>
        <w:rPr>
          <w:rFonts w:ascii="Arial" w:cs="Arial" w:eastAsia="Arial" w:hAnsi="Arial"/>
          <w:sz w:val="17"/>
          <w:szCs w:val="17"/>
          <w:color w:val="auto"/>
        </w:rPr>
      </w:pPr>
    </w:p>
    <w:p>
      <w:pPr>
        <w:ind w:left="1780" w:right="40" w:hanging="391"/>
        <w:spacing w:after="0"/>
        <w:tabs>
          <w:tab w:leader="none" w:pos="1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number of shares of our common stock reserved for future issuance under our 2024 Plan (which number includes the IPO Grants), which will equal the sum of (1) a number of shares equal to 12.0% of the number of shares of our common stock to be outstanding upon the closing of this offering (calculated on an as-converted basis and after giving effect to the number of shares of our common stock to be sold in this offering and assuming the exercise in full of the underwriters’ options to purchase additional shares), plus (2) 24,841 shares of our common stock remaining available for future issuance under our 2018 Equity Incentive Plan (the 2018 Plan) as of the effectiveness of the 2024 Plan, which shares will be added to the share reserve under the 2024 Plan upon its effectiveness, plus (3) any potential evergreen increases pursuant to the terms of the 2024 Plan; and</w:t>
      </w:r>
    </w:p>
    <w:p>
      <w:pPr>
        <w:spacing w:after="0" w:line="84" w:lineRule="exact"/>
        <w:rPr>
          <w:rFonts w:ascii="Arial" w:cs="Arial" w:eastAsia="Arial" w:hAnsi="Arial"/>
          <w:sz w:val="17"/>
          <w:szCs w:val="17"/>
          <w:color w:val="auto"/>
        </w:rPr>
      </w:pPr>
    </w:p>
    <w:p>
      <w:pPr>
        <w:ind w:left="1780" w:hanging="391"/>
        <w:spacing w:after="0" w:line="254" w:lineRule="auto"/>
        <w:tabs>
          <w:tab w:leader="none" w:pos="1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number of shares of our common stock reserved for future issuance under our 2024 Employee Stock Purchase Plan (the ESPP), which will become effective in connection with this offering, which will equal the sum of (1) a number of shares equal to 1% of the number of our shares of our common stock to be outstanding upon the closing of this offering (calculated on an as-converted basis and after giving effect to the number of shares of common stock to be sold in this offering and assuming the exercise in full of the underwriters’ options to purchase additional shares), plus</w:t>
      </w:r>
    </w:p>
    <w:p>
      <w:pPr>
        <w:ind w:left="1780"/>
        <w:spacing w:after="0"/>
        <w:rPr>
          <w:rFonts w:ascii="Arial" w:cs="Arial" w:eastAsia="Arial" w:hAnsi="Arial"/>
          <w:sz w:val="16"/>
          <w:szCs w:val="16"/>
          <w:color w:val="auto"/>
        </w:rPr>
      </w:pPr>
      <w:r>
        <w:rPr>
          <w:rFonts w:ascii="Arial" w:cs="Arial" w:eastAsia="Arial" w:hAnsi="Arial"/>
          <w:sz w:val="17"/>
          <w:szCs w:val="17"/>
          <w:color w:val="auto"/>
        </w:rPr>
        <w:t>(2) any potential evergreen increases pursuant to the terms of the ESPP.</w:t>
      </w:r>
    </w:p>
    <w:p>
      <w:pPr>
        <w:spacing w:after="0" w:line="18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Unless otherwise indicated, all information contained in this prospectus assumes or gives effect to the following:</w:t>
      </w:r>
    </w:p>
    <w:p>
      <w:pPr>
        <w:spacing w:after="0" w:line="111" w:lineRule="exact"/>
        <w:rPr>
          <w:sz w:val="20"/>
          <w:szCs w:val="20"/>
          <w:color w:val="auto"/>
        </w:rPr>
      </w:pPr>
    </w:p>
    <w:p>
      <w:pPr>
        <w:ind w:left="1780" w:right="60" w:hanging="391"/>
        <w:spacing w:after="0" w:line="270" w:lineRule="auto"/>
        <w:tabs>
          <w:tab w:leader="none" w:pos="1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filing and effectiveness of our amended and restated certificate of incorporation and the adoption of our amended and restated bylaws, each of which will occur immediately prior to the closing of this offering;</w:t>
      </w:r>
    </w:p>
    <w:p>
      <w:pPr>
        <w:spacing w:after="0" w:line="58" w:lineRule="exact"/>
        <w:rPr>
          <w:rFonts w:ascii="Arial" w:cs="Arial" w:eastAsia="Arial" w:hAnsi="Arial"/>
          <w:sz w:val="17"/>
          <w:szCs w:val="17"/>
          <w:color w:val="auto"/>
        </w:rPr>
      </w:pPr>
    </w:p>
    <w:p>
      <w:pPr>
        <w:ind w:left="1780" w:right="260" w:hanging="391"/>
        <w:spacing w:after="0" w:line="270" w:lineRule="auto"/>
        <w:tabs>
          <w:tab w:leader="none" w:pos="1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automatic conversion of all outstanding shares of our convertible preferred stock into 14,740,840 shares of our common stock immediately prior to the closing of this offering;</w:t>
      </w:r>
    </w:p>
    <w:p>
      <w:pPr>
        <w:spacing w:after="0" w:line="58" w:lineRule="exact"/>
        <w:rPr>
          <w:rFonts w:ascii="Arial" w:cs="Arial" w:eastAsia="Arial" w:hAnsi="Arial"/>
          <w:sz w:val="17"/>
          <w:szCs w:val="17"/>
          <w:color w:val="auto"/>
        </w:rPr>
      </w:pPr>
    </w:p>
    <w:p>
      <w:pPr>
        <w:ind w:left="1780" w:hanging="391"/>
        <w:spacing w:after="0"/>
        <w:tabs>
          <w:tab w:leader="none" w:pos="1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one-for-19.5 reverse stock split of our common stock, which we effected on March 19, 2024;</w:t>
      </w:r>
    </w:p>
    <w:p>
      <w:pPr>
        <w:spacing w:after="0" w:line="111" w:lineRule="exact"/>
        <w:rPr>
          <w:rFonts w:ascii="Arial" w:cs="Arial" w:eastAsia="Arial" w:hAnsi="Arial"/>
          <w:sz w:val="17"/>
          <w:szCs w:val="17"/>
          <w:color w:val="auto"/>
        </w:rPr>
      </w:pPr>
    </w:p>
    <w:p>
      <w:pPr>
        <w:ind w:left="1780" w:hanging="391"/>
        <w:spacing w:after="0"/>
        <w:tabs>
          <w:tab w:leader="none" w:pos="1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no exercise of the outstanding stock options described above; and</w:t>
      </w:r>
    </w:p>
    <w:p>
      <w:pPr>
        <w:spacing w:after="0" w:line="111" w:lineRule="exact"/>
        <w:rPr>
          <w:rFonts w:ascii="Arial" w:cs="Arial" w:eastAsia="Arial" w:hAnsi="Arial"/>
          <w:sz w:val="17"/>
          <w:szCs w:val="17"/>
          <w:color w:val="auto"/>
        </w:rPr>
      </w:pPr>
    </w:p>
    <w:p>
      <w:pPr>
        <w:ind w:left="1780" w:hanging="391"/>
        <w:spacing w:after="0"/>
        <w:tabs>
          <w:tab w:leader="none" w:pos="1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no exercise by the underwriters of their option to purchase up to 937,500 additional shares of our common stock.</w:t>
      </w:r>
    </w:p>
    <w:p>
      <w:pPr>
        <w:spacing w:after="0" w:line="30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620"/>
          </w:cols>
          <w:pgMar w:left="320" w:top="439" w:right="9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194310</wp:posOffset>
            </wp:positionV>
            <wp:extent cx="6624955" cy="4353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24955" cy="435356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Summary Financial Data</w:t>
      </w:r>
    </w:p>
    <w:p>
      <w:pPr>
        <w:spacing w:after="0" w:line="201" w:lineRule="exact"/>
        <w:rPr>
          <w:sz w:val="20"/>
          <w:szCs w:val="20"/>
          <w:color w:val="auto"/>
        </w:rPr>
      </w:pPr>
    </w:p>
    <w:p>
      <w:pPr>
        <w:ind w:left="580" w:firstLine="504"/>
        <w:spacing w:after="0" w:line="242" w:lineRule="auto"/>
        <w:rPr>
          <w:sz w:val="20"/>
          <w:szCs w:val="20"/>
          <w:color w:val="auto"/>
        </w:rPr>
      </w:pPr>
      <w:r>
        <w:rPr>
          <w:rFonts w:ascii="Arial" w:cs="Arial" w:eastAsia="Arial" w:hAnsi="Arial"/>
          <w:sz w:val="17"/>
          <w:szCs w:val="17"/>
          <w:color w:val="auto"/>
        </w:rPr>
        <w:t>The following tables set forth a summary of our historical financial data as of, and for the periods ended on, the dates indicated. We have derived the summary statements of operations data for the years ended December 31, 2022 and 2023 and the summary balance sheet data as of December 31, 2023 from our audited financial statements included elsewhere in this prospectus. You should read these data together with our financial statements and related notes included elsewhere in this prospectus and the section titled “Management’s Discussion and Analysis of Financial Condition and Results of Operations.” Our historical results for any prior period are not necessarily indicative of our future results.</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9"/>
              <w:spacing w:after="0" w:line="146"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6"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788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860" w:type="dxa"/>
            <w:vAlign w:val="bottom"/>
            <w:shd w:val="clear" w:color="auto" w:fill="CCEEFF"/>
          </w:tcPr>
          <w:p>
            <w:pPr>
              <w:spacing w:after="0" w:line="193" w:lineRule="exact"/>
              <w:rPr>
                <w:sz w:val="20"/>
                <w:szCs w:val="20"/>
                <w:color w:val="auto"/>
              </w:rPr>
            </w:pPr>
            <w:r>
              <w:rPr>
                <w:rFonts w:ascii="Arial" w:cs="Arial" w:eastAsia="Arial" w:hAnsi="Arial"/>
                <w:sz w:val="17"/>
                <w:szCs w:val="17"/>
                <w:b w:val="1"/>
                <w:bCs w:val="1"/>
                <w:color w:val="auto"/>
              </w:rPr>
              <w:t>Statements of Operations Data:</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60" w:type="dxa"/>
            <w:vAlign w:val="bottom"/>
          </w:tcPr>
          <w:p>
            <w:pPr>
              <w:spacing w:after="0" w:line="192" w:lineRule="exact"/>
              <w:rPr>
                <w:sz w:val="20"/>
                <w:szCs w:val="20"/>
                <w:color w:val="auto"/>
              </w:rPr>
            </w:pPr>
            <w:r>
              <w:rPr>
                <w:rFonts w:ascii="Arial" w:cs="Arial" w:eastAsia="Arial" w:hAnsi="Arial"/>
                <w:sz w:val="17"/>
                <w:szCs w:val="17"/>
                <w:color w:val="auto"/>
              </w:rPr>
              <w:t>Operating expenses: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60" w:type="dxa"/>
            <w:vAlign w:val="bottom"/>
            <w:shd w:val="clear" w:color="auto" w:fill="CCEEFF"/>
          </w:tcPr>
          <w:p>
            <w:pPr>
              <w:ind w:left="160"/>
              <w:spacing w:after="0" w:line="192" w:lineRule="exact"/>
              <w:rPr>
                <w:sz w:val="20"/>
                <w:szCs w:val="20"/>
                <w:color w:val="auto"/>
              </w:rPr>
            </w:pPr>
            <w:r>
              <w:rPr>
                <w:rFonts w:ascii="Arial" w:cs="Arial" w:eastAsia="Arial" w:hAnsi="Arial"/>
                <w:sz w:val="17"/>
                <w:szCs w:val="17"/>
                <w:color w:val="auto"/>
              </w:rPr>
              <w:t>Research and development</w:t>
            </w:r>
          </w:p>
        </w:tc>
        <w:tc>
          <w:tcPr>
            <w:tcW w:w="400" w:type="dxa"/>
            <w:vAlign w:val="bottom"/>
            <w:gridSpan w:val="2"/>
            <w:shd w:val="clear" w:color="auto" w:fill="CCEEFF"/>
          </w:tcPr>
          <w:p>
            <w:pPr>
              <w:jc w:val="right"/>
              <w:ind w:right="20"/>
              <w:spacing w:after="0" w:line="192" w:lineRule="exact"/>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37,159</w:t>
            </w:r>
          </w:p>
        </w:tc>
        <w:tc>
          <w:tcPr>
            <w:tcW w:w="2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20"/>
              <w:spacing w:after="0" w:line="192" w:lineRule="exact"/>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42,637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tcPr>
          <w:p>
            <w:pPr>
              <w:ind w:left="160"/>
              <w:spacing w:after="0" w:line="192" w:lineRule="exact"/>
              <w:rPr>
                <w:sz w:val="20"/>
                <w:szCs w:val="20"/>
                <w:color w:val="auto"/>
              </w:rPr>
            </w:pPr>
            <w:r>
              <w:rPr>
                <w:rFonts w:ascii="Arial" w:cs="Arial" w:eastAsia="Arial" w:hAnsi="Arial"/>
                <w:sz w:val="17"/>
                <w:szCs w:val="17"/>
                <w:color w:val="auto"/>
              </w:rPr>
              <w:t>General and administrative</w:t>
            </w: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9,310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12,159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tcBorders>
              <w:bottom w:val="single" w:sz="8" w:color="CCEEFF"/>
            </w:tcBorders>
            <w:shd w:val="clear" w:color="auto" w:fill="CCEEFF"/>
          </w:tcPr>
          <w:p>
            <w:pPr>
              <w:spacing w:after="0" w:line="192" w:lineRule="exact"/>
              <w:rPr>
                <w:sz w:val="20"/>
                <w:szCs w:val="20"/>
                <w:color w:val="auto"/>
              </w:rPr>
            </w:pPr>
            <w:r>
              <w:rPr>
                <w:rFonts w:ascii="Arial" w:cs="Arial" w:eastAsia="Arial" w:hAnsi="Arial"/>
                <w:sz w:val="17"/>
                <w:szCs w:val="17"/>
                <w:color w:val="auto"/>
              </w:rPr>
              <w:t>Total operating expenses</w:t>
            </w: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46,469</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54,796</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60" w:type="dxa"/>
            <w:vAlign w:val="bottom"/>
          </w:tcPr>
          <w:p>
            <w:pPr>
              <w:spacing w:after="0" w:line="192" w:lineRule="exact"/>
              <w:rPr>
                <w:sz w:val="20"/>
                <w:szCs w:val="20"/>
                <w:color w:val="auto"/>
              </w:rPr>
            </w:pPr>
            <w:r>
              <w:rPr>
                <w:rFonts w:ascii="Arial" w:cs="Arial" w:eastAsia="Arial" w:hAnsi="Arial"/>
                <w:sz w:val="17"/>
                <w:szCs w:val="17"/>
                <w:color w:val="auto"/>
              </w:rPr>
              <w:t>Loss from operations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80"/>
              <w:spacing w:after="0" w:line="192" w:lineRule="exact"/>
              <w:rPr>
                <w:sz w:val="20"/>
                <w:szCs w:val="20"/>
                <w:color w:val="auto"/>
              </w:rPr>
            </w:pPr>
            <w:r>
              <w:rPr>
                <w:rFonts w:ascii="Arial" w:cs="Arial" w:eastAsia="Arial" w:hAnsi="Arial"/>
                <w:sz w:val="17"/>
                <w:szCs w:val="17"/>
                <w:color w:val="auto"/>
                <w:w w:val="97"/>
              </w:rPr>
              <w:t>(46,469)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60"/>
              <w:spacing w:after="0" w:line="192" w:lineRule="exact"/>
              <w:rPr>
                <w:sz w:val="20"/>
                <w:szCs w:val="20"/>
                <w:color w:val="auto"/>
              </w:rPr>
            </w:pPr>
            <w:r>
              <w:rPr>
                <w:rFonts w:ascii="Arial" w:cs="Arial" w:eastAsia="Arial" w:hAnsi="Arial"/>
                <w:sz w:val="17"/>
                <w:szCs w:val="17"/>
                <w:color w:val="auto"/>
                <w:w w:val="97"/>
              </w:rPr>
              <w:t>(54,796)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6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Other income (expense), net:</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60" w:type="dxa"/>
            <w:vAlign w:val="bottom"/>
          </w:tcPr>
          <w:p>
            <w:pPr>
              <w:ind w:left="160"/>
              <w:spacing w:after="0" w:line="192" w:lineRule="exact"/>
              <w:rPr>
                <w:sz w:val="20"/>
                <w:szCs w:val="20"/>
                <w:color w:val="auto"/>
              </w:rPr>
            </w:pPr>
            <w:r>
              <w:rPr>
                <w:rFonts w:ascii="Arial" w:cs="Arial" w:eastAsia="Arial" w:hAnsi="Arial"/>
                <w:sz w:val="17"/>
                <w:szCs w:val="17"/>
                <w:color w:val="auto"/>
              </w:rPr>
              <w:t>Interest income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line="192" w:lineRule="exact"/>
              <w:rPr>
                <w:sz w:val="20"/>
                <w:szCs w:val="20"/>
                <w:color w:val="auto"/>
              </w:rPr>
            </w:pPr>
            <w:r>
              <w:rPr>
                <w:rFonts w:ascii="Arial" w:cs="Arial" w:eastAsia="Arial" w:hAnsi="Arial"/>
                <w:sz w:val="17"/>
                <w:szCs w:val="17"/>
                <w:color w:val="auto"/>
              </w:rPr>
              <w:t>668</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line="192" w:lineRule="exact"/>
              <w:rPr>
                <w:sz w:val="20"/>
                <w:szCs w:val="20"/>
                <w:color w:val="auto"/>
              </w:rPr>
            </w:pPr>
            <w:r>
              <w:rPr>
                <w:rFonts w:ascii="Arial" w:cs="Arial" w:eastAsia="Arial" w:hAnsi="Arial"/>
                <w:sz w:val="17"/>
                <w:szCs w:val="17"/>
                <w:color w:val="auto"/>
              </w:rPr>
              <w:t>5,282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shd w:val="clear" w:color="auto" w:fill="CCEEFF"/>
          </w:tcPr>
          <w:p>
            <w:pPr>
              <w:ind w:left="160"/>
              <w:spacing w:after="0" w:line="192" w:lineRule="exact"/>
              <w:rPr>
                <w:sz w:val="20"/>
                <w:szCs w:val="20"/>
                <w:color w:val="auto"/>
              </w:rPr>
            </w:pPr>
            <w:r>
              <w:rPr>
                <w:rFonts w:ascii="Arial" w:cs="Arial" w:eastAsia="Arial" w:hAnsi="Arial"/>
                <w:sz w:val="17"/>
                <w:szCs w:val="17"/>
                <w:color w:val="auto"/>
              </w:rPr>
              <w:t>Other income (expense)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192" w:lineRule="exact"/>
              <w:rPr>
                <w:sz w:val="20"/>
                <w:szCs w:val="20"/>
                <w:color w:val="auto"/>
              </w:rPr>
            </w:pPr>
            <w:r>
              <w:rPr>
                <w:rFonts w:ascii="Arial" w:cs="Arial" w:eastAsia="Arial" w:hAnsi="Arial"/>
                <w:sz w:val="17"/>
                <w:szCs w:val="17"/>
                <w:color w:val="auto"/>
              </w:rPr>
              <w:t>(100)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80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tcBorders>
              <w:top w:val="single" w:sz="8" w:color="CCEEFF"/>
            </w:tcBorders>
          </w:tcPr>
          <w:p>
            <w:pPr>
              <w:spacing w:after="0" w:line="192" w:lineRule="exact"/>
              <w:rPr>
                <w:sz w:val="20"/>
                <w:szCs w:val="20"/>
                <w:color w:val="auto"/>
              </w:rPr>
            </w:pPr>
            <w:r>
              <w:rPr>
                <w:rFonts w:ascii="Arial" w:cs="Arial" w:eastAsia="Arial" w:hAnsi="Arial"/>
                <w:sz w:val="17"/>
                <w:szCs w:val="17"/>
                <w:color w:val="auto"/>
              </w:rPr>
              <w:t>Total other income (expense), net</w:t>
            </w:r>
          </w:p>
        </w:tc>
        <w:tc>
          <w:tcPr>
            <w:tcW w:w="30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568</w:t>
            </w: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5,362</w:t>
            </w: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6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Net loss</w:t>
            </w:r>
          </w:p>
        </w:tc>
        <w:tc>
          <w:tcPr>
            <w:tcW w:w="400" w:type="dxa"/>
            <w:vAlign w:val="bottom"/>
            <w:gridSpan w:val="2"/>
            <w:shd w:val="clear" w:color="auto" w:fill="CCEEFF"/>
          </w:tcPr>
          <w:p>
            <w:pPr>
              <w:jc w:val="right"/>
              <w:ind w:right="20"/>
              <w:spacing w:after="0" w:line="192" w:lineRule="exact"/>
              <w:rPr>
                <w:sz w:val="20"/>
                <w:szCs w:val="20"/>
                <w:color w:val="auto"/>
              </w:rPr>
            </w:pPr>
            <w:r>
              <w:rPr>
                <w:rFonts w:ascii="Arial" w:cs="Arial" w:eastAsia="Arial" w:hAnsi="Arial"/>
                <w:sz w:val="17"/>
                <w:szCs w:val="17"/>
                <w:u w:val="single" w:color="auto"/>
                <w:color w:val="auto"/>
              </w:rPr>
              <w:t>$</w:t>
            </w:r>
          </w:p>
        </w:tc>
        <w:tc>
          <w:tcPr>
            <w:tcW w:w="820" w:type="dxa"/>
            <w:vAlign w:val="bottom"/>
            <w:gridSpan w:val="2"/>
            <w:shd w:val="clear" w:color="auto" w:fill="CCEEFF"/>
          </w:tcPr>
          <w:p>
            <w:pPr>
              <w:jc w:val="right"/>
              <w:ind w:right="180"/>
              <w:spacing w:after="0" w:line="192" w:lineRule="exact"/>
              <w:rPr>
                <w:sz w:val="20"/>
                <w:szCs w:val="20"/>
                <w:color w:val="auto"/>
              </w:rPr>
            </w:pPr>
            <w:r>
              <w:rPr>
                <w:rFonts w:ascii="Arial" w:cs="Arial" w:eastAsia="Arial" w:hAnsi="Arial"/>
                <w:sz w:val="17"/>
                <w:szCs w:val="17"/>
                <w:color w:val="auto"/>
                <w:w w:val="97"/>
              </w:rPr>
              <w:t>(45,901)</w:t>
            </w:r>
          </w:p>
        </w:tc>
        <w:tc>
          <w:tcPr>
            <w:tcW w:w="280" w:type="dxa"/>
            <w:vAlign w:val="bottom"/>
            <w:gridSpan w:val="2"/>
            <w:shd w:val="clear" w:color="auto" w:fill="CCEEFF"/>
          </w:tcPr>
          <w:p>
            <w:pPr>
              <w:jc w:val="right"/>
              <w:ind w:right="20"/>
              <w:spacing w:after="0" w:line="192" w:lineRule="exact"/>
              <w:rPr>
                <w:sz w:val="20"/>
                <w:szCs w:val="20"/>
                <w:color w:val="auto"/>
              </w:rPr>
            </w:pPr>
            <w:r>
              <w:rPr>
                <w:rFonts w:ascii="Arial" w:cs="Arial" w:eastAsia="Arial" w:hAnsi="Arial"/>
                <w:sz w:val="17"/>
                <w:szCs w:val="17"/>
                <w:u w:val="single" w:color="auto"/>
                <w:color w:val="auto"/>
              </w:rPr>
              <w:t>$</w:t>
            </w:r>
          </w:p>
        </w:tc>
        <w:tc>
          <w:tcPr>
            <w:tcW w:w="700" w:type="dxa"/>
            <w:vAlign w:val="bottom"/>
            <w:gridSpan w:val="2"/>
            <w:shd w:val="clear" w:color="auto" w:fill="CCEEFF"/>
          </w:tcPr>
          <w:p>
            <w:pPr>
              <w:jc w:val="right"/>
              <w:ind w:right="60"/>
              <w:spacing w:after="0" w:line="192" w:lineRule="exact"/>
              <w:rPr>
                <w:sz w:val="20"/>
                <w:szCs w:val="20"/>
                <w:color w:val="auto"/>
              </w:rPr>
            </w:pPr>
            <w:r>
              <w:rPr>
                <w:rFonts w:ascii="Arial" w:cs="Arial" w:eastAsia="Arial" w:hAnsi="Arial"/>
                <w:sz w:val="17"/>
                <w:szCs w:val="17"/>
                <w:color w:val="auto"/>
                <w:w w:val="97"/>
              </w:rPr>
              <w:t>(49,434)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7860" w:type="dxa"/>
            <w:vAlign w:val="bottom"/>
          </w:tcPr>
          <w:p>
            <w:pPr>
              <w:spacing w:after="0" w:line="183" w:lineRule="exact"/>
              <w:rPr>
                <w:sz w:val="20"/>
                <w:szCs w:val="20"/>
                <w:color w:val="auto"/>
              </w:rPr>
            </w:pPr>
            <w:r>
              <w:rPr>
                <w:rFonts w:ascii="Arial" w:cs="Arial" w:eastAsia="Arial" w:hAnsi="Arial"/>
                <w:sz w:val="15"/>
                <w:szCs w:val="15"/>
                <w:color w:val="auto"/>
              </w:rPr>
              <w:t>Net loss per common share, basic and diluted</w:t>
            </w:r>
            <w:r>
              <w:rPr>
                <w:rFonts w:ascii="Arial" w:cs="Arial" w:eastAsia="Arial" w:hAnsi="Arial"/>
                <w:sz w:val="21"/>
                <w:szCs w:val="21"/>
                <w:color w:val="auto"/>
                <w:vertAlign w:val="superscript"/>
              </w:rPr>
              <w:t>(1)</w:t>
            </w:r>
          </w:p>
        </w:tc>
        <w:tc>
          <w:tcPr>
            <w:tcW w:w="40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80"/>
              <w:spacing w:after="0" w:line="183" w:lineRule="exact"/>
              <w:rPr>
                <w:sz w:val="20"/>
                <w:szCs w:val="20"/>
                <w:color w:val="auto"/>
              </w:rPr>
            </w:pPr>
            <w:r>
              <w:rPr>
                <w:rFonts w:ascii="Arial" w:cs="Arial" w:eastAsia="Arial" w:hAnsi="Arial"/>
                <w:sz w:val="17"/>
                <w:szCs w:val="17"/>
                <w:color w:val="auto"/>
              </w:rPr>
              <w:t>(41.80)</w:t>
            </w:r>
          </w:p>
        </w:tc>
        <w:tc>
          <w:tcPr>
            <w:tcW w:w="28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(40.65)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5"/>
                <w:szCs w:val="15"/>
                <w:color w:val="auto"/>
              </w:rPr>
              <w:t>Weighted-average shares used in net loss per common share calculation, basic and diluted</w:t>
            </w:r>
            <w:r>
              <w:rPr>
                <w:rFonts w:ascii="Arial" w:cs="Arial" w:eastAsia="Arial" w:hAnsi="Arial"/>
                <w:sz w:val="21"/>
                <w:szCs w:val="21"/>
                <w:color w:val="auto"/>
                <w:vertAlign w:val="superscript"/>
              </w:rPr>
              <w:t>(1)</w:t>
            </w:r>
          </w:p>
        </w:tc>
        <w:tc>
          <w:tcPr>
            <w:tcW w:w="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1,098</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1,216</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860" w:type="dxa"/>
            <w:vAlign w:val="bottom"/>
          </w:tcPr>
          <w:p>
            <w:pPr>
              <w:spacing w:after="0" w:line="183" w:lineRule="exact"/>
              <w:rPr>
                <w:sz w:val="20"/>
                <w:szCs w:val="20"/>
                <w:color w:val="auto"/>
              </w:rPr>
            </w:pPr>
            <w:r>
              <w:rPr>
                <w:rFonts w:ascii="Arial" w:cs="Arial" w:eastAsia="Arial" w:hAnsi="Arial"/>
                <w:sz w:val="15"/>
                <w:szCs w:val="15"/>
                <w:color w:val="auto"/>
              </w:rPr>
              <w:t>Pro forma net loss per common share, basic and diluted (unaudited)</w:t>
            </w:r>
            <w:r>
              <w:rPr>
                <w:rFonts w:ascii="Arial" w:cs="Arial" w:eastAsia="Arial" w:hAnsi="Arial"/>
                <w:sz w:val="21"/>
                <w:szCs w:val="21"/>
                <w:color w:val="auto"/>
                <w:vertAlign w:val="superscript"/>
              </w:rPr>
              <w:t>(2)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w:t>
            </w:r>
          </w:p>
        </w:tc>
        <w:tc>
          <w:tcPr>
            <w:tcW w:w="580" w:type="dxa"/>
            <w:vAlign w:val="bottom"/>
          </w:tcPr>
          <w:p>
            <w:pPr>
              <w:jc w:val="right"/>
              <w:spacing w:after="0" w:line="183" w:lineRule="exact"/>
              <w:rPr>
                <w:sz w:val="20"/>
                <w:szCs w:val="20"/>
                <w:color w:val="auto"/>
              </w:rPr>
            </w:pPr>
            <w:r>
              <w:rPr>
                <w:rFonts w:ascii="Arial" w:cs="Arial" w:eastAsia="Arial" w:hAnsi="Arial"/>
                <w:sz w:val="17"/>
                <w:szCs w:val="17"/>
                <w:color w:val="auto"/>
              </w:rPr>
              <w:t>3.53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860" w:type="dxa"/>
            <w:vAlign w:val="bottom"/>
            <w:shd w:val="clear" w:color="auto" w:fill="CCEEFF"/>
          </w:tcPr>
          <w:p>
            <w:pPr>
              <w:spacing w:after="0" w:line="166" w:lineRule="exact"/>
              <w:rPr>
                <w:sz w:val="20"/>
                <w:szCs w:val="20"/>
                <w:color w:val="auto"/>
              </w:rPr>
            </w:pPr>
            <w:r>
              <w:rPr>
                <w:rFonts w:ascii="Arial" w:cs="Arial" w:eastAsia="Arial" w:hAnsi="Arial"/>
                <w:sz w:val="17"/>
                <w:szCs w:val="17"/>
                <w:color w:val="auto"/>
                <w:w w:val="99"/>
              </w:rPr>
              <w:t>Pro forma weighted-average shares used in pro forma net loss per common share calculation, basic and</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ind w:left="160"/>
              <w:spacing w:after="0" w:line="209" w:lineRule="exact"/>
              <w:rPr>
                <w:sz w:val="20"/>
                <w:szCs w:val="20"/>
                <w:color w:val="auto"/>
              </w:rPr>
            </w:pPr>
            <w:r>
              <w:rPr>
                <w:rFonts w:ascii="Arial" w:cs="Arial" w:eastAsia="Arial" w:hAnsi="Arial"/>
                <w:sz w:val="16"/>
                <w:szCs w:val="16"/>
                <w:color w:val="auto"/>
              </w:rPr>
              <w:t>diluted (unaudited)</w:t>
            </w:r>
            <w:r>
              <w:rPr>
                <w:rFonts w:ascii="Arial" w:cs="Arial" w:eastAsia="Arial" w:hAnsi="Arial"/>
                <w:sz w:val="24"/>
                <w:szCs w:val="24"/>
                <w:color w:val="auto"/>
                <w:vertAlign w:val="superscript"/>
              </w:rPr>
              <w:t>(2)</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13,990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980" w:right="140" w:hanging="396"/>
        <w:spacing w:after="0" w:line="338" w:lineRule="auto"/>
        <w:tabs>
          <w:tab w:leader="none" w:pos="9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See Notes 2 and 13 to our audited financial statements included elsewhere in this prospectus for an explanation of the methods used to calculate historical net loss per share, basic and diluted, and the weighted-average number of shares of common stock used in the computation of the per share amounts.</w:t>
      </w:r>
    </w:p>
    <w:p>
      <w:pPr>
        <w:spacing w:after="0" w:line="228"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660"/>
          </w:cols>
          <w:pgMar w:left="320" w:top="439" w:right="9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194310</wp:posOffset>
            </wp:positionV>
            <wp:extent cx="6624955" cy="42557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24955" cy="425577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980" w:right="20" w:hanging="396"/>
        <w:spacing w:after="0" w:line="234" w:lineRule="auto"/>
        <w:tabs>
          <w:tab w:leader="none" w:pos="9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Unaudited pro forma net loss per share, basic and diluted, attributable to common stockholders, is calculated giving effect to the conversion of all outstanding shares of our convertible preferred stock into shares of our common stock. Unaudited pro forma net loss per share attributable to common stockholders does not include the shares expected to be sold and related proceeds to be received in this offering. Unaudited pro forma net loss per share attributable to common stockholders for the years ended December 31, 2022 and 2023 were calculated using the weighted-average number of shares of common stock outstanding, including the pro forma effect of the conversion of all outstanding shares of our convertible preferred stock into shares of our common stock, as if such conversion had occurred at the beginning of the period, or their issuance dates, if later, and an adjustment to the net loss in the pro forma basic and diluted net loss per share calculation to remove gains from the remeasurement of the preferred stock purchase right liability.</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163"/>
        </w:trPr>
        <w:tc>
          <w:tcPr>
            <w:tcW w:w="66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December 31, 2023</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Pro Forma</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640" w:type="dxa"/>
            <w:vAlign w:val="bottom"/>
          </w:tcPr>
          <w:p>
            <w:pPr>
              <w:spacing w:after="0"/>
              <w:rPr>
                <w:sz w:val="13"/>
                <w:szCs w:val="13"/>
                <w:color w:val="auto"/>
              </w:rPr>
            </w:pP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Actual</w:t>
            </w:r>
          </w:p>
        </w:tc>
        <w:tc>
          <w:tcPr>
            <w:tcW w:w="240" w:type="dxa"/>
            <w:vAlign w:val="bottom"/>
          </w:tcPr>
          <w:p>
            <w:pPr>
              <w:spacing w:after="0"/>
              <w:rPr>
                <w:sz w:val="13"/>
                <w:szCs w:val="13"/>
                <w:color w:val="auto"/>
              </w:rPr>
            </w:pPr>
          </w:p>
        </w:tc>
        <w:tc>
          <w:tcPr>
            <w:tcW w:w="1220" w:type="dxa"/>
            <w:vAlign w:val="bottom"/>
            <w:gridSpan w:val="2"/>
          </w:tcPr>
          <w:p>
            <w:pPr>
              <w:jc w:val="center"/>
              <w:ind w:right="420"/>
              <w:spacing w:after="0" w:line="154" w:lineRule="exact"/>
              <w:rPr>
                <w:sz w:val="20"/>
                <w:szCs w:val="20"/>
                <w:color w:val="auto"/>
              </w:rPr>
            </w:pPr>
            <w:r>
              <w:rPr>
                <w:rFonts w:ascii="Arial" w:cs="Arial" w:eastAsia="Arial" w:hAnsi="Arial"/>
                <w:sz w:val="12"/>
                <w:szCs w:val="12"/>
                <w:b w:val="1"/>
                <w:bCs w:val="1"/>
                <w:color w:val="auto"/>
              </w:rPr>
              <w:t>Pro Forma</w:t>
            </w:r>
            <w:r>
              <w:rPr>
                <w:rFonts w:ascii="Arial" w:cs="Arial" w:eastAsia="Arial" w:hAnsi="Arial"/>
                <w:sz w:val="17"/>
                <w:szCs w:val="17"/>
                <w:b w:val="1"/>
                <w:bCs w:val="1"/>
                <w:color w:val="auto"/>
                <w:vertAlign w:val="superscript"/>
              </w:rPr>
              <w:t>(1)</w:t>
            </w:r>
          </w:p>
        </w:tc>
        <w:tc>
          <w:tcPr>
            <w:tcW w:w="1040" w:type="dxa"/>
            <w:vAlign w:val="bottom"/>
            <w:gridSpan w:val="2"/>
          </w:tcPr>
          <w:p>
            <w:pPr>
              <w:jc w:val="center"/>
              <w:ind w:right="120"/>
              <w:spacing w:after="0" w:line="154"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128"/>
        </w:trPr>
        <w:tc>
          <w:tcPr>
            <w:tcW w:w="66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40" w:type="dxa"/>
            <w:vAlign w:val="bottom"/>
            <w:gridSpan w:val="2"/>
            <w:vMerge w:val="continue"/>
          </w:tcPr>
          <w:p>
            <w:pPr>
              <w:spacing w:after="0"/>
              <w:rPr>
                <w:sz w:val="11"/>
                <w:szCs w:val="11"/>
                <w:color w:val="auto"/>
              </w:rPr>
            </w:pPr>
          </w:p>
        </w:tc>
        <w:tc>
          <w:tcPr>
            <w:tcW w:w="1060" w:type="dxa"/>
            <w:vAlign w:val="bottom"/>
            <w:gridSpan w:val="2"/>
          </w:tcPr>
          <w:p>
            <w:pPr>
              <w:jc w:val="center"/>
              <w:ind w:left="141"/>
              <w:spacing w:after="0"/>
              <w:rPr>
                <w:sz w:val="20"/>
                <w:szCs w:val="20"/>
                <w:color w:val="auto"/>
              </w:rPr>
            </w:pPr>
            <w:r>
              <w:rPr>
                <w:rFonts w:ascii="Arial" w:cs="Arial" w:eastAsia="Arial" w:hAnsi="Arial"/>
                <w:sz w:val="10"/>
                <w:szCs w:val="10"/>
                <w:b w:val="1"/>
                <w:bCs w:val="1"/>
                <w:color w:val="auto"/>
                <w:w w:val="97"/>
              </w:rPr>
              <w:t>(3)</w:t>
            </w:r>
          </w:p>
        </w:tc>
        <w:tc>
          <w:tcPr>
            <w:tcW w:w="4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7"/>
              </w:rPr>
              <w:t>(3)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6640" w:type="dxa"/>
            <w:vAlign w:val="bottom"/>
            <w:vMerge w:val="continue"/>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(unaudited)</w:t>
            </w:r>
          </w:p>
        </w:tc>
        <w:tc>
          <w:tcPr>
            <w:tcW w:w="400" w:type="dxa"/>
            <w:vAlign w:val="bottom"/>
          </w:tcPr>
          <w:p>
            <w:pPr>
              <w:spacing w:after="0"/>
              <w:rPr>
                <w:sz w:val="14"/>
                <w:szCs w:val="14"/>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(unaudited)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640" w:type="dxa"/>
            <w:vAlign w:val="bottom"/>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Balance Sheet Data:</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40" w:type="dxa"/>
            <w:vAlign w:val="bottom"/>
          </w:tcPr>
          <w:p>
            <w:pPr>
              <w:spacing w:after="0" w:line="192" w:lineRule="exact"/>
              <w:rPr>
                <w:sz w:val="20"/>
                <w:szCs w:val="20"/>
                <w:color w:val="auto"/>
              </w:rPr>
            </w:pPr>
            <w:r>
              <w:rPr>
                <w:rFonts w:ascii="Arial" w:cs="Arial" w:eastAsia="Arial" w:hAnsi="Arial"/>
                <w:sz w:val="17"/>
                <w:szCs w:val="17"/>
                <w:color w:val="auto"/>
              </w:rPr>
              <w:t>Cash, cash equivalents, and short-term investments</w:t>
            </w:r>
          </w:p>
        </w:tc>
        <w:tc>
          <w:tcPr>
            <w:tcW w:w="760" w:type="dxa"/>
            <w:vAlign w:val="bottom"/>
          </w:tcPr>
          <w:p>
            <w:pPr>
              <w:jc w:val="right"/>
              <w:spacing w:after="0" w:line="192" w:lineRule="exact"/>
              <w:rPr>
                <w:sz w:val="20"/>
                <w:szCs w:val="20"/>
                <w:color w:val="auto"/>
              </w:rPr>
            </w:pPr>
            <w:r>
              <w:rPr>
                <w:rFonts w:ascii="Arial" w:cs="Arial" w:eastAsia="Arial" w:hAnsi="Arial"/>
                <w:sz w:val="17"/>
                <w:szCs w:val="17"/>
                <w:color w:val="auto"/>
              </w:rPr>
              <w:t>$120,752</w:t>
            </w:r>
          </w:p>
        </w:tc>
        <w:tc>
          <w:tcPr>
            <w:tcW w:w="180" w:type="dxa"/>
            <w:vAlign w:val="bottom"/>
          </w:tcPr>
          <w:p>
            <w:pPr>
              <w:spacing w:after="0"/>
              <w:rPr>
                <w:sz w:val="16"/>
                <w:szCs w:val="16"/>
                <w:color w:val="auto"/>
              </w:rPr>
            </w:pPr>
          </w:p>
        </w:tc>
        <w:tc>
          <w:tcPr>
            <w:tcW w:w="106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$120,752</w:t>
            </w:r>
          </w:p>
        </w:tc>
        <w:tc>
          <w:tcPr>
            <w:tcW w:w="400" w:type="dxa"/>
            <w:vAlign w:val="bottom"/>
          </w:tcPr>
          <w:p>
            <w:pPr>
              <w:spacing w:after="0"/>
              <w:rPr>
                <w:sz w:val="16"/>
                <w:szCs w:val="16"/>
                <w:color w:val="auto"/>
              </w:rPr>
            </w:pPr>
          </w:p>
        </w:tc>
        <w:tc>
          <w:tcPr>
            <w:tcW w:w="920" w:type="dxa"/>
            <w:vAlign w:val="bottom"/>
          </w:tcPr>
          <w:p>
            <w:pPr>
              <w:jc w:val="right"/>
              <w:spacing w:after="0" w:line="192" w:lineRule="exact"/>
              <w:rPr>
                <w:sz w:val="20"/>
                <w:szCs w:val="20"/>
                <w:color w:val="auto"/>
              </w:rPr>
            </w:pPr>
            <w:r>
              <w:rPr>
                <w:rFonts w:ascii="Arial" w:cs="Arial" w:eastAsia="Arial" w:hAnsi="Arial"/>
                <w:sz w:val="17"/>
                <w:szCs w:val="17"/>
                <w:color w:val="auto"/>
              </w:rPr>
              <w:t>$209,102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40" w:type="dxa"/>
            <w:vAlign w:val="bottom"/>
            <w:shd w:val="clear" w:color="auto" w:fill="CCEEFF"/>
          </w:tcPr>
          <w:p>
            <w:pPr>
              <w:spacing w:after="0" w:line="191" w:lineRule="exact"/>
              <w:rPr>
                <w:sz w:val="20"/>
                <w:szCs w:val="20"/>
                <w:color w:val="auto"/>
              </w:rPr>
            </w:pPr>
            <w:r>
              <w:rPr>
                <w:rFonts w:ascii="Arial" w:cs="Arial" w:eastAsia="Arial" w:hAnsi="Arial"/>
                <w:sz w:val="15"/>
                <w:szCs w:val="15"/>
                <w:color w:val="auto"/>
              </w:rPr>
              <w:t>Working capital</w:t>
            </w:r>
            <w:r>
              <w:rPr>
                <w:rFonts w:ascii="Arial" w:cs="Arial" w:eastAsia="Arial" w:hAnsi="Arial"/>
                <w:sz w:val="22"/>
                <w:szCs w:val="22"/>
                <w:color w:val="auto"/>
                <w:vertAlign w:val="superscript"/>
              </w:rPr>
              <w:t>(4)</w:t>
            </w:r>
          </w:p>
        </w:tc>
        <w:tc>
          <w:tcPr>
            <w:tcW w:w="76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114,845</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114,845</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203,195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40" w:type="dxa"/>
            <w:vAlign w:val="bottom"/>
          </w:tcPr>
          <w:p>
            <w:pPr>
              <w:spacing w:after="0" w:line="192" w:lineRule="exact"/>
              <w:rPr>
                <w:sz w:val="20"/>
                <w:szCs w:val="20"/>
                <w:color w:val="auto"/>
              </w:rPr>
            </w:pPr>
            <w:r>
              <w:rPr>
                <w:rFonts w:ascii="Arial" w:cs="Arial" w:eastAsia="Arial" w:hAnsi="Arial"/>
                <w:sz w:val="17"/>
                <w:szCs w:val="17"/>
                <w:color w:val="auto"/>
              </w:rPr>
              <w:t>Total assets</w:t>
            </w:r>
          </w:p>
        </w:tc>
        <w:tc>
          <w:tcPr>
            <w:tcW w:w="760" w:type="dxa"/>
            <w:vAlign w:val="bottom"/>
          </w:tcPr>
          <w:p>
            <w:pPr>
              <w:jc w:val="right"/>
              <w:spacing w:after="0" w:line="192" w:lineRule="exact"/>
              <w:rPr>
                <w:sz w:val="20"/>
                <w:szCs w:val="20"/>
                <w:color w:val="auto"/>
              </w:rPr>
            </w:pPr>
            <w:r>
              <w:rPr>
                <w:rFonts w:ascii="Arial" w:cs="Arial" w:eastAsia="Arial" w:hAnsi="Arial"/>
                <w:sz w:val="17"/>
                <w:szCs w:val="17"/>
                <w:color w:val="auto"/>
              </w:rPr>
              <w:t>129,894</w:t>
            </w:r>
          </w:p>
        </w:tc>
        <w:tc>
          <w:tcPr>
            <w:tcW w:w="180" w:type="dxa"/>
            <w:vAlign w:val="bottom"/>
          </w:tcPr>
          <w:p>
            <w:pPr>
              <w:spacing w:after="0"/>
              <w:rPr>
                <w:sz w:val="16"/>
                <w:szCs w:val="16"/>
                <w:color w:val="auto"/>
              </w:rPr>
            </w:pPr>
          </w:p>
        </w:tc>
        <w:tc>
          <w:tcPr>
            <w:tcW w:w="106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129,894</w:t>
            </w:r>
          </w:p>
        </w:tc>
        <w:tc>
          <w:tcPr>
            <w:tcW w:w="400" w:type="dxa"/>
            <w:vAlign w:val="bottom"/>
          </w:tcPr>
          <w:p>
            <w:pPr>
              <w:spacing w:after="0"/>
              <w:rPr>
                <w:sz w:val="16"/>
                <w:szCs w:val="16"/>
                <w:color w:val="auto"/>
              </w:rPr>
            </w:pPr>
          </w:p>
        </w:tc>
        <w:tc>
          <w:tcPr>
            <w:tcW w:w="920" w:type="dxa"/>
            <w:vAlign w:val="bottom"/>
          </w:tcPr>
          <w:p>
            <w:pPr>
              <w:jc w:val="right"/>
              <w:spacing w:after="0" w:line="192" w:lineRule="exact"/>
              <w:rPr>
                <w:sz w:val="20"/>
                <w:szCs w:val="20"/>
                <w:color w:val="auto"/>
              </w:rPr>
            </w:pPr>
            <w:r>
              <w:rPr>
                <w:rFonts w:ascii="Arial" w:cs="Arial" w:eastAsia="Arial" w:hAnsi="Arial"/>
                <w:sz w:val="17"/>
                <w:szCs w:val="17"/>
                <w:color w:val="auto"/>
              </w:rPr>
              <w:t>218,244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4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Total liabilities</w:t>
            </w:r>
          </w:p>
        </w:tc>
        <w:tc>
          <w:tcPr>
            <w:tcW w:w="76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9,359</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9,359</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9,359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40" w:type="dxa"/>
            <w:vAlign w:val="bottom"/>
          </w:tcPr>
          <w:p>
            <w:pPr>
              <w:spacing w:after="0" w:line="192" w:lineRule="exact"/>
              <w:rPr>
                <w:sz w:val="20"/>
                <w:szCs w:val="20"/>
                <w:color w:val="auto"/>
              </w:rPr>
            </w:pPr>
            <w:r>
              <w:rPr>
                <w:rFonts w:ascii="Arial" w:cs="Arial" w:eastAsia="Arial" w:hAnsi="Arial"/>
                <w:sz w:val="17"/>
                <w:szCs w:val="17"/>
                <w:color w:val="auto"/>
              </w:rPr>
              <w:t>Convertible preferred stock</w:t>
            </w:r>
          </w:p>
        </w:tc>
        <w:tc>
          <w:tcPr>
            <w:tcW w:w="760" w:type="dxa"/>
            <w:vAlign w:val="bottom"/>
          </w:tcPr>
          <w:p>
            <w:pPr>
              <w:jc w:val="right"/>
              <w:spacing w:after="0" w:line="192" w:lineRule="exact"/>
              <w:rPr>
                <w:sz w:val="20"/>
                <w:szCs w:val="20"/>
                <w:color w:val="auto"/>
              </w:rPr>
            </w:pPr>
            <w:r>
              <w:rPr>
                <w:rFonts w:ascii="Arial" w:cs="Arial" w:eastAsia="Arial" w:hAnsi="Arial"/>
                <w:sz w:val="17"/>
                <w:szCs w:val="17"/>
                <w:color w:val="auto"/>
              </w:rPr>
              <w:t>247,617</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400"/>
              <w:spacing w:after="0" w:line="192"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20"/>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664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Accumulated deficit</w:t>
            </w:r>
          </w:p>
        </w:tc>
        <w:tc>
          <w:tcPr>
            <w:tcW w:w="940" w:type="dxa"/>
            <w:vAlign w:val="bottom"/>
            <w:gridSpan w:val="2"/>
            <w:shd w:val="clear" w:color="auto" w:fill="CCEEFF"/>
          </w:tcPr>
          <w:p>
            <w:pPr>
              <w:jc w:val="right"/>
              <w:ind w:right="120"/>
              <w:spacing w:after="0" w:line="192" w:lineRule="exact"/>
              <w:rPr>
                <w:sz w:val="20"/>
                <w:szCs w:val="20"/>
                <w:color w:val="auto"/>
              </w:rPr>
            </w:pPr>
            <w:r>
              <w:rPr>
                <w:rFonts w:ascii="Arial" w:cs="Arial" w:eastAsia="Arial" w:hAnsi="Arial"/>
                <w:sz w:val="17"/>
                <w:szCs w:val="17"/>
                <w:color w:val="auto"/>
              </w:rPr>
              <w:t>(136,109)</w:t>
            </w:r>
          </w:p>
        </w:tc>
        <w:tc>
          <w:tcPr>
            <w:tcW w:w="1460" w:type="dxa"/>
            <w:vAlign w:val="bottom"/>
            <w:gridSpan w:val="3"/>
            <w:shd w:val="clear" w:color="auto" w:fill="CCEEFF"/>
          </w:tcPr>
          <w:p>
            <w:pPr>
              <w:jc w:val="right"/>
              <w:ind w:right="340"/>
              <w:spacing w:after="0" w:line="192" w:lineRule="exact"/>
              <w:rPr>
                <w:sz w:val="20"/>
                <w:szCs w:val="20"/>
                <w:color w:val="auto"/>
              </w:rPr>
            </w:pPr>
            <w:r>
              <w:rPr>
                <w:rFonts w:ascii="Arial" w:cs="Arial" w:eastAsia="Arial" w:hAnsi="Arial"/>
                <w:sz w:val="17"/>
                <w:szCs w:val="17"/>
                <w:color w:val="auto"/>
              </w:rPr>
              <w:t>(136,109)</w:t>
            </w:r>
          </w:p>
        </w:tc>
        <w:tc>
          <w:tcPr>
            <w:tcW w:w="1040" w:type="dxa"/>
            <w:vAlign w:val="bottom"/>
            <w:gridSpan w:val="2"/>
            <w:shd w:val="clear" w:color="auto" w:fill="CCEEFF"/>
          </w:tcPr>
          <w:p>
            <w:pPr>
              <w:jc w:val="right"/>
              <w:ind w:right="60"/>
              <w:spacing w:after="0" w:line="192" w:lineRule="exact"/>
              <w:rPr>
                <w:sz w:val="20"/>
                <w:szCs w:val="20"/>
                <w:color w:val="auto"/>
              </w:rPr>
            </w:pPr>
            <w:r>
              <w:rPr>
                <w:rFonts w:ascii="Arial" w:cs="Arial" w:eastAsia="Arial" w:hAnsi="Arial"/>
                <w:sz w:val="17"/>
                <w:szCs w:val="17"/>
                <w:color w:val="auto"/>
              </w:rPr>
              <w:t>(136,109)</w:t>
            </w:r>
          </w:p>
        </w:tc>
        <w:tc>
          <w:tcPr>
            <w:tcW w:w="0" w:type="dxa"/>
            <w:vAlign w:val="bottom"/>
          </w:tcPr>
          <w:p>
            <w:pPr>
              <w:spacing w:after="0"/>
              <w:rPr>
                <w:sz w:val="1"/>
                <w:szCs w:val="1"/>
                <w:color w:val="auto"/>
              </w:rPr>
            </w:pPr>
          </w:p>
        </w:tc>
      </w:tr>
      <w:tr>
        <w:trPr>
          <w:trHeight w:val="224"/>
        </w:trPr>
        <w:tc>
          <w:tcPr>
            <w:tcW w:w="6640" w:type="dxa"/>
            <w:vAlign w:val="bottom"/>
          </w:tcPr>
          <w:p>
            <w:pPr>
              <w:spacing w:after="0"/>
              <w:rPr>
                <w:sz w:val="20"/>
                <w:szCs w:val="20"/>
                <w:color w:val="auto"/>
              </w:rPr>
            </w:pPr>
            <w:r>
              <w:rPr>
                <w:rFonts w:ascii="Arial" w:cs="Arial" w:eastAsia="Arial" w:hAnsi="Arial"/>
                <w:sz w:val="17"/>
                <w:szCs w:val="17"/>
                <w:color w:val="auto"/>
              </w:rPr>
              <w:t>Total stockholders’ (deficit) equity</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(127,082)</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120,535</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208,885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980" w:right="40" w:hanging="396"/>
        <w:spacing w:after="0" w:line="255" w:lineRule="auto"/>
        <w:tabs>
          <w:tab w:leader="none" w:pos="9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Gives effect to the automatic conversion of all outstanding shares of our convertible preferred stock into 14,740,840 shares of our common stock and the related reclassification of the carrying value of the convertible preferred stock to permanent equity immediately prior to the closing of this offering.</w:t>
      </w:r>
    </w:p>
    <w:p>
      <w:pPr>
        <w:spacing w:after="0" w:line="2" w:lineRule="exact"/>
        <w:rPr>
          <w:rFonts w:ascii="Arial" w:cs="Arial" w:eastAsia="Arial" w:hAnsi="Arial"/>
          <w:sz w:val="14"/>
          <w:szCs w:val="14"/>
          <w:color w:val="auto"/>
        </w:rPr>
      </w:pPr>
    </w:p>
    <w:p>
      <w:pPr>
        <w:ind w:left="980" w:right="40" w:hanging="396"/>
        <w:spacing w:after="0" w:line="232" w:lineRule="auto"/>
        <w:tabs>
          <w:tab w:leader="none" w:pos="9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Gives effect to (i) the pro forma adjustments set forth in footnote (1) above, and (ii) the issuance and sale of 6,250,000 shares of our common stock in this offering at the assumed initial public offering price of $16.00 per share, which is the midpoint of the price range set forth on the cover page of this prospectus, after deducting the estimated underwriting discounts and commissions and estimated offering expenses payable by us. Each $1.00 increase or decrease in the assumed initial public offering price of $16.00 per share would increase or decrease, as applicable, the pro forma as adjusted amount of each of our cash, cash equivalents, and short-term investments, working capital, total assets, and total stockholders’ (deficit) equity by approximately $5.8 million, assuming that the number of shares offered by us, as set forth on the cover page of this prospectus, remains the same and after deducting the estimated underwriting discounts and commissions and estimated offering expenses payable by us. Each increase or decrease of 1.0 million shares in the number of shares offered by us at the assumed initial public offering price of $16.00 per share would increase or decrease, as applicable, the pro forma as adjusted amounts of each of our cash, cash equivalents, and short-term investments, working capital, total assets, and total stockholders’ (deficit) equity by approximately $14.9 million, after deducting the estimated underwriting discounts and commissions and estimated offering expenses payable by us.</w:t>
      </w:r>
    </w:p>
    <w:p>
      <w:pPr>
        <w:spacing w:after="0" w:line="15" w:lineRule="exact"/>
        <w:rPr>
          <w:rFonts w:ascii="Arial" w:cs="Arial" w:eastAsia="Arial" w:hAnsi="Arial"/>
          <w:sz w:val="14"/>
          <w:szCs w:val="14"/>
          <w:color w:val="auto"/>
        </w:rPr>
      </w:pPr>
    </w:p>
    <w:p>
      <w:pPr>
        <w:ind w:left="980" w:right="320" w:hanging="396"/>
        <w:spacing w:after="0" w:line="255" w:lineRule="auto"/>
        <w:tabs>
          <w:tab w:leader="none" w:pos="9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pro forma and pro forma as adjusted information discussed above is illustrative only and will be adjusted based on actual initial public offering price and other terms of this offering determined at pricing.</w:t>
      </w:r>
    </w:p>
    <w:p>
      <w:pPr>
        <w:spacing w:after="0" w:line="2" w:lineRule="exact"/>
        <w:rPr>
          <w:rFonts w:ascii="Arial" w:cs="Arial" w:eastAsia="Arial" w:hAnsi="Arial"/>
          <w:sz w:val="14"/>
          <w:szCs w:val="14"/>
          <w:color w:val="auto"/>
        </w:rPr>
      </w:pPr>
    </w:p>
    <w:p>
      <w:pPr>
        <w:ind w:left="980" w:right="380" w:hanging="396"/>
        <w:spacing w:after="0" w:line="255" w:lineRule="auto"/>
        <w:tabs>
          <w:tab w:leader="none" w:pos="9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financial statements and related notes included elsewhere in this prospectus for further details regarding our current assets and current liabilities.</w:t>
      </w:r>
    </w:p>
    <w:p>
      <w:pPr>
        <w:spacing w:after="0" w:line="275"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660"/>
          </w:cols>
          <w:pgMar w:left="320" w:top="439" w:right="9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RISK FACTORS</w:t>
      </w:r>
    </w:p>
    <w:p>
      <w:pPr>
        <w:spacing w:after="0" w:line="177" w:lineRule="exact"/>
        <w:rPr>
          <w:sz w:val="20"/>
          <w:szCs w:val="20"/>
          <w:color w:val="auto"/>
        </w:rPr>
      </w:pPr>
    </w:p>
    <w:p>
      <w:pPr>
        <w:ind w:left="420" w:right="20" w:firstLine="521"/>
        <w:spacing w:after="0"/>
        <w:rPr>
          <w:sz w:val="20"/>
          <w:szCs w:val="20"/>
          <w:color w:val="auto"/>
        </w:rPr>
      </w:pPr>
      <w:r>
        <w:rPr>
          <w:rFonts w:ascii="Arial" w:cs="Arial" w:eastAsia="Arial" w:hAnsi="Arial"/>
          <w:sz w:val="17"/>
          <w:szCs w:val="17"/>
          <w:i w:val="1"/>
          <w:iCs w:val="1"/>
          <w:color w:val="auto"/>
        </w:rPr>
        <w:t>Investing in our common stock involves a high degree of risk. You should consider carefully the risks and uncertainties described below, together with all of the other information in this prospectus, including our financial statements and related notes included elsewhere in this prospectus and in the section titled “Management’s Discussion and Analysis of Financial Condition and Results of Operations” before making an investment decision. If any of the following risks are realized, our business, financial condition, results of operations, and prospects could be materially and adversely affected. In that event, the trading price of our common stock could decline, and you could lose part or all of your investment. Additional risks and uncertainties not presently known to us or that we currently believe to be immaterial also may impair our business, results of operations, financial condition, and prospects.</w:t>
      </w:r>
    </w:p>
    <w:p>
      <w:pPr>
        <w:spacing w:after="0" w:line="27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Risks Related to Our Limited Operating History, Financial Position and Capital Requirements</w:t>
      </w:r>
    </w:p>
    <w:p>
      <w:pPr>
        <w:spacing w:after="0" w:line="98" w:lineRule="exact"/>
        <w:rPr>
          <w:sz w:val="20"/>
          <w:szCs w:val="20"/>
          <w:color w:val="auto"/>
        </w:rPr>
      </w:pPr>
    </w:p>
    <w:p>
      <w:pPr>
        <w:jc w:val="both"/>
        <w:ind w:left="420" w:right="780"/>
        <w:spacing w:after="0" w:line="257" w:lineRule="auto"/>
        <w:rPr>
          <w:sz w:val="20"/>
          <w:szCs w:val="20"/>
          <w:color w:val="auto"/>
        </w:rPr>
      </w:pPr>
      <w:r>
        <w:rPr>
          <w:rFonts w:ascii="Arial" w:cs="Arial" w:eastAsia="Arial" w:hAnsi="Arial"/>
          <w:sz w:val="17"/>
          <w:szCs w:val="17"/>
          <w:b w:val="1"/>
          <w:bCs w:val="1"/>
          <w:i w:val="1"/>
          <w:iCs w:val="1"/>
          <w:color w:val="auto"/>
        </w:rPr>
        <w:t>We have a limited operating history, have incurred significant operating losses since our inception, and expect to incur significant losses for the foreseeable future. We may never generate any revenue or become profitable or, if we achieve profitability, we may not be able to sustain it.</w:t>
      </w:r>
    </w:p>
    <w:p>
      <w:pPr>
        <w:spacing w:after="0" w:line="113" w:lineRule="exact"/>
        <w:rPr>
          <w:sz w:val="20"/>
          <w:szCs w:val="20"/>
          <w:color w:val="auto"/>
        </w:rPr>
      </w:pPr>
    </w:p>
    <w:p>
      <w:pPr>
        <w:ind w:left="420" w:right="140" w:firstLine="521"/>
        <w:spacing w:after="0" w:line="238" w:lineRule="auto"/>
        <w:rPr>
          <w:sz w:val="20"/>
          <w:szCs w:val="20"/>
          <w:color w:val="auto"/>
        </w:rPr>
      </w:pPr>
      <w:r>
        <w:rPr>
          <w:rFonts w:ascii="Arial" w:cs="Arial" w:eastAsia="Arial" w:hAnsi="Arial"/>
          <w:sz w:val="17"/>
          <w:szCs w:val="17"/>
          <w:color w:val="auto"/>
        </w:rPr>
        <w:t>Biopharmaceutical product development is a highly speculative undertaking and involves a substantial degree of risk. We are a clinical-stage oncology company with a limited operating history upon which you can evaluate our business and prospects. We commenced operations in 2018, have no products approved for commercial sale, and have not generated any revenue from the sale of our products. To date, we have focused primarily on organizing and staffing our company, business planning, raising capital, building our proprietary Spyglass platform, discovering our ecDTx, developing our ecDNA diagnostic, establishing our intellectual property portfolio, conducting research, preclinical studies and clinical trials, establishing arrangements with third parties for the manufacture of our ecDTx and supply of related raw materials, and providing general and administrative support for these operations. Our scientific approach to the discovery and development of ecDTx, including our use of the Spyglass platform, is unproven, and we do not know whether we will be able to develop or obtain regulatory approval for any products of commercial value. In addition, we have only two ecDTx, BBI-355 and BBI-825, in early clinical development, and our other ecDTx programs remain in the preclinical or discovery stage. We have not yet completed any clinical trials, successfully developed and validated a diagnostic test, obtained regulatory approvals, manufactured products at commercial scale, or arranged for a third party to do so on our behalf, or conducted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spacing w:after="0" w:line="135" w:lineRule="exact"/>
        <w:rPr>
          <w:sz w:val="20"/>
          <w:szCs w:val="20"/>
          <w:color w:val="auto"/>
        </w:rPr>
      </w:pPr>
    </w:p>
    <w:p>
      <w:pPr>
        <w:ind w:left="420" w:firstLine="521"/>
        <w:spacing w:after="0" w:line="239" w:lineRule="auto"/>
        <w:rPr>
          <w:sz w:val="20"/>
          <w:szCs w:val="20"/>
          <w:color w:val="auto"/>
        </w:rPr>
      </w:pPr>
      <w:r>
        <w:rPr>
          <w:rFonts w:ascii="Arial" w:cs="Arial" w:eastAsia="Arial" w:hAnsi="Arial"/>
          <w:sz w:val="17"/>
          <w:szCs w:val="17"/>
          <w:color w:val="auto"/>
        </w:rPr>
        <w:t>We have incurred significant operating losses since our inception and expect to incur significant losses for the foreseeable future. We do not have any products approved for sale and have not generated any revenue since our inception. If we are unable to successfully develop, obtain requisite approval for and commercialize our ecDTx, we may never generate revenue. Our net losses were $45.9 million and $49.4 million for the years ended December 31, 2022 and 2023, respectively. As of December 31, 2023, we had an accumulated deficit of $136.1 million. Substantially all of our losses have resulted from expenses incurred in connection with our research and development programs and from general and administrative costs associated with our operations. All of our ecDTx will require substantial additional development time and resources before we would be able to apply for or receive regulatory approvals and begin generating revenue from product sales. We expect to continue to incur losses for the foreseeable future, and we anticipate these losses will increase substantially as we continue our development of, seek regulatory approval for, and potentially commercialize any of our ecDTx and seek to discover and develop additional ecDTx, as well as operate as a public company.</w:t>
      </w:r>
    </w:p>
    <w:p>
      <w:pPr>
        <w:spacing w:after="0" w:line="11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840"/>
          </w:cols>
          <w:pgMar w:left="320" w:top="439" w:right="7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20" w:firstLine="521"/>
        <w:spacing w:after="0" w:line="238" w:lineRule="auto"/>
        <w:rPr>
          <w:sz w:val="20"/>
          <w:szCs w:val="20"/>
          <w:color w:val="auto"/>
        </w:rPr>
      </w:pPr>
      <w:r>
        <w:rPr>
          <w:rFonts w:ascii="Arial" w:cs="Arial" w:eastAsia="Arial" w:hAnsi="Arial"/>
          <w:sz w:val="17"/>
          <w:szCs w:val="17"/>
          <w:color w:val="auto"/>
        </w:rPr>
        <w:t>To become and remain profitable, we must succeed in discovering, developing, obtaining regulatory approvals for, and eventually commercializing products that generate significant revenue. This will require us to be successful in a range of challenging activities, including completing clinical trials and preclinical studies of our ecDTx, discovering additional ecDTx, obtaining regulatory approval for these ecDTx and, if required, our ecDNA diagnostic, and manufacturing, marketing, and selling any products for which we may obtain regulatory approval. We are in only the preliminary stages of these activities. We may never succeed in these activities and, even if we do, may never generate revenue that is significant enough to achieve profitability. In addition, we have not yet demonstrated an ability to successfully overcome many of the risks and uncertainties frequently encountered by companies in new and rapidly evolving fields, particularly in the biopharmaceutical industry. Because of the numerous risks and uncertainties associated with biopharmaceutical product development, we are unable to accurately predict the timing or amount of increased expenses or when, or if, we will be able to achieve profitability. Even if we do achieve profitability, we may not be able to sustain or increase profitability on a quarterly or annual basis. Our failure to become and remain profitable may have an adverse effect on the value of our company and could impair our ability to raise capital, expand our business, maintain our research and development efforts, diversify our ecDTx pipeline, achieve our strategic objectives, or even continue our operations. A decline in the value of our company could also cause you to lose all or part of your investment.</w:t>
      </w:r>
    </w:p>
    <w:p>
      <w:pPr>
        <w:spacing w:after="0" w:line="276" w:lineRule="exact"/>
        <w:rPr>
          <w:sz w:val="20"/>
          <w:szCs w:val="20"/>
          <w:color w:val="auto"/>
        </w:rPr>
      </w:pPr>
    </w:p>
    <w:p>
      <w:pPr>
        <w:jc w:val="both"/>
        <w:ind w:left="420" w:right="100"/>
        <w:spacing w:after="0" w:line="257" w:lineRule="auto"/>
        <w:rPr>
          <w:sz w:val="20"/>
          <w:szCs w:val="20"/>
          <w:color w:val="auto"/>
        </w:rPr>
      </w:pPr>
      <w:r>
        <w:rPr>
          <w:rFonts w:ascii="Arial" w:cs="Arial" w:eastAsia="Arial" w:hAnsi="Arial"/>
          <w:sz w:val="17"/>
          <w:szCs w:val="17"/>
          <w:b w:val="1"/>
          <w:bCs w:val="1"/>
          <w:i w:val="1"/>
          <w:iCs w:val="1"/>
          <w:color w:val="auto"/>
        </w:rPr>
        <w:t>Even if this offering is successful, we will require substantial additional capital to finance our operations, and a failure to obtain this necessary capital when needed on acceptable terms, or at all, could force us to delay, limit, reduce, or terminate our ecDTx development programs, commercialization efforts or other operations.</w:t>
      </w:r>
    </w:p>
    <w:p>
      <w:pPr>
        <w:spacing w:after="0" w:line="49" w:lineRule="exact"/>
        <w:rPr>
          <w:sz w:val="20"/>
          <w:szCs w:val="20"/>
          <w:color w:val="auto"/>
        </w:rPr>
      </w:pPr>
    </w:p>
    <w:p>
      <w:pPr>
        <w:ind w:left="420" w:firstLine="521"/>
        <w:spacing w:after="0"/>
        <w:rPr>
          <w:sz w:val="20"/>
          <w:szCs w:val="20"/>
          <w:color w:val="auto"/>
        </w:rPr>
      </w:pPr>
      <w:r>
        <w:rPr>
          <w:rFonts w:ascii="Arial" w:cs="Arial" w:eastAsia="Arial" w:hAnsi="Arial"/>
          <w:sz w:val="17"/>
          <w:szCs w:val="17"/>
          <w:color w:val="auto"/>
        </w:rPr>
        <w:t>The development of our ecDTx, including conducting preclinical studies and clinical trials, is a very time-consuming, capital-intensive, and uncertain process. Our operations have consumed substantial amounts of cash since inception. We expect our expenses to substantially increase in connection with our ongoing activities, particularly as we conduct our ongoing and planned clinical trials and preclinical studies and potentially seek regulatory approval for our current ecDTx and any future ecDTx we may develop. If we obtain regulatory approval for any of our ecDTx, we also expect to incur significant commercialization expenses related to product manufacturing, marketing, sales, and distribution. Because the outcome of any clinical trial or preclinical study is highly uncertain, we cannot reasonably estimate the actual amount of capital necessary to successfully complete the development and commercialization of our ecDTx. Furthermore, following the completion of this offering, we expect to incur additional costs associated with operating as a public company.</w:t>
      </w:r>
    </w:p>
    <w:p>
      <w:pPr>
        <w:spacing w:after="0" w:line="148" w:lineRule="exact"/>
        <w:rPr>
          <w:sz w:val="20"/>
          <w:szCs w:val="20"/>
          <w:color w:val="auto"/>
        </w:rPr>
      </w:pPr>
    </w:p>
    <w:p>
      <w:pPr>
        <w:ind w:left="420" w:firstLine="521"/>
        <w:spacing w:after="0" w:line="238" w:lineRule="auto"/>
        <w:rPr>
          <w:sz w:val="20"/>
          <w:szCs w:val="20"/>
          <w:color w:val="auto"/>
        </w:rPr>
      </w:pPr>
      <w:r>
        <w:rPr>
          <w:rFonts w:ascii="Arial" w:cs="Arial" w:eastAsia="Arial" w:hAnsi="Arial"/>
          <w:sz w:val="17"/>
          <w:szCs w:val="17"/>
          <w:color w:val="auto"/>
        </w:rPr>
        <w:t>Based on our current operating plan, we believe that the net proceeds from this offering, together with our existing cash, cash equivalents, and short-term investments, will be sufficient to fund our operations into the second half of 2026. In particular, we expect that the net proceeds from this offering and our existing cash, cash equivalents and short-term investments will allow us to fund development of BBI-355 through preliminary clinical proof of concept safety and antitumor activity data from the POTENTIATE trial and BBI-825 through preliminary proof of concept safety and antitumor activity data from the STARMAP trial, as well as submit an IND for our third ecDTx program. We have based these estimates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The net proceeds of this offering, together with our existing capital, may not be sufficient to complete development of our ecDTx, or any future ecDTx, and after this offering, we will require substantial capital in order to advance our ecDTx and any future ecDTx through clinical trials, regulatory approval, and commercialization. Accordingly, we will need to obtain substantial additional funding in connection with our continuing operations. Our ability to raise additional funds may be adversely impacted by global economic conditions, disruptions to, and volatility in, the credit and</w:t>
      </w:r>
    </w:p>
    <w:p>
      <w:pPr>
        <w:spacing w:after="0" w:line="11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820"/>
          </w:cols>
          <w:pgMar w:left="320" w:top="439" w:right="7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160"/>
        <w:spacing w:after="0"/>
        <w:rPr>
          <w:sz w:val="20"/>
          <w:szCs w:val="20"/>
          <w:color w:val="auto"/>
        </w:rPr>
      </w:pPr>
      <w:r>
        <w:rPr>
          <w:rFonts w:ascii="Arial" w:cs="Arial" w:eastAsia="Arial" w:hAnsi="Arial"/>
          <w:sz w:val="17"/>
          <w:szCs w:val="17"/>
          <w:color w:val="auto"/>
        </w:rPr>
        <w:t>financial markets in the United States and worldwide, and diminished liquidity and credit availability. If the equity and credit markets deteriorate, it may make any necessary debt or equity financing more difficult, more costly, and more dilutive. If we are unable to raise capital when needed or on attractive terms, we could be forced to delay, reduce, or eliminate our research and development programs or any future commercialization efforts, or even cease operations. We expect to finance our cash needs through public or private equity or debt financings or other capital sources, including potential collaborations, licenses, and other similar arrangements.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ecDTx.</w:t>
      </w:r>
    </w:p>
    <w:p>
      <w:pPr>
        <w:spacing w:after="0" w:line="148" w:lineRule="exact"/>
        <w:rPr>
          <w:sz w:val="20"/>
          <w:szCs w:val="20"/>
          <w:color w:val="auto"/>
        </w:rPr>
      </w:pPr>
    </w:p>
    <w:p>
      <w:pPr>
        <w:ind w:left="940"/>
        <w:spacing w:after="0"/>
        <w:rPr>
          <w:sz w:val="20"/>
          <w:szCs w:val="20"/>
          <w:color w:val="auto"/>
        </w:rPr>
      </w:pPr>
      <w:r>
        <w:rPr>
          <w:rFonts w:ascii="Arial" w:cs="Arial" w:eastAsia="Arial" w:hAnsi="Arial"/>
          <w:sz w:val="17"/>
          <w:szCs w:val="17"/>
          <w:color w:val="auto"/>
        </w:rPr>
        <w:t>Our future capital requirements will depend on many factors, including, but not limited to:</w:t>
      </w:r>
    </w:p>
    <w:p>
      <w:pPr>
        <w:spacing w:after="0" w:line="111" w:lineRule="exact"/>
        <w:rPr>
          <w:sz w:val="20"/>
          <w:szCs w:val="20"/>
          <w:color w:val="auto"/>
        </w:rPr>
      </w:pPr>
    </w:p>
    <w:p>
      <w:pPr>
        <w:ind w:left="1660" w:right="100" w:hanging="418"/>
        <w:spacing w:after="0" w:line="252" w:lineRule="auto"/>
        <w:tabs>
          <w:tab w:leader="none" w:pos="1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initiation, type, number, scope, progress, expansions, results, costs, and timing of clinical trials and preclinical studies of our ecDTx that we are pursuing or may choose to pursue in the future, including the costs of any third-party products used as combination agents in our clinical trials;</w:t>
      </w:r>
    </w:p>
    <w:p>
      <w:pPr>
        <w:spacing w:after="0" w:line="74" w:lineRule="exact"/>
        <w:rPr>
          <w:rFonts w:ascii="Arial" w:cs="Arial" w:eastAsia="Arial" w:hAnsi="Arial"/>
          <w:sz w:val="17"/>
          <w:szCs w:val="17"/>
          <w:color w:val="auto"/>
        </w:rPr>
      </w:pPr>
    </w:p>
    <w:p>
      <w:pPr>
        <w:ind w:left="1660" w:right="80" w:hanging="418"/>
        <w:spacing w:after="0" w:line="270" w:lineRule="auto"/>
        <w:tabs>
          <w:tab w:leader="none" w:pos="1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costs and timing of manufacturing for our ecDTx, including commercial manufacturing at sufficient scale, if any ecDTx is approved;</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costs and timing of developing ecDNA diagnostics, if required, and the outcome of their regulatory review;</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costs, timing, and outcome of regulatory meetings and reviews of our ecDTx;</w:t>
      </w:r>
    </w:p>
    <w:p>
      <w:pPr>
        <w:spacing w:after="0" w:line="111" w:lineRule="exact"/>
        <w:rPr>
          <w:rFonts w:ascii="Arial" w:cs="Arial" w:eastAsia="Arial" w:hAnsi="Arial"/>
          <w:sz w:val="17"/>
          <w:szCs w:val="17"/>
          <w:color w:val="auto"/>
        </w:rPr>
      </w:pPr>
    </w:p>
    <w:p>
      <w:pPr>
        <w:ind w:left="1660" w:right="260" w:hanging="418"/>
        <w:spacing w:after="0" w:line="270" w:lineRule="auto"/>
        <w:tabs>
          <w:tab w:leader="none" w:pos="1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costs of obtaining, maintaining, enforcing, and protecting our patents and other intellectual property and proprietary rights;</w:t>
      </w:r>
    </w:p>
    <w:p>
      <w:pPr>
        <w:spacing w:after="0" w:line="58" w:lineRule="exact"/>
        <w:rPr>
          <w:rFonts w:ascii="Arial" w:cs="Arial" w:eastAsia="Arial" w:hAnsi="Arial"/>
          <w:sz w:val="17"/>
          <w:szCs w:val="17"/>
          <w:color w:val="auto"/>
        </w:rPr>
      </w:pPr>
    </w:p>
    <w:p>
      <w:pPr>
        <w:ind w:left="1660" w:right="240" w:hanging="418"/>
        <w:spacing w:after="0" w:line="270" w:lineRule="auto"/>
        <w:tabs>
          <w:tab w:leader="none" w:pos="1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efforts to enhance operational systems and hire additional personnel to satisfy our obligations as a public company, including enhanced internal control over financial reporting;</w:t>
      </w:r>
    </w:p>
    <w:p>
      <w:pPr>
        <w:spacing w:after="0" w:line="58" w:lineRule="exact"/>
        <w:rPr>
          <w:rFonts w:ascii="Arial" w:cs="Arial" w:eastAsia="Arial" w:hAnsi="Arial"/>
          <w:sz w:val="17"/>
          <w:szCs w:val="17"/>
          <w:color w:val="auto"/>
        </w:rPr>
      </w:pPr>
    </w:p>
    <w:p>
      <w:pPr>
        <w:ind w:left="1660" w:right="80" w:hanging="418"/>
        <w:spacing w:after="0" w:line="270" w:lineRule="auto"/>
        <w:tabs>
          <w:tab w:leader="none" w:pos="1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costs associated with hiring additional personnel and consultants as our clinical and preclinical activities increase and as we operate as a public company;</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costs and timing of establishing or securing sales and marketing capabilities if any ecDTx is approved;</w:t>
      </w:r>
    </w:p>
    <w:p>
      <w:pPr>
        <w:spacing w:after="0" w:line="111" w:lineRule="exact"/>
        <w:rPr>
          <w:rFonts w:ascii="Arial" w:cs="Arial" w:eastAsia="Arial" w:hAnsi="Arial"/>
          <w:sz w:val="17"/>
          <w:szCs w:val="17"/>
          <w:color w:val="auto"/>
        </w:rPr>
      </w:pPr>
    </w:p>
    <w:p>
      <w:pPr>
        <w:ind w:left="1660" w:right="220" w:hanging="418"/>
        <w:spacing w:after="0" w:line="270" w:lineRule="auto"/>
        <w:tabs>
          <w:tab w:leader="none" w:pos="1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achieve sufficient market acceptance, coverage, and adequate reimbursement from third-party payors and adequate market share and revenue for any approved products;</w:t>
      </w:r>
    </w:p>
    <w:p>
      <w:pPr>
        <w:spacing w:after="0" w:line="58" w:lineRule="exact"/>
        <w:rPr>
          <w:rFonts w:ascii="Arial" w:cs="Arial" w:eastAsia="Arial" w:hAnsi="Arial"/>
          <w:sz w:val="17"/>
          <w:szCs w:val="17"/>
          <w:color w:val="auto"/>
        </w:rPr>
      </w:pPr>
    </w:p>
    <w:p>
      <w:pPr>
        <w:ind w:left="1660" w:right="720" w:hanging="418"/>
        <w:spacing w:after="0" w:line="270" w:lineRule="auto"/>
        <w:tabs>
          <w:tab w:leader="none" w:pos="1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patients’ willingness to pay out-of-pocket for any approved products in the absence of coverage and/or adequate reimbursement from third-party payors;</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terms and timing of establishing and maintaining collaborations, licenses, and other similar arrangements; and</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costs associated with any products or technologies that we may in-license or acquire.</w:t>
      </w:r>
    </w:p>
    <w:p>
      <w:pPr>
        <w:spacing w:after="0" w:line="162" w:lineRule="exact"/>
        <w:rPr>
          <w:sz w:val="20"/>
          <w:szCs w:val="20"/>
          <w:color w:val="auto"/>
        </w:rPr>
      </w:pPr>
    </w:p>
    <w:p>
      <w:pPr>
        <w:ind w:left="420" w:firstLine="521"/>
        <w:spacing w:after="0" w:line="247" w:lineRule="auto"/>
        <w:rPr>
          <w:sz w:val="20"/>
          <w:szCs w:val="20"/>
          <w:color w:val="auto"/>
        </w:rPr>
      </w:pPr>
      <w:r>
        <w:rPr>
          <w:rFonts w:ascii="Arial" w:cs="Arial" w:eastAsia="Arial" w:hAnsi="Arial"/>
          <w:sz w:val="17"/>
          <w:szCs w:val="17"/>
          <w:color w:val="auto"/>
        </w:rPr>
        <w:t>Conducting clinical trials and preclinical studies and discovering potential ecDTx is a time-consuming, expensive, and uncertain process that takes years to complete, and we may never generate the necessary data or results required to obtain regulatory approval and commercialize our ecDTx. In addition, our ecDTx, if approved, may not achieve commercial success. Our commercial revenue, if any, will initially be derived from sales of products that we do not expect to be commercially available for many years, if at all.</w:t>
      </w:r>
    </w:p>
    <w:p>
      <w:pPr>
        <w:spacing w:after="0" w:line="10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840"/>
          </w:cols>
          <w:pgMar w:left="320" w:top="439" w:right="7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440" w:firstLine="521"/>
        <w:spacing w:after="0" w:line="252" w:lineRule="auto"/>
        <w:rPr>
          <w:sz w:val="20"/>
          <w:szCs w:val="20"/>
          <w:color w:val="auto"/>
        </w:rPr>
      </w:pPr>
      <w:r>
        <w:rPr>
          <w:rFonts w:ascii="Arial" w:cs="Arial" w:eastAsia="Arial" w:hAnsi="Arial"/>
          <w:sz w:val="17"/>
          <w:szCs w:val="17"/>
          <w:color w:val="auto"/>
        </w:rPr>
        <w:t>Accordingly, we will need to continue to rely on additional financing to achieve our business objectives. Adequate additional financing may not be available to us on acceptable terms, or at all, including as a result of financial and credit market deterioration or instability, market-wide liquidity shortages, geopolitical events, or otherwise.</w:t>
      </w:r>
    </w:p>
    <w:p>
      <w:pPr>
        <w:spacing w:after="0" w:line="266" w:lineRule="exact"/>
        <w:rPr>
          <w:sz w:val="20"/>
          <w:szCs w:val="20"/>
          <w:color w:val="auto"/>
        </w:rPr>
      </w:pPr>
    </w:p>
    <w:p>
      <w:pPr>
        <w:ind w:left="420" w:right="580"/>
        <w:spacing w:after="0" w:line="280" w:lineRule="auto"/>
        <w:rPr>
          <w:sz w:val="20"/>
          <w:szCs w:val="20"/>
          <w:color w:val="auto"/>
        </w:rPr>
      </w:pPr>
      <w:r>
        <w:rPr>
          <w:rFonts w:ascii="Arial" w:cs="Arial" w:eastAsia="Arial" w:hAnsi="Arial"/>
          <w:sz w:val="17"/>
          <w:szCs w:val="17"/>
          <w:b w:val="1"/>
          <w:bCs w:val="1"/>
          <w:i w:val="1"/>
          <w:iCs w:val="1"/>
          <w:color w:val="auto"/>
        </w:rPr>
        <w:t>Raising additional capital may cause dilution to our stockholders, including purchasers of common stock in this offering, restrict our operations or require us to relinquish rights to our technologies or ecDTx.</w:t>
      </w:r>
    </w:p>
    <w:p>
      <w:pPr>
        <w:spacing w:after="0" w:line="29" w:lineRule="exact"/>
        <w:rPr>
          <w:sz w:val="20"/>
          <w:szCs w:val="20"/>
          <w:color w:val="auto"/>
        </w:rPr>
      </w:pPr>
    </w:p>
    <w:p>
      <w:pPr>
        <w:ind w:left="420" w:right="40" w:firstLine="521"/>
        <w:spacing w:after="0"/>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equity offerings, debt financings, or other capital sources, including potential collaborations, licenses, and other similar arrangements. We do not have any committed external source of funds. To the extent that we raise additional capital through the sale of equity or convertible debt securities, your ownership interest may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 Such restrictions could adversely impact our ability to conduct our operations and execute our business plan.</w:t>
      </w:r>
    </w:p>
    <w:p>
      <w:pPr>
        <w:spacing w:after="0" w:line="148" w:lineRule="exact"/>
        <w:rPr>
          <w:sz w:val="20"/>
          <w:szCs w:val="20"/>
          <w:color w:val="auto"/>
        </w:rPr>
      </w:pPr>
    </w:p>
    <w:p>
      <w:pPr>
        <w:ind w:left="420" w:firstLine="521"/>
        <w:spacing w:after="0" w:line="241" w:lineRule="auto"/>
        <w:rPr>
          <w:sz w:val="20"/>
          <w:szCs w:val="20"/>
          <w:color w:val="auto"/>
        </w:rPr>
      </w:pPr>
      <w:r>
        <w:rPr>
          <w:rFonts w:ascii="Arial" w:cs="Arial" w:eastAsia="Arial" w:hAnsi="Arial"/>
          <w:sz w:val="17"/>
          <w:szCs w:val="17"/>
          <w:color w:val="auto"/>
        </w:rPr>
        <w:t>If we raise additional funds through future collaborations, licenses, and other similar arrangements, we may be required to relinquish valuable rights to our future revenue streams, ecDTx, research programs, ecDNA diagnostic, intellectual property, or proprietary technology, or grant licenses on terms that may not be favorable to us and/or that may reduce the value of our common stock. If we are unable to raise additional funds through equity or debt financings or other arrangements when needed or on terms acceptable to us, we would be required to delay, limit, reduce, or terminate our product development or future commercialization efforts, or grant rights to develop and market ecDTx that we might otherwise prefer to develop and market ourselves, or on less favorable terms than we would otherwise choose.</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Risks Related to the Discovery, Development, and Regulatory Approval of Our ecDTx</w:t>
      </w:r>
    </w:p>
    <w:p>
      <w:pPr>
        <w:spacing w:after="0" w:line="98" w:lineRule="exact"/>
        <w:rPr>
          <w:sz w:val="20"/>
          <w:szCs w:val="20"/>
          <w:color w:val="auto"/>
        </w:rPr>
      </w:pPr>
    </w:p>
    <w:p>
      <w:pPr>
        <w:ind w:left="420" w:right="180"/>
        <w:spacing w:after="0" w:line="250" w:lineRule="auto"/>
        <w:rPr>
          <w:sz w:val="20"/>
          <w:szCs w:val="20"/>
          <w:color w:val="auto"/>
        </w:rPr>
      </w:pPr>
      <w:r>
        <w:rPr>
          <w:rFonts w:ascii="Arial" w:cs="Arial" w:eastAsia="Arial" w:hAnsi="Arial"/>
          <w:sz w:val="17"/>
          <w:szCs w:val="17"/>
          <w:b w:val="1"/>
          <w:bCs w:val="1"/>
          <w:i w:val="1"/>
          <w:iCs w:val="1"/>
          <w:color w:val="auto"/>
        </w:rPr>
        <w:t>We are early in our development efforts and have only two ecDTx in clinical development. All of our other ecDTx programs are still in the preclinical or discovery stage. If we are unable to successfully develop, obtain regulatory approval, and ultimately commercialize any of our current or future ecDTx, or experience significant delays in doing so, our business will be materially harmed.</w:t>
      </w:r>
    </w:p>
    <w:p>
      <w:pPr>
        <w:spacing w:after="0" w:line="54" w:lineRule="exact"/>
        <w:rPr>
          <w:sz w:val="20"/>
          <w:szCs w:val="20"/>
          <w:color w:val="auto"/>
        </w:rPr>
      </w:pPr>
    </w:p>
    <w:p>
      <w:pPr>
        <w:ind w:left="420" w:firstLine="521"/>
        <w:spacing w:after="0"/>
        <w:rPr>
          <w:sz w:val="20"/>
          <w:szCs w:val="20"/>
          <w:color w:val="auto"/>
        </w:rPr>
      </w:pPr>
      <w:r>
        <w:rPr>
          <w:rFonts w:ascii="Arial" w:cs="Arial" w:eastAsia="Arial" w:hAnsi="Arial"/>
          <w:sz w:val="17"/>
          <w:szCs w:val="17"/>
          <w:color w:val="auto"/>
        </w:rPr>
        <w:t>We are early in our development efforts and have only two ecDTx, BBI-355 and BBI-825, in early clinical development. All of our other ecDTx programs are still in the preclinical or discovery stage. We have invested substantially all of our efforts to date in developing our ecDTx, developing our ecDNA diagnostic as a potential patient selection tool, identifying other targets for therapeutic pursuit, and continuing to develop our proprietary Spyglass platform. We will need to progress BBI-355 and BBI-825 through first-in-human clinical trials and progress our other ecDTx programs through additional preclinical studies to enable us to submit INDs to the FDA and receive allowance from the FDA to proceed with initiating their clinical development. Our ability to generate product revenue, which we do not expect will occur for many years, if ever, will depend heavily on the successful development and eventual commercialization of our ecDTx. The success of our ecDTx will depend on several factors, including the following:</w:t>
      </w:r>
    </w:p>
    <w:p>
      <w:pPr>
        <w:spacing w:after="0" w:line="84" w:lineRule="exact"/>
        <w:rPr>
          <w:sz w:val="20"/>
          <w:szCs w:val="20"/>
          <w:color w:val="auto"/>
        </w:rPr>
      </w:pPr>
    </w:p>
    <w:p>
      <w:pPr>
        <w:ind w:left="1660" w:right="380" w:hanging="418"/>
        <w:spacing w:after="0" w:line="270" w:lineRule="auto"/>
        <w:tabs>
          <w:tab w:leader="none" w:pos="1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successful initiation and enrollment of clinical trials, and timely completion of clinical trials and preclinical studies with favorable results;</w:t>
      </w:r>
    </w:p>
    <w:p>
      <w:pPr>
        <w:spacing w:after="0" w:line="8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800"/>
          </w:cols>
          <w:pgMar w:left="320" w:top="439" w:right="7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1660" w:right="100" w:hanging="418"/>
        <w:spacing w:after="0" w:line="270" w:lineRule="auto"/>
        <w:tabs>
          <w:tab w:leader="none" w:pos="1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allowance to proceed with clinical trials for our ecDTx under INDs by the FDA, or under similar regulatory submissions by comparable foreign regulatory authorities;</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frequency and severity of adverse events observed in clinical trials and preclinical studies;</w:t>
      </w:r>
    </w:p>
    <w:p>
      <w:pPr>
        <w:spacing w:after="0" w:line="111" w:lineRule="exact"/>
        <w:rPr>
          <w:rFonts w:ascii="Arial" w:cs="Arial" w:eastAsia="Arial" w:hAnsi="Arial"/>
          <w:sz w:val="17"/>
          <w:szCs w:val="17"/>
          <w:color w:val="auto"/>
        </w:rPr>
      </w:pPr>
    </w:p>
    <w:p>
      <w:pPr>
        <w:ind w:left="1660" w:right="80" w:hanging="418"/>
        <w:spacing w:after="0" w:line="252" w:lineRule="auto"/>
        <w:tabs>
          <w:tab w:leader="none" w:pos="1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maintaining and establishing relationships with contract research organizations (CROs) and clinical sites for the clinical development of our ecDTx, and ability of such CROs and clinical sites to comply with clinical trial protocols, Good Clinical Practice requirements (GCPs) and other applicable requirements;</w:t>
      </w:r>
    </w:p>
    <w:p>
      <w:pPr>
        <w:spacing w:after="0" w:line="74" w:lineRule="exact"/>
        <w:rPr>
          <w:rFonts w:ascii="Arial" w:cs="Arial" w:eastAsia="Arial" w:hAnsi="Arial"/>
          <w:sz w:val="17"/>
          <w:szCs w:val="17"/>
          <w:color w:val="auto"/>
        </w:rPr>
      </w:pPr>
    </w:p>
    <w:p>
      <w:pPr>
        <w:ind w:left="1660" w:right="340" w:hanging="418"/>
        <w:spacing w:after="0" w:line="270" w:lineRule="auto"/>
        <w:tabs>
          <w:tab w:leader="none" w:pos="1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demonstrating the safety and efficacy of our ecDTx to the satisfaction of applicable regulatory authorities, including by establishing a safety database of a size satisfactory to regulatory authorities;</w:t>
      </w:r>
    </w:p>
    <w:p>
      <w:pPr>
        <w:spacing w:after="0" w:line="58" w:lineRule="exact"/>
        <w:rPr>
          <w:rFonts w:ascii="Arial" w:cs="Arial" w:eastAsia="Arial" w:hAnsi="Arial"/>
          <w:sz w:val="17"/>
          <w:szCs w:val="17"/>
          <w:color w:val="auto"/>
        </w:rPr>
      </w:pPr>
    </w:p>
    <w:p>
      <w:pPr>
        <w:ind w:left="1660" w:hanging="418"/>
        <w:spacing w:after="0" w:line="270" w:lineRule="auto"/>
        <w:tabs>
          <w:tab w:leader="none" w:pos="1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successful development, validation, and regulatory approval of companion diagnostic tests for use in patient selection with our ecDTx, if required;</w:t>
      </w:r>
    </w:p>
    <w:p>
      <w:pPr>
        <w:spacing w:after="0" w:line="58" w:lineRule="exact"/>
        <w:rPr>
          <w:rFonts w:ascii="Arial" w:cs="Arial" w:eastAsia="Arial" w:hAnsi="Arial"/>
          <w:sz w:val="17"/>
          <w:szCs w:val="17"/>
          <w:color w:val="auto"/>
        </w:rPr>
      </w:pPr>
    </w:p>
    <w:p>
      <w:pPr>
        <w:ind w:left="1660" w:right="620" w:hanging="418"/>
        <w:spacing w:after="0" w:line="270" w:lineRule="auto"/>
        <w:tabs>
          <w:tab w:leader="none" w:pos="1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receipt of regulatory approvals from applicable regulatory authorities, including approvals of new drug applications (NDAs), from the FDA and maintaining such approvals;</w:t>
      </w:r>
    </w:p>
    <w:p>
      <w:pPr>
        <w:spacing w:after="0" w:line="58" w:lineRule="exact"/>
        <w:rPr>
          <w:rFonts w:ascii="Arial" w:cs="Arial" w:eastAsia="Arial" w:hAnsi="Arial"/>
          <w:sz w:val="17"/>
          <w:szCs w:val="17"/>
          <w:color w:val="auto"/>
        </w:rPr>
      </w:pPr>
    </w:p>
    <w:p>
      <w:pPr>
        <w:ind w:left="1660" w:hanging="418"/>
        <w:spacing w:after="0" w:line="252" w:lineRule="auto"/>
        <w:tabs>
          <w:tab w:leader="none" w:pos="1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maintaining relationships with our third-party manufacturers and their ability to comply with current Good Manufacturing Practice requirements (cGMPs) as well as making arrangements with our third-party manufacturers for, or establishing our own, commercial manufacturing capabilities at a cost and scale sufficient to support commercialization;</w:t>
      </w:r>
    </w:p>
    <w:p>
      <w:pPr>
        <w:spacing w:after="0" w:line="74" w:lineRule="exact"/>
        <w:rPr>
          <w:rFonts w:ascii="Arial" w:cs="Arial" w:eastAsia="Arial" w:hAnsi="Arial"/>
          <w:sz w:val="17"/>
          <w:szCs w:val="17"/>
          <w:color w:val="auto"/>
        </w:rPr>
      </w:pPr>
    </w:p>
    <w:p>
      <w:pPr>
        <w:ind w:left="1660" w:right="240" w:hanging="418"/>
        <w:spacing w:after="0" w:line="270" w:lineRule="auto"/>
        <w:tabs>
          <w:tab w:leader="none" w:pos="1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establishing sales, marketing, and distribution capabilities and launching commercial sales of our products, if and when approved, whether alone or in collaboration with others;</w:t>
      </w:r>
    </w:p>
    <w:p>
      <w:pPr>
        <w:spacing w:after="0" w:line="58" w:lineRule="exact"/>
        <w:rPr>
          <w:rFonts w:ascii="Arial" w:cs="Arial" w:eastAsia="Arial" w:hAnsi="Arial"/>
          <w:sz w:val="17"/>
          <w:szCs w:val="17"/>
          <w:color w:val="auto"/>
        </w:rPr>
      </w:pPr>
    </w:p>
    <w:p>
      <w:pPr>
        <w:ind w:left="1660" w:right="640" w:hanging="418"/>
        <w:spacing w:after="0" w:line="270" w:lineRule="auto"/>
        <w:tabs>
          <w:tab w:leader="none" w:pos="1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obtaining, maintaining, protecting, and enforcing any patent and trade secret protection, patent term extensions (if applicable) and/or regulatory exclusivity for our ecDTx;</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maintaining an acceptable safety profile of our products following regulatory approval, if any;</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maintaining and growing an organization of people who can develop and commercialize our products; and</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acceptance of our products, if approved, by patients, the medical community, and third-party payors.</w:t>
      </w:r>
    </w:p>
    <w:p>
      <w:pPr>
        <w:spacing w:after="0" w:line="175" w:lineRule="exact"/>
        <w:rPr>
          <w:sz w:val="20"/>
          <w:szCs w:val="20"/>
          <w:color w:val="auto"/>
        </w:rPr>
      </w:pPr>
    </w:p>
    <w:p>
      <w:pPr>
        <w:ind w:left="420" w:right="760" w:firstLine="521"/>
        <w:spacing w:after="0" w:line="270" w:lineRule="auto"/>
        <w:rPr>
          <w:sz w:val="20"/>
          <w:szCs w:val="20"/>
          <w:color w:val="auto"/>
        </w:rPr>
      </w:pPr>
      <w:r>
        <w:rPr>
          <w:rFonts w:ascii="Arial" w:cs="Arial" w:eastAsia="Arial" w:hAnsi="Arial"/>
          <w:sz w:val="17"/>
          <w:szCs w:val="17"/>
          <w:color w:val="auto"/>
        </w:rPr>
        <w:t>If we are unable to develop, obtain regulatory approval for, or, if approved, successfully commercialize our ecDTx, or if we experience delays as a result of any of the above factors or otherwise, our business would be materially harmed.</w:t>
      </w:r>
    </w:p>
    <w:p>
      <w:pPr>
        <w:spacing w:after="0" w:line="250" w:lineRule="exact"/>
        <w:rPr>
          <w:sz w:val="20"/>
          <w:szCs w:val="20"/>
          <w:color w:val="auto"/>
        </w:rPr>
      </w:pPr>
    </w:p>
    <w:p>
      <w:pPr>
        <w:ind w:left="420" w:right="20"/>
        <w:spacing w:after="0" w:line="257" w:lineRule="auto"/>
        <w:rPr>
          <w:sz w:val="20"/>
          <w:szCs w:val="20"/>
          <w:color w:val="auto"/>
        </w:rPr>
      </w:pPr>
      <w:r>
        <w:rPr>
          <w:rFonts w:ascii="Arial" w:cs="Arial" w:eastAsia="Arial" w:hAnsi="Arial"/>
          <w:sz w:val="17"/>
          <w:szCs w:val="17"/>
          <w:b w:val="1"/>
          <w:bCs w:val="1"/>
          <w:i w:val="1"/>
          <w:iCs w:val="1"/>
          <w:color w:val="auto"/>
        </w:rPr>
        <w:t>Our approach to treating cancer with oncogene amplifications by developing ecDTx directed against ecDNA is unproven, and we do not know whether we will be able to develop any products of commercial value, or if competing approaches will limit the commercial value of our ecDTx.</w:t>
      </w:r>
    </w:p>
    <w:p>
      <w:pPr>
        <w:spacing w:after="0" w:line="49" w:lineRule="exact"/>
        <w:rPr>
          <w:sz w:val="20"/>
          <w:szCs w:val="20"/>
          <w:color w:val="auto"/>
        </w:rPr>
      </w:pPr>
    </w:p>
    <w:p>
      <w:pPr>
        <w:ind w:left="420" w:right="40" w:firstLine="521"/>
        <w:spacing w:after="0" w:line="242" w:lineRule="auto"/>
        <w:rPr>
          <w:sz w:val="20"/>
          <w:szCs w:val="20"/>
          <w:color w:val="auto"/>
        </w:rPr>
      </w:pPr>
      <w:r>
        <w:rPr>
          <w:rFonts w:ascii="Arial" w:cs="Arial" w:eastAsia="Arial" w:hAnsi="Arial"/>
          <w:sz w:val="17"/>
          <w:szCs w:val="17"/>
          <w:color w:val="auto"/>
        </w:rPr>
        <w:t>The success of our business depends primarily upon our ability to discover, develop, and commercialize products based on our scientific approach, which is focused on developing therapies that are directed against ecDNA in oncogene amplified cancers, a novel and unproven approach. While we have had favorable preclinical study results for certain of our ecDTx programs, we have not yet succeeded and may not succeed in demonstrating efficacy and safety for any of our ecDTx in clinical trials or in obtaining regulatory approvals from the FDA or other regulatory authorities or in commercializing such ecDTx. BBI-355 and BBI-825 are in early clinical development, and, as an organization, we have not completed any clinical trials for any of our ecDTx. Our research methodology</w:t>
      </w:r>
    </w:p>
    <w:p>
      <w:pPr>
        <w:spacing w:after="0" w:line="10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840"/>
          </w:cols>
          <w:pgMar w:left="320" w:top="439" w:right="7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40"/>
        <w:spacing w:after="0"/>
        <w:rPr>
          <w:sz w:val="20"/>
          <w:szCs w:val="20"/>
          <w:color w:val="auto"/>
        </w:rPr>
      </w:pPr>
      <w:r>
        <w:rPr>
          <w:rFonts w:ascii="Arial" w:cs="Arial" w:eastAsia="Arial" w:hAnsi="Arial"/>
          <w:sz w:val="17"/>
          <w:szCs w:val="17"/>
          <w:color w:val="auto"/>
        </w:rPr>
        <w:t>and scientific approach in using our Spyglass platform may be unsuccessful in identifying and discovering additional ecDTx, and, even if successful, we may not be able to submit INDs and have such INDs allowed to proceed to enable us to commence clinical trials on the timelines we expect, if at all. Any ecDTx we do discover may be shown to have harmful side effects or may have other characteristics that may necessitate additional clinical testing or make the ecDTx unmarketable or unlikely to receive regulatory approval. In particular, developing therapies that are directed against ecDNA in oncogene amplified cancers is a novel approach that may have unexpected consequences, including adverse events that preclude successful development and approval of our ecDTx. Further, because our current ecDTx and all of our discovery programs are ecDNA based, adverse developments with respect to one of our programs may have a significant adverse impact on the actual or perceived likelihood of success and value of our other programs.</w:t>
      </w:r>
    </w:p>
    <w:p>
      <w:pPr>
        <w:spacing w:after="0" w:line="148" w:lineRule="exact"/>
        <w:rPr>
          <w:sz w:val="20"/>
          <w:szCs w:val="20"/>
          <w:color w:val="auto"/>
        </w:rPr>
      </w:pPr>
    </w:p>
    <w:p>
      <w:pPr>
        <w:ind w:left="420" w:firstLine="521"/>
        <w:spacing w:after="0"/>
        <w:rPr>
          <w:sz w:val="20"/>
          <w:szCs w:val="20"/>
          <w:color w:val="auto"/>
        </w:rPr>
      </w:pPr>
      <w:r>
        <w:rPr>
          <w:rFonts w:ascii="Arial" w:cs="Arial" w:eastAsia="Arial" w:hAnsi="Arial"/>
          <w:sz w:val="17"/>
          <w:szCs w:val="17"/>
          <w:color w:val="auto"/>
        </w:rPr>
        <w:t>In addition, the biotechnology and biopharmaceutical industries are characterized by rapidly advancing technologies. Our future success will depend in part on our ability to maintain a competitive position with our scientific approach. If we fail to stay at the forefront of technological change in utilizing our approach to create and develop ecDTx and, if required, diagnostic tests, we may be unable to compete effectively. Our competitors may render our approach obsolete or limit the commercial value of our products or ecDTx by advances in existing technological approaches or the development of new or different approaches, potentially eliminating the advantages in our drug discovery process that we believe we derive from our approach. By contrast, adverse developments with respect to other companies that attempt to use a similar approach to our approach may adversely impact the actual or perceived value and potential of our ecDTx.</w:t>
      </w:r>
    </w:p>
    <w:p>
      <w:pPr>
        <w:spacing w:after="0" w:line="136" w:lineRule="exact"/>
        <w:rPr>
          <w:sz w:val="20"/>
          <w:szCs w:val="20"/>
          <w:color w:val="auto"/>
        </w:rPr>
      </w:pPr>
    </w:p>
    <w:p>
      <w:pPr>
        <w:ind w:left="420" w:right="260" w:firstLine="521"/>
        <w:spacing w:after="0" w:line="270" w:lineRule="auto"/>
        <w:rPr>
          <w:sz w:val="20"/>
          <w:szCs w:val="20"/>
          <w:color w:val="auto"/>
        </w:rPr>
      </w:pPr>
      <w:r>
        <w:rPr>
          <w:rFonts w:ascii="Arial" w:cs="Arial" w:eastAsia="Arial" w:hAnsi="Arial"/>
          <w:sz w:val="17"/>
          <w:szCs w:val="17"/>
          <w:color w:val="auto"/>
        </w:rPr>
        <w:t>If any of these events occur, we may be forced to delay, modify, or abandon our development efforts for a program or programs, which would have a material adverse effect on our business and could potentially cause us to cease operations.</w:t>
      </w:r>
    </w:p>
    <w:p>
      <w:pPr>
        <w:spacing w:after="0" w:line="250" w:lineRule="exact"/>
        <w:rPr>
          <w:sz w:val="20"/>
          <w:szCs w:val="20"/>
          <w:color w:val="auto"/>
        </w:rPr>
      </w:pPr>
    </w:p>
    <w:p>
      <w:pPr>
        <w:jc w:val="both"/>
        <w:ind w:left="420" w:right="100"/>
        <w:spacing w:after="0" w:line="257" w:lineRule="auto"/>
        <w:rPr>
          <w:sz w:val="20"/>
          <w:szCs w:val="20"/>
          <w:color w:val="auto"/>
        </w:rPr>
      </w:pPr>
      <w:r>
        <w:rPr>
          <w:rFonts w:ascii="Arial" w:cs="Arial" w:eastAsia="Arial" w:hAnsi="Arial"/>
          <w:sz w:val="17"/>
          <w:szCs w:val="17"/>
          <w:b w:val="1"/>
          <w:bCs w:val="1"/>
          <w:i w:val="1"/>
          <w:iCs w:val="1"/>
          <w:color w:val="auto"/>
        </w:rPr>
        <w:t>Clinical and preclinical development involves a lengthy and expensive process with uncertain timelines and outcomes, and the results of preclinical studies and early clinical trials are not necessarily predictive of future results. Our ecDTx may not achieve favorable results in clinical trials or preclinical studies or receive regulatory approval on a timely basis, if at all.</w:t>
      </w:r>
    </w:p>
    <w:p>
      <w:pPr>
        <w:spacing w:after="0" w:line="49" w:lineRule="exact"/>
        <w:rPr>
          <w:sz w:val="20"/>
          <w:szCs w:val="20"/>
          <w:color w:val="auto"/>
        </w:rPr>
      </w:pPr>
    </w:p>
    <w:p>
      <w:pPr>
        <w:ind w:left="420" w:right="260" w:firstLine="521"/>
        <w:spacing w:after="0" w:line="263" w:lineRule="auto"/>
        <w:rPr>
          <w:sz w:val="20"/>
          <w:szCs w:val="20"/>
          <w:color w:val="auto"/>
        </w:rPr>
      </w:pPr>
      <w:r>
        <w:rPr>
          <w:rFonts w:ascii="Arial" w:cs="Arial" w:eastAsia="Arial" w:hAnsi="Arial"/>
          <w:sz w:val="16"/>
          <w:szCs w:val="16"/>
          <w:color w:val="auto"/>
        </w:rPr>
        <w:t>Clinical and preclinical development is expensive and can take many years to complete, and its outcome is inherently uncertain. We cannot guarantee that any clinical trials or preclinical studies will be conducted as planned, including whether we are able to meet expected timeframes for data readouts, or completed on schedule, if at all, and failure can occur at any time during the trial or study process. Despite promising preclinical or clinical results, any ecDTx can unexpectedly fail at any stage of clinical or preclinical development. The historical failure rate for product candidates in our industry is high, particularly in the earlier stages of development.</w:t>
      </w:r>
    </w:p>
    <w:p>
      <w:pPr>
        <w:spacing w:after="0" w:line="116" w:lineRule="exact"/>
        <w:rPr>
          <w:sz w:val="20"/>
          <w:szCs w:val="20"/>
          <w:color w:val="auto"/>
        </w:rPr>
      </w:pPr>
    </w:p>
    <w:p>
      <w:pPr>
        <w:ind w:left="420" w:right="120" w:firstLine="521"/>
        <w:spacing w:after="0" w:line="241" w:lineRule="auto"/>
        <w:rPr>
          <w:sz w:val="20"/>
          <w:szCs w:val="20"/>
          <w:color w:val="auto"/>
        </w:rPr>
      </w:pPr>
      <w:r>
        <w:rPr>
          <w:rFonts w:ascii="Arial" w:cs="Arial" w:eastAsia="Arial" w:hAnsi="Arial"/>
          <w:sz w:val="17"/>
          <w:szCs w:val="17"/>
          <w:color w:val="auto"/>
        </w:rPr>
        <w:t>The results from preclinical studies or clinical trials of an ecDTx or of a competitor’s product candidates in the same class may not predict the results of later clinical trials of our ecDTx, and interim, topline, or preliminary results of a clinical trial are not necessarily indicative of final results. ecDTx in later stages of clinical trials may fail to show the desired safety and efficacy characteristics despite having progressed through preclinical studies and initial clinical trials. It is not uncommon to observe results in clinical trials that are unexpected based on preclinical studies and early clinical trials, and many product candidates fail in clinical trials despite very promising early results. If unexpected observations or toxicities are observed in these studies, or in future IND-enabling studies for any of our other ecDTx development programs, such results may delay or prevent the initiation of clinical trials for such ecDTx programs.</w:t>
      </w:r>
    </w:p>
    <w:p>
      <w:pPr>
        <w:spacing w:after="0" w:line="146" w:lineRule="exact"/>
        <w:rPr>
          <w:sz w:val="20"/>
          <w:szCs w:val="20"/>
          <w:color w:val="auto"/>
        </w:rPr>
      </w:pPr>
    </w:p>
    <w:p>
      <w:pPr>
        <w:ind w:left="420" w:right="220" w:firstLine="521"/>
        <w:spacing w:after="0" w:line="270" w:lineRule="auto"/>
        <w:rPr>
          <w:sz w:val="20"/>
          <w:szCs w:val="20"/>
          <w:color w:val="auto"/>
        </w:rPr>
      </w:pPr>
      <w:r>
        <w:rPr>
          <w:rFonts w:ascii="Arial" w:cs="Arial" w:eastAsia="Arial" w:hAnsi="Arial"/>
          <w:sz w:val="17"/>
          <w:szCs w:val="17"/>
          <w:color w:val="auto"/>
        </w:rPr>
        <w:t>Moreover, preclinical and clinical data may be susceptible to varying interpretations and analyses. A number of companies in the biopharmaceutical and biotechnology industries have suffered</w:t>
      </w:r>
    </w:p>
    <w:p>
      <w:pPr>
        <w:spacing w:after="0" w:line="8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800"/>
          </w:cols>
          <w:pgMar w:left="320" w:top="439" w:right="7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line="238" w:lineRule="auto"/>
        <w:rPr>
          <w:sz w:val="20"/>
          <w:szCs w:val="20"/>
          <w:color w:val="auto"/>
        </w:rPr>
      </w:pPr>
      <w:r>
        <w:rPr>
          <w:rFonts w:ascii="Arial" w:cs="Arial" w:eastAsia="Arial" w:hAnsi="Arial"/>
          <w:sz w:val="17"/>
          <w:szCs w:val="17"/>
          <w:color w:val="auto"/>
        </w:rPr>
        <w:t>significant setbacks in clinical development even after achieving promising results in earlier studies. Such setbacks have occurred and may occur for many reasons, including, but not limited to: clinical sites and investigators may deviate from clinical trial protocols, whether due to lack of training or otherwise, and we may fail to detect any such deviations in a timely manner; patients may fail to adhere to any required clinical trial procedures, including any requirements for post-treatment follow-up; our ecDTx may fail to demonstrate effectiveness or safety in certain patient subpopulations, which has not been observed in earlier trials due to limited sample size, lack of analysis, or otherwise; or our clinical trials may not adequately represent the patient populations we intend to treat, whether due to limitations in our trial designs or otherwise, such as where one patient subgroup is overrepresented in the clinical trial. There can be no assurance that we will not suffer similar setbacks despite the data we observed in earlier or ongoing studies. Based upon negative or inconclusive results, we or any future collaborator may decide, or regulators may require us, to conduct additional preclinical studies or clinical trials, which would cause us to incur additional operating expenses and delays and may not be sufficient to support regulatory approval on a timely basis or at all.</w:t>
      </w:r>
    </w:p>
    <w:p>
      <w:pPr>
        <w:spacing w:after="0" w:line="155" w:lineRule="exact"/>
        <w:rPr>
          <w:sz w:val="20"/>
          <w:szCs w:val="20"/>
          <w:color w:val="auto"/>
        </w:rPr>
      </w:pPr>
    </w:p>
    <w:p>
      <w:pPr>
        <w:ind w:left="420"/>
        <w:spacing w:after="0" w:line="252" w:lineRule="auto"/>
        <w:rPr>
          <w:sz w:val="20"/>
          <w:szCs w:val="20"/>
          <w:color w:val="auto"/>
        </w:rPr>
      </w:pPr>
      <w:r>
        <w:rPr>
          <w:rFonts w:ascii="Arial" w:cs="Arial" w:eastAsia="Arial" w:hAnsi="Arial"/>
          <w:sz w:val="17"/>
          <w:szCs w:val="17"/>
          <w:color w:val="auto"/>
        </w:rPr>
        <w:t>As a result, we cannot be certain that our ongoing and planned clinical trials and preclinical studies will be successful. Any safety concerns observed in any one of our clinical trials in our targeted indications could limit the prospects for regulatory approval of our ecDTx in those and other indications, which could have a material adverse effect on our business, financial condition, results of operations, and prospects.</w:t>
      </w:r>
    </w:p>
    <w:p>
      <w:pPr>
        <w:spacing w:after="0" w:line="266" w:lineRule="exact"/>
        <w:rPr>
          <w:sz w:val="20"/>
          <w:szCs w:val="20"/>
          <w:color w:val="auto"/>
        </w:rPr>
      </w:pPr>
    </w:p>
    <w:p>
      <w:pPr>
        <w:ind w:left="420" w:right="520"/>
        <w:spacing w:after="0" w:line="257" w:lineRule="auto"/>
        <w:rPr>
          <w:sz w:val="20"/>
          <w:szCs w:val="20"/>
          <w:color w:val="auto"/>
        </w:rPr>
      </w:pPr>
      <w:r>
        <w:rPr>
          <w:rFonts w:ascii="Arial" w:cs="Arial" w:eastAsia="Arial" w:hAnsi="Arial"/>
          <w:sz w:val="17"/>
          <w:szCs w:val="17"/>
          <w:b w:val="1"/>
          <w:bCs w:val="1"/>
          <w:i w:val="1"/>
          <w:iCs w:val="1"/>
          <w:color w:val="auto"/>
        </w:rPr>
        <w:t>Any difficulties or delays in the commencement or completion, or the termination or suspension, of our current or planned clinical trials or preclinical studies could result in increased costs to us, delay or limit our ability to generate revenue, or adversely affect our commercial prospects.</w:t>
      </w:r>
    </w:p>
    <w:p>
      <w:pPr>
        <w:spacing w:after="0" w:line="49" w:lineRule="exact"/>
        <w:rPr>
          <w:sz w:val="20"/>
          <w:szCs w:val="20"/>
          <w:color w:val="auto"/>
        </w:rPr>
      </w:pPr>
    </w:p>
    <w:p>
      <w:pPr>
        <w:ind w:left="420" w:right="40" w:firstLine="521"/>
        <w:spacing w:after="0" w:line="239" w:lineRule="auto"/>
        <w:rPr>
          <w:sz w:val="20"/>
          <w:szCs w:val="20"/>
          <w:color w:val="auto"/>
        </w:rPr>
      </w:pPr>
      <w:r>
        <w:rPr>
          <w:rFonts w:ascii="Arial" w:cs="Arial" w:eastAsia="Arial" w:hAnsi="Arial"/>
          <w:sz w:val="17"/>
          <w:szCs w:val="17"/>
          <w:color w:val="auto"/>
        </w:rPr>
        <w:t>Before obtaining approval from regulatory authorities for the sale of our ecDTx, we must conduct extensive clinical trials to demonstrate the safety and efficacy of the ecDTx in humans. Before we can initiate clinical trials for our preclinical ecDTx, we must submit the results of preclinical studies to the FDA or comparable foreign regulatory authorities along with other information, including information about ecDTx chemistry, manufacturing, and controls and our proposed clinical trial protocol, as part of an IND or similar regulatory submission. The FDA or comparable foreign regulatory authorities may require us to conduct additional preclinical studies for any ecDTx before it allows us to initiate clinical trials under any IND or similar regulatory submission, which may lead to delays and increase the costs of our preclinical ecDTx programs. Moreover, even if we commence clinical trials, issues may arise that could cause regulatory authorities to suspend or terminate such clinical trials. Any such delays in the commencement or completion, or the termination or suspension, of our ongoing and planned clinical trials or preclinical studies for our current and any future ecDTx could significantly affect our product development timelines and product development costs.</w:t>
      </w:r>
    </w:p>
    <w:p>
      <w:pPr>
        <w:spacing w:after="0" w:line="136" w:lineRule="exact"/>
        <w:rPr>
          <w:sz w:val="20"/>
          <w:szCs w:val="20"/>
          <w:color w:val="auto"/>
        </w:rPr>
      </w:pPr>
    </w:p>
    <w:p>
      <w:pPr>
        <w:ind w:left="420" w:right="80" w:firstLine="521"/>
        <w:spacing w:after="0" w:line="252" w:lineRule="auto"/>
        <w:rPr>
          <w:sz w:val="20"/>
          <w:szCs w:val="20"/>
          <w:color w:val="auto"/>
        </w:rPr>
      </w:pPr>
      <w:r>
        <w:rPr>
          <w:rFonts w:ascii="Arial" w:cs="Arial" w:eastAsia="Arial" w:hAnsi="Arial"/>
          <w:sz w:val="17"/>
          <w:szCs w:val="17"/>
          <w:color w:val="auto"/>
        </w:rPr>
        <w:t>We do not know whether our planned clinical trials and preclinical studies will begin on time or if our ongoing or future trials or studies will be completed on schedule, if at all. The commencement, data readouts, and completion of clinical trials and preclinical studies can be delayed for a number of reasons, including delays related to:</w:t>
      </w:r>
    </w:p>
    <w:p>
      <w:pPr>
        <w:spacing w:after="0" w:line="74" w:lineRule="exact"/>
        <w:rPr>
          <w:sz w:val="20"/>
          <w:szCs w:val="20"/>
          <w:color w:val="auto"/>
        </w:rPr>
      </w:pPr>
    </w:p>
    <w:p>
      <w:pPr>
        <w:ind w:left="1660" w:right="260" w:hanging="418"/>
        <w:spacing w:after="0" w:line="270" w:lineRule="auto"/>
        <w:tabs>
          <w:tab w:leader="none" w:pos="1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inability to obtain animals or materials to initiate and generate sufficient preclinical, toxicology, or other in vivo or in vitro data to support the initiation or continuation of clinical trials;</w:t>
      </w:r>
    </w:p>
    <w:p>
      <w:pPr>
        <w:spacing w:after="0" w:line="58" w:lineRule="exact"/>
        <w:rPr>
          <w:rFonts w:ascii="Arial" w:cs="Arial" w:eastAsia="Arial" w:hAnsi="Arial"/>
          <w:sz w:val="17"/>
          <w:szCs w:val="17"/>
          <w:color w:val="auto"/>
        </w:rPr>
      </w:pPr>
    </w:p>
    <w:p>
      <w:pPr>
        <w:ind w:left="1660" w:hanging="418"/>
        <w:spacing w:after="0" w:line="270" w:lineRule="auto"/>
        <w:tabs>
          <w:tab w:leader="none" w:pos="1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obtaining allowance from regulatory authorities to commence a trial or reaching a consensus with regulatory authorities on trial design;</w:t>
      </w:r>
    </w:p>
    <w:p>
      <w:pPr>
        <w:spacing w:after="0" w:line="58" w:lineRule="exact"/>
        <w:rPr>
          <w:rFonts w:ascii="Arial" w:cs="Arial" w:eastAsia="Arial" w:hAnsi="Arial"/>
          <w:sz w:val="17"/>
          <w:szCs w:val="17"/>
          <w:color w:val="auto"/>
        </w:rPr>
      </w:pPr>
    </w:p>
    <w:p>
      <w:pPr>
        <w:ind w:left="5520" w:right="140" w:hanging="4278"/>
        <w:spacing w:after="0" w:line="443" w:lineRule="auto"/>
        <w:tabs>
          <w:tab w:leader="none" w:pos="1641"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disagreeing as to the design or implementation of our clinical trials; 20</w:t>
      </w:r>
    </w:p>
    <w:p>
      <w:pPr>
        <w:sectPr>
          <w:pgSz w:w="11900" w:h="16838" w:orient="portrait"/>
          <w:cols w:equalWidth="0" w:num="1">
            <w:col w:w="10840"/>
          </w:cols>
          <w:pgMar w:left="320" w:top="439" w:right="7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1660" w:right="440" w:hanging="418"/>
        <w:spacing w:after="0" w:line="270" w:lineRule="auto"/>
        <w:tabs>
          <w:tab w:leader="none" w:pos="1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failure or delay in reaching an agreement with CROs and clinical trial sites, the terms of which can be subject to extensive negotiation and may vary significantly among different CROs and trial sites;</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delays in identifying, recruiting, and training suitable clinical investigators;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obtaining approval from one or more institutional review boards (IRBs) or ethics committees (ECs) at clinical trial sites;</w:t>
      </w:r>
    </w:p>
    <w:p>
      <w:pPr>
        <w:spacing w:after="0" w:line="111" w:lineRule="exact"/>
        <w:rPr>
          <w:rFonts w:ascii="Arial" w:cs="Arial" w:eastAsia="Arial" w:hAnsi="Arial"/>
          <w:sz w:val="17"/>
          <w:szCs w:val="17"/>
          <w:color w:val="auto"/>
        </w:rPr>
      </w:pPr>
    </w:p>
    <w:p>
      <w:pPr>
        <w:ind w:left="1660" w:right="400" w:hanging="418"/>
        <w:spacing w:after="0" w:line="270" w:lineRule="auto"/>
        <w:tabs>
          <w:tab w:leader="none" w:pos="1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IRBs/ECs refusing to approve, suspending, or terminating the trial at an investigational site, precluding enrollment of additional patients, or withdrawing their approval of the trial;</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to the clinical trial protocol;</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clinical sites deviating from the trial protocol or dropping out of a trial;</w:t>
      </w:r>
    </w:p>
    <w:p>
      <w:pPr>
        <w:spacing w:after="0" w:line="111" w:lineRule="exact"/>
        <w:rPr>
          <w:rFonts w:ascii="Arial" w:cs="Arial" w:eastAsia="Arial" w:hAnsi="Arial"/>
          <w:sz w:val="17"/>
          <w:szCs w:val="17"/>
          <w:color w:val="auto"/>
        </w:rPr>
      </w:pPr>
    </w:p>
    <w:p>
      <w:pPr>
        <w:ind w:left="1660" w:right="20" w:hanging="418"/>
        <w:spacing w:after="0" w:line="270" w:lineRule="auto"/>
        <w:tabs>
          <w:tab w:leader="none" w:pos="1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failure by our CROs to perform in accordance with GCP requirements or applicable regulatory requirements or guidelines in other countries;</w:t>
      </w:r>
    </w:p>
    <w:p>
      <w:pPr>
        <w:spacing w:after="0" w:line="58" w:lineRule="exact"/>
        <w:rPr>
          <w:rFonts w:ascii="Arial" w:cs="Arial" w:eastAsia="Arial" w:hAnsi="Arial"/>
          <w:sz w:val="17"/>
          <w:szCs w:val="17"/>
          <w:color w:val="auto"/>
        </w:rPr>
      </w:pPr>
    </w:p>
    <w:p>
      <w:pPr>
        <w:ind w:left="1660" w:right="880" w:hanging="418"/>
        <w:spacing w:after="0" w:line="270" w:lineRule="auto"/>
        <w:tabs>
          <w:tab w:leader="none" w:pos="1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obtaining raw materials for manufacturing sufficient quantities of our ecDTx or obtaining sufficient quantities of combination therapies or other materials needed for use in clinical trials and preclinical studies;</w:t>
      </w:r>
    </w:p>
    <w:p>
      <w:pPr>
        <w:spacing w:after="0" w:line="58" w:lineRule="exact"/>
        <w:rPr>
          <w:rFonts w:ascii="Arial" w:cs="Arial" w:eastAsia="Arial" w:hAnsi="Arial"/>
          <w:sz w:val="17"/>
          <w:szCs w:val="17"/>
          <w:color w:val="auto"/>
        </w:rPr>
      </w:pPr>
    </w:p>
    <w:p>
      <w:pPr>
        <w:ind w:left="1660" w:right="140" w:hanging="418"/>
        <w:spacing w:after="0" w:line="252" w:lineRule="auto"/>
        <w:tabs>
          <w:tab w:leader="none" w:pos="1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patients failing to enroll or remain in our trials at the rate we expect, or failing to return for post-treatment follow-up, including patients failing to remain in our trials due to movement restrictions, health reasons, or otherwise resulting from any future public health concerns;</w:t>
      </w:r>
    </w:p>
    <w:p>
      <w:pPr>
        <w:spacing w:after="0" w:line="74" w:lineRule="exact"/>
        <w:rPr>
          <w:rFonts w:ascii="Arial" w:cs="Arial" w:eastAsia="Arial" w:hAnsi="Arial"/>
          <w:sz w:val="17"/>
          <w:szCs w:val="17"/>
          <w:color w:val="auto"/>
        </w:rPr>
      </w:pPr>
    </w:p>
    <w:p>
      <w:pPr>
        <w:ind w:left="1660" w:right="360" w:hanging="418"/>
        <w:spacing w:after="0" w:line="270" w:lineRule="auto"/>
        <w:tabs>
          <w:tab w:leader="none" w:pos="1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patients choosing alternative treatments for the indications for which we are developing our ecDTx, or participating in competing clinical trials;</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lack of adequate funding to continue the clinical trials or preclinical studies or costs being greater than we anticipate;</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patients experiencing severe or serious unexpected drug-related adverse effects;</w:t>
      </w:r>
    </w:p>
    <w:p>
      <w:pPr>
        <w:spacing w:after="0" w:line="111" w:lineRule="exact"/>
        <w:rPr>
          <w:rFonts w:ascii="Arial" w:cs="Arial" w:eastAsia="Arial" w:hAnsi="Arial"/>
          <w:sz w:val="17"/>
          <w:szCs w:val="17"/>
          <w:color w:val="auto"/>
        </w:rPr>
      </w:pPr>
    </w:p>
    <w:p>
      <w:pPr>
        <w:ind w:left="1660" w:right="200" w:hanging="418"/>
        <w:spacing w:after="0" w:line="270" w:lineRule="auto"/>
        <w:tabs>
          <w:tab w:leader="none" w:pos="1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occurrence of serious adverse events in trials of the same class of agents conducted by other companies that could be considered similar to our ecDTx;</w:t>
      </w:r>
    </w:p>
    <w:p>
      <w:pPr>
        <w:spacing w:after="0" w:line="58" w:lineRule="exact"/>
        <w:rPr>
          <w:rFonts w:ascii="Arial" w:cs="Arial" w:eastAsia="Arial" w:hAnsi="Arial"/>
          <w:sz w:val="17"/>
          <w:szCs w:val="17"/>
          <w:color w:val="auto"/>
        </w:rPr>
      </w:pPr>
    </w:p>
    <w:p>
      <w:pPr>
        <w:ind w:left="1660" w:right="160" w:hanging="418"/>
        <w:spacing w:after="0" w:line="270" w:lineRule="auto"/>
        <w:tabs>
          <w:tab w:leader="none" w:pos="1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selection of clinical endpoints that require prolonged periods of clinical observation or extended analysis of the resulting data;</w:t>
      </w:r>
    </w:p>
    <w:p>
      <w:pPr>
        <w:spacing w:after="0" w:line="58" w:lineRule="exact"/>
        <w:rPr>
          <w:rFonts w:ascii="Arial" w:cs="Arial" w:eastAsia="Arial" w:hAnsi="Arial"/>
          <w:sz w:val="17"/>
          <w:szCs w:val="17"/>
          <w:color w:val="auto"/>
        </w:rPr>
      </w:pPr>
    </w:p>
    <w:p>
      <w:pPr>
        <w:ind w:left="1660" w:right="180" w:hanging="418"/>
        <w:spacing w:after="0" w:line="252" w:lineRule="auto"/>
        <w:tabs>
          <w:tab w:leader="none" w:pos="1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transfer of manufacturing processes to larger-scale facilities operated by a contract manufacturing organization (CMO), delays or failure by our CMOs or us to make any necessary changes to such manufacturing process, or failure of our CMOs to produce clinical trial materials in accordance with cGMP regulations or other applicable requirements; and</w:t>
      </w:r>
    </w:p>
    <w:p>
      <w:pPr>
        <w:spacing w:after="0" w:line="74" w:lineRule="exact"/>
        <w:rPr>
          <w:rFonts w:ascii="Arial" w:cs="Arial" w:eastAsia="Arial" w:hAnsi="Arial"/>
          <w:sz w:val="17"/>
          <w:szCs w:val="17"/>
          <w:color w:val="auto"/>
        </w:rPr>
      </w:pPr>
    </w:p>
    <w:p>
      <w:pPr>
        <w:ind w:left="1660" w:hanging="418"/>
        <w:spacing w:after="0"/>
        <w:tabs>
          <w:tab w:leader="none" w:pos="1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third parties being unwilling or unable to satisfy their contractual obligations to us in a timely manner.</w:t>
      </w:r>
    </w:p>
    <w:p>
      <w:pPr>
        <w:spacing w:after="0" w:line="175" w:lineRule="exact"/>
        <w:rPr>
          <w:sz w:val="20"/>
          <w:szCs w:val="20"/>
          <w:color w:val="auto"/>
        </w:rPr>
      </w:pPr>
    </w:p>
    <w:p>
      <w:pPr>
        <w:ind w:left="420" w:firstLine="521"/>
        <w:spacing w:after="0"/>
        <w:rPr>
          <w:sz w:val="20"/>
          <w:szCs w:val="20"/>
          <w:color w:val="auto"/>
        </w:rPr>
      </w:pPr>
      <w:r>
        <w:rPr>
          <w:rFonts w:ascii="Arial" w:cs="Arial" w:eastAsia="Arial" w:hAnsi="Arial"/>
          <w:sz w:val="17"/>
          <w:szCs w:val="17"/>
          <w:color w:val="auto"/>
        </w:rPr>
        <w:t>Clinical trials must be conducted in accordance with the FDA and other applicable regulatory authorities’ legal requirements, regulations, or guidelines, and are subject to oversight by these governmental agencies and ECs or IRBs at the medical institutions where the clinical trials are conducted.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GCP and other regulatory requirements or our clinical protocols, inspection of the clinical trial operations or trial site by the FDA or comparable foreign regulatory authorities resulting in the imposition of a clinical hold, unforeseen safety issues or adverse side effects, failure to</w:t>
      </w:r>
    </w:p>
    <w:p>
      <w:pPr>
        <w:spacing w:after="0" w:line="11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780"/>
          </w:cols>
          <w:pgMar w:left="320" w:top="439" w:right="7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120"/>
        <w:spacing w:after="0" w:line="247" w:lineRule="auto"/>
        <w:rPr>
          <w:sz w:val="20"/>
          <w:szCs w:val="20"/>
          <w:color w:val="auto"/>
        </w:rPr>
      </w:pPr>
      <w:r>
        <w:rPr>
          <w:rFonts w:ascii="Arial" w:cs="Arial" w:eastAsia="Arial" w:hAnsi="Arial"/>
          <w:sz w:val="17"/>
          <w:szCs w:val="17"/>
          <w:color w:val="auto"/>
        </w:rPr>
        <w:t>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41" w:lineRule="exact"/>
        <w:rPr>
          <w:sz w:val="20"/>
          <w:szCs w:val="20"/>
          <w:color w:val="auto"/>
        </w:rPr>
      </w:pPr>
    </w:p>
    <w:p>
      <w:pPr>
        <w:ind w:left="420" w:right="200" w:firstLine="521"/>
        <w:spacing w:after="0" w:line="247" w:lineRule="auto"/>
        <w:rPr>
          <w:sz w:val="20"/>
          <w:szCs w:val="20"/>
          <w:color w:val="auto"/>
        </w:rPr>
      </w:pPr>
      <w:r>
        <w:rPr>
          <w:rFonts w:ascii="Arial" w:cs="Arial" w:eastAsia="Arial" w:hAnsi="Arial"/>
          <w:sz w:val="17"/>
          <w:szCs w:val="17"/>
          <w:color w:val="auto"/>
        </w:rPr>
        <w:t>Further, in the future we may conduct clinical trials in foreign countries, and this will present additional risks that may delay completion of our clinical trials. These risks include the failure of enrolled patients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w:t>
      </w:r>
    </w:p>
    <w:p>
      <w:pPr>
        <w:spacing w:after="0" w:line="128" w:lineRule="exact"/>
        <w:rPr>
          <w:sz w:val="20"/>
          <w:szCs w:val="20"/>
          <w:color w:val="auto"/>
        </w:rPr>
      </w:pPr>
    </w:p>
    <w:p>
      <w:pPr>
        <w:ind w:left="420" w:firstLine="521"/>
        <w:spacing w:after="0"/>
        <w:rPr>
          <w:sz w:val="20"/>
          <w:szCs w:val="20"/>
          <w:color w:val="auto"/>
        </w:rPr>
      </w:pPr>
      <w:r>
        <w:rPr>
          <w:rFonts w:ascii="Arial" w:cs="Arial" w:eastAsia="Arial" w:hAnsi="Arial"/>
          <w:sz w:val="17"/>
          <w:szCs w:val="17"/>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ecDTx.</w:t>
      </w:r>
    </w:p>
    <w:p>
      <w:pPr>
        <w:spacing w:after="0" w:line="136" w:lineRule="exact"/>
        <w:rPr>
          <w:sz w:val="20"/>
          <w:szCs w:val="20"/>
          <w:color w:val="auto"/>
        </w:rPr>
      </w:pPr>
    </w:p>
    <w:p>
      <w:pPr>
        <w:ind w:left="420" w:right="140" w:firstLine="521"/>
        <w:spacing w:after="0" w:line="244" w:lineRule="auto"/>
        <w:rPr>
          <w:sz w:val="20"/>
          <w:szCs w:val="20"/>
          <w:color w:val="auto"/>
        </w:rPr>
      </w:pPr>
      <w:r>
        <w:rPr>
          <w:rFonts w:ascii="Arial" w:cs="Arial" w:eastAsia="Arial" w:hAnsi="Arial"/>
          <w:sz w:val="17"/>
          <w:szCs w:val="17"/>
          <w:color w:val="auto"/>
        </w:rPr>
        <w:t>In addition, many of the factors that cause, or lead to, the termination or suspension of, or a delay in the commencement or completion of, clinical trials may also ultimately lead to the denial of regulatory approval of an ecDTx. Any delays to our clinical trials that occur as a result could shorten any period during which we may have the exclusive right to commercialize our ecDTx. In such cases, our competitors may be able to bring products to market before we do, and the commercial viability of our ecDTx could be significantly reduced. Any of these occurrences may harm our business, financial condition, results of operations, and prospects.</w:t>
      </w:r>
    </w:p>
    <w:p>
      <w:pPr>
        <w:spacing w:after="0" w:line="271" w:lineRule="exact"/>
        <w:rPr>
          <w:sz w:val="20"/>
          <w:szCs w:val="20"/>
          <w:color w:val="auto"/>
        </w:rPr>
      </w:pPr>
    </w:p>
    <w:p>
      <w:pPr>
        <w:ind w:left="420" w:right="560"/>
        <w:spacing w:after="0" w:line="280" w:lineRule="auto"/>
        <w:rPr>
          <w:sz w:val="20"/>
          <w:szCs w:val="20"/>
          <w:color w:val="auto"/>
        </w:rPr>
      </w:pPr>
      <w:r>
        <w:rPr>
          <w:rFonts w:ascii="Arial" w:cs="Arial" w:eastAsia="Arial" w:hAnsi="Arial"/>
          <w:sz w:val="17"/>
          <w:szCs w:val="17"/>
          <w:b w:val="1"/>
          <w:bCs w:val="1"/>
          <w:i w:val="1"/>
          <w:iCs w:val="1"/>
          <w:color w:val="auto"/>
        </w:rPr>
        <w:t>We may find it difficult to enroll patients in our clinical trials. If we encounter difficulties or delays enrolling patients in our clinical trials, our clinical development activities could be delayed or otherwise adversely affected.</w:t>
      </w:r>
    </w:p>
    <w:p>
      <w:pPr>
        <w:spacing w:after="0" w:line="29" w:lineRule="exact"/>
        <w:rPr>
          <w:sz w:val="20"/>
          <w:szCs w:val="20"/>
          <w:color w:val="auto"/>
        </w:rPr>
      </w:pPr>
    </w:p>
    <w:p>
      <w:pPr>
        <w:jc w:val="both"/>
        <w:ind w:left="420" w:right="180" w:firstLine="521"/>
        <w:spacing w:after="0" w:line="241" w:lineRule="auto"/>
        <w:rPr>
          <w:sz w:val="20"/>
          <w:szCs w:val="20"/>
          <w:color w:val="auto"/>
        </w:rPr>
      </w:pPr>
      <w:r>
        <w:rPr>
          <w:rFonts w:ascii="Arial" w:cs="Arial" w:eastAsia="Arial" w:hAnsi="Arial"/>
          <w:sz w:val="17"/>
          <w:szCs w:val="17"/>
          <w:color w:val="auto"/>
        </w:rPr>
        <w:t>Successful and timely completion of clinical trials will require that we identify and enroll a specified number of patients for each of our clinical trials. We may not be able to initiate or continue clinical trials for our ecDTx if we are unable to identify and enroll a sufficient number of eligible patients to participate in these trials as required by the FDA or similar regulatory authorities outside the United States.</w:t>
      </w:r>
    </w:p>
    <w:p>
      <w:pPr>
        <w:spacing w:after="0" w:line="2" w:lineRule="exact"/>
        <w:rPr>
          <w:sz w:val="20"/>
          <w:szCs w:val="20"/>
          <w:color w:val="auto"/>
        </w:rPr>
      </w:pPr>
    </w:p>
    <w:p>
      <w:pPr>
        <w:ind w:left="420"/>
        <w:spacing w:after="0" w:line="237" w:lineRule="auto"/>
        <w:rPr>
          <w:sz w:val="20"/>
          <w:szCs w:val="20"/>
          <w:color w:val="auto"/>
        </w:rPr>
      </w:pPr>
      <w:r>
        <w:rPr>
          <w:rFonts w:ascii="Arial" w:cs="Arial" w:eastAsia="Arial" w:hAnsi="Arial"/>
          <w:sz w:val="17"/>
          <w:szCs w:val="17"/>
          <w:color w:val="auto"/>
        </w:rPr>
        <w:t>Patient enrollment, a significant factor in the timing of clinical trials, is affected by many factors, including the size and characteristics of the patient population, the proximity of patients to clinical sites, the eligibility and exclusion criteria for the trial, the design of the clinical trial, the risk that enrolled patients will not complete a clinical trial, our ability to recruit clinical trial investigators with the appropriate competencies and experience, and competing clinical trials and clinicians’ and patients’ perceptions as to the potential advantages and risks of the ecDTx being studied in relation to other available therapies, including any new products that may be approved for the indications we are investigating as well as any product candidates under development. We will be required to identify and enroll a sufficient number of patients for each of our clinical trials and monitor such patients adequately during and after treatment. Potential patients for any planned clinical trials may not be adequately diagnosed or identified with the diseases which we are targeting, which could adversely impact the outcomes of our trials and could have safety concerns for the potential patients. Potential patients for any planned clinical trials may also not meet the entry criteria for such trials.</w:t>
      </w:r>
    </w:p>
    <w:p>
      <w:pPr>
        <w:spacing w:after="0" w:line="11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820"/>
          </w:cols>
          <w:pgMar w:left="320" w:top="439" w:right="7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firstLine="521"/>
        <w:spacing w:after="0" w:line="253" w:lineRule="auto"/>
        <w:rPr>
          <w:sz w:val="20"/>
          <w:szCs w:val="20"/>
          <w:color w:val="auto"/>
        </w:rPr>
      </w:pPr>
      <w:r>
        <w:rPr>
          <w:rFonts w:ascii="Arial" w:cs="Arial" w:eastAsia="Arial" w:hAnsi="Arial"/>
          <w:sz w:val="16"/>
          <w:szCs w:val="16"/>
          <w:color w:val="auto"/>
        </w:rPr>
        <w:t>In particular, because our ecDTx are focused on patients with tumors harboring oncogene amplifications on ecDNA, our ability to enroll eligible patients may be limited or take more time than we anticipate, due to the frequency of the biomarker we are seeking to target, or our ability to effectively identify such biomarker. We also may encounter difficulties in identifying and enrolling patients with the proper tumor characteristics or stage of disease appropriate for our planned clinical trials and monitoring such patients adequately during and after treatment. Additionally, other pharmaceutical companies targeting these same types of cancer are recruiting clinical trial patients from these patient populations, which may make it more difficult to fully enroll our clinical trials. The timing of our clinical trials depends, in part, on the speed at which we can recruit patients to participate in our trials, as well as completion of required follow-up periods. The eligibility criteria of our clinical trials, once established, may further limit the pool of available trial participants. If patients are unwilling or unable to participate in our trials for any reason, including the existence of concurrent clinical trials for similar target populations, the availability of approved therapies, or the fact that enrolling in our trials may prevent patients from taking a different product, or we otherwise have difficulty enrolling a sufficient number of patients, the timeline for recruiting patients, conducting trials, and obtaining regulatory approval of our ecDTx may be delayed. Additionally, because our clinical trials are in patients with relapsed/refractory cancer, the patients are typically in the late stages of their disease and may experience disease progression independent from our ecDTx, making them unevaluable for purposes of the clinical trial and requiring additional patient enrollment. Our inability to enroll a sufficient number of patients for any of our future clinical trials would result in significant delays or may require us to abandon one or more clinical trials altogether.</w:t>
      </w:r>
    </w:p>
    <w:p>
      <w:pPr>
        <w:spacing w:after="0" w:line="144" w:lineRule="exact"/>
        <w:rPr>
          <w:sz w:val="20"/>
          <w:szCs w:val="20"/>
          <w:color w:val="auto"/>
        </w:rPr>
      </w:pPr>
    </w:p>
    <w:p>
      <w:pPr>
        <w:ind w:left="420" w:right="20" w:firstLine="521"/>
        <w:spacing w:after="0" w:line="244" w:lineRule="auto"/>
        <w:rPr>
          <w:sz w:val="20"/>
          <w:szCs w:val="20"/>
          <w:color w:val="auto"/>
        </w:rPr>
      </w:pPr>
      <w:r>
        <w:rPr>
          <w:rFonts w:ascii="Arial" w:cs="Arial" w:eastAsia="Arial" w:hAnsi="Arial"/>
          <w:sz w:val="17"/>
          <w:szCs w:val="17"/>
          <w:color w:val="auto"/>
        </w:rPr>
        <w:t>In addition, we rely on, and will continue to rely on, CROs and clinical trial sites to ensure proper and timely enrollment of our clinical trials. Though we have entered into agreements governing their services, we have limited influence over their actual performance. We cannot be certain that our assumptions used in determining expected clinical trial timelines are correct, or that we will not experience delays or difficulties in enrollment, or be required by the FDA or other regulatory authority to increase our enrollment, which would result in the delay of completion of such trials beyond our expected timelines.</w:t>
      </w:r>
    </w:p>
    <w:p>
      <w:pPr>
        <w:spacing w:after="0" w:line="271" w:lineRule="exact"/>
        <w:rPr>
          <w:sz w:val="20"/>
          <w:szCs w:val="20"/>
          <w:color w:val="auto"/>
        </w:rPr>
      </w:pPr>
    </w:p>
    <w:p>
      <w:pPr>
        <w:ind w:left="420" w:right="40"/>
        <w:spacing w:after="0" w:line="250" w:lineRule="auto"/>
        <w:rPr>
          <w:sz w:val="20"/>
          <w:szCs w:val="20"/>
          <w:color w:val="auto"/>
        </w:rPr>
      </w:pPr>
      <w:r>
        <w:rPr>
          <w:rFonts w:ascii="Arial" w:cs="Arial" w:eastAsia="Arial" w:hAnsi="Arial"/>
          <w:sz w:val="17"/>
          <w:szCs w:val="17"/>
          <w:b w:val="1"/>
          <w:bCs w:val="1"/>
          <w:i w:val="1"/>
          <w:iCs w:val="1"/>
          <w:color w:val="auto"/>
        </w:rPr>
        <w:t>Use of our ecDTx could be associated with side effects, adverse events, or other properties or safety risks, which could delay or preclude regulatory approval, cause us to suspend or discontinue clinical trials, abandon an ecDTx, limit the commercial profile of an approved label, or result in other significant negative consequences that could severely harm our business, financial condition, results of operations, and prospects.</w:t>
      </w:r>
    </w:p>
    <w:p>
      <w:pPr>
        <w:spacing w:after="0" w:line="54" w:lineRule="exact"/>
        <w:rPr>
          <w:sz w:val="20"/>
          <w:szCs w:val="20"/>
          <w:color w:val="auto"/>
        </w:rPr>
      </w:pPr>
    </w:p>
    <w:p>
      <w:pPr>
        <w:ind w:left="420" w:right="100" w:firstLine="521"/>
        <w:spacing w:after="0" w:line="241" w:lineRule="auto"/>
        <w:rPr>
          <w:sz w:val="20"/>
          <w:szCs w:val="20"/>
          <w:color w:val="auto"/>
        </w:rPr>
      </w:pPr>
      <w:r>
        <w:rPr>
          <w:rFonts w:ascii="Arial" w:cs="Arial" w:eastAsia="Arial" w:hAnsi="Arial"/>
          <w:sz w:val="17"/>
          <w:szCs w:val="17"/>
          <w:color w:val="auto"/>
        </w:rPr>
        <w:t>As is the case with oncology drugs generally, it is likely that there may be side effects and adverse events associated with use of our ecDTx. Results of our clinical trials could reveal a high and unacceptable severity and prevalence of expected or unexpected side effects or unexpected characteristics. Undesirable side effects caused by our ecDTx when used alone or in combination with approved or investigational drugs could cause us or regulatory authorities to interrupt, delay, or halt clinical trials and could result in a more restrictive label, or lead to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results of operations, and prospects significantly.</w:t>
      </w:r>
    </w:p>
    <w:p>
      <w:pPr>
        <w:spacing w:after="0" w:line="134" w:lineRule="exact"/>
        <w:rPr>
          <w:sz w:val="20"/>
          <w:szCs w:val="20"/>
          <w:color w:val="auto"/>
        </w:rPr>
      </w:pPr>
    </w:p>
    <w:p>
      <w:pPr>
        <w:ind w:left="420" w:right="100" w:firstLine="521"/>
        <w:spacing w:after="0" w:line="244" w:lineRule="auto"/>
        <w:rPr>
          <w:sz w:val="20"/>
          <w:szCs w:val="20"/>
          <w:color w:val="auto"/>
        </w:rPr>
      </w:pPr>
      <w:r>
        <w:rPr>
          <w:rFonts w:ascii="Arial" w:cs="Arial" w:eastAsia="Arial" w:hAnsi="Arial"/>
          <w:sz w:val="17"/>
          <w:szCs w:val="17"/>
          <w:color w:val="auto"/>
        </w:rPr>
        <w:t>Moreover, if our ecDTx are associated with undesirable side effects in clinical trials or demonstrate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ecDTx if approved. Unacceptable enhancement of certain toxicities may be seen when our ecDTx are combined with standard of care therapies, or when</w:t>
      </w:r>
    </w:p>
    <w:p>
      <w:pPr>
        <w:spacing w:after="0" w:line="105"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820"/>
          </w:cols>
          <w:pgMar w:left="320" w:top="439" w:right="7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320"/>
        <w:spacing w:after="0" w:line="252" w:lineRule="auto"/>
        <w:rPr>
          <w:sz w:val="20"/>
          <w:szCs w:val="20"/>
          <w:color w:val="auto"/>
        </w:rPr>
      </w:pPr>
      <w:r>
        <w:rPr>
          <w:rFonts w:ascii="Arial" w:cs="Arial" w:eastAsia="Arial" w:hAnsi="Arial"/>
          <w:sz w:val="17"/>
          <w:szCs w:val="17"/>
          <w:color w:val="auto"/>
        </w:rPr>
        <w:t>they are used as single agents. We may also be required to modify our development and clinical trial plans based on findings in our ongoing clinical trials. Many compounds that initially showed promise in early-stage testing for treating cancer have later been found to cause side effects that prevented further development of the compounds.</w:t>
      </w:r>
    </w:p>
    <w:p>
      <w:pPr>
        <w:spacing w:after="0" w:line="138" w:lineRule="exact"/>
        <w:rPr>
          <w:sz w:val="20"/>
          <w:szCs w:val="20"/>
          <w:color w:val="auto"/>
        </w:rPr>
      </w:pPr>
    </w:p>
    <w:p>
      <w:pPr>
        <w:ind w:left="420" w:right="20" w:firstLine="521"/>
        <w:spacing w:after="0" w:line="244" w:lineRule="auto"/>
        <w:rPr>
          <w:sz w:val="20"/>
          <w:szCs w:val="20"/>
          <w:color w:val="auto"/>
        </w:rPr>
      </w:pPr>
      <w:r>
        <w:rPr>
          <w:rFonts w:ascii="Arial" w:cs="Arial" w:eastAsia="Arial" w:hAnsi="Arial"/>
          <w:sz w:val="17"/>
          <w:szCs w:val="17"/>
          <w:color w:val="auto"/>
        </w:rPr>
        <w:t>It is possible that as we test our ecDTx in larger, longer, and more extensive clinical trials, including with different dosing regimens, or as the use of these ecDTx becomes more widespread following any regulatory approval, more illnesses, injuries, discomforts, and other adverse events than were observed in earlier trials, as well as new conditions that did not occur or went undetected in previous trials, may be discovered. If such side effects become known later in development or upon approval, if any, such findings may harm our business, financial condition, and prospects significantly.</w:t>
      </w:r>
    </w:p>
    <w:p>
      <w:pPr>
        <w:spacing w:after="0" w:line="131" w:lineRule="exact"/>
        <w:rPr>
          <w:sz w:val="20"/>
          <w:szCs w:val="20"/>
          <w:color w:val="auto"/>
        </w:rPr>
      </w:pPr>
    </w:p>
    <w:p>
      <w:pPr>
        <w:ind w:left="420" w:right="80" w:firstLine="521"/>
        <w:spacing w:after="0" w:line="242" w:lineRule="auto"/>
        <w:rPr>
          <w:sz w:val="20"/>
          <w:szCs w:val="20"/>
          <w:color w:val="auto"/>
        </w:rPr>
      </w:pPr>
      <w:r>
        <w:rPr>
          <w:rFonts w:ascii="Arial" w:cs="Arial" w:eastAsia="Arial" w:hAnsi="Arial"/>
          <w:sz w:val="17"/>
          <w:szCs w:val="17"/>
          <w:color w:val="auto"/>
        </w:rPr>
        <w:t>In addition, we plan to study our ecDTx in combination with other therapies, which may exacerbate adverse events associated with such ecDTx. Patients treated with our ecDTx may also be undergoing surgical, radiation, and/or chemotherapy treatments, which can cause side effects or adverse events that are unrelated to our ecDTx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we expect that some of the patients enrolled in our clinical trials will die or experience major clinical events either during the course of our clinical trials or after participating in such trials.</w:t>
      </w:r>
    </w:p>
    <w:p>
      <w:pPr>
        <w:spacing w:after="0" w:line="133" w:lineRule="exact"/>
        <w:rPr>
          <w:sz w:val="20"/>
          <w:szCs w:val="20"/>
          <w:color w:val="auto"/>
        </w:rPr>
      </w:pPr>
    </w:p>
    <w:p>
      <w:pPr>
        <w:ind w:left="420" w:firstLine="521"/>
        <w:spacing w:after="0" w:line="270" w:lineRule="auto"/>
        <w:rPr>
          <w:sz w:val="20"/>
          <w:szCs w:val="20"/>
          <w:color w:val="auto"/>
        </w:rPr>
      </w:pPr>
      <w:r>
        <w:rPr>
          <w:rFonts w:ascii="Arial" w:cs="Arial" w:eastAsia="Arial" w:hAnsi="Arial"/>
          <w:sz w:val="17"/>
          <w:szCs w:val="17"/>
          <w:color w:val="auto"/>
        </w:rPr>
        <w:t>In addition, if one or more of our ecDTx receives regulatory approval, and we or others later identify undesirable side effects caused by such product, a number of potentially significant negative consequences could result, including:</w:t>
      </w:r>
    </w:p>
    <w:p>
      <w:pPr>
        <w:spacing w:after="0" w:line="58" w:lineRule="exact"/>
        <w:rPr>
          <w:sz w:val="20"/>
          <w:szCs w:val="20"/>
          <w:color w:val="auto"/>
        </w:rPr>
      </w:pPr>
    </w:p>
    <w:p>
      <w:pPr>
        <w:ind w:left="1660" w:right="720" w:hanging="418"/>
        <w:spacing w:after="0" w:line="270" w:lineRule="auto"/>
        <w:tabs>
          <w:tab w:leader="none" w:pos="1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regulatory authorities may withdraw, suspend, or limit approvals of such product, or seek an injunction against its manufacture or distribution;</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be required to recall a product or change the way such product is administered to patients;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regulatory authorities may require additional warnings on the label, such as a “black box” warning or a contraindication;</w:t>
      </w:r>
    </w:p>
    <w:p>
      <w:pPr>
        <w:spacing w:after="0" w:line="111" w:lineRule="exact"/>
        <w:rPr>
          <w:rFonts w:ascii="Arial" w:cs="Arial" w:eastAsia="Arial" w:hAnsi="Arial"/>
          <w:sz w:val="17"/>
          <w:szCs w:val="17"/>
          <w:color w:val="auto"/>
        </w:rPr>
      </w:pPr>
    </w:p>
    <w:p>
      <w:pPr>
        <w:ind w:left="1660" w:right="680" w:hanging="418"/>
        <w:spacing w:after="0" w:line="270" w:lineRule="auto"/>
        <w:tabs>
          <w:tab w:leader="none" w:pos="1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be required to implement a Risk Evaluation and Mitigation Strategy (REMS) or create a medication guide outlining the risks of such side effects for distribution to patients;</w:t>
      </w:r>
    </w:p>
    <w:p>
      <w:pPr>
        <w:spacing w:after="0" w:line="58" w:lineRule="exact"/>
        <w:rPr>
          <w:rFonts w:ascii="Arial" w:cs="Arial" w:eastAsia="Arial" w:hAnsi="Arial"/>
          <w:sz w:val="17"/>
          <w:szCs w:val="17"/>
          <w:color w:val="auto"/>
        </w:rPr>
      </w:pPr>
    </w:p>
    <w:p>
      <w:pPr>
        <w:ind w:left="1660" w:right="600" w:hanging="418"/>
        <w:spacing w:after="0" w:line="270" w:lineRule="auto"/>
        <w:tabs>
          <w:tab w:leader="none" w:pos="1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be required to change the way a product is distributed or administered, conduct additional clinical trials, or change the labeling of a product or be required to conduct additional post-marketing studies or surveillance;</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could be sued and held liable for harm caused to patients;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sales of the product may decrease significantly or the product could become less competitive; and</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reputation may suffer.</w:t>
      </w:r>
    </w:p>
    <w:p>
      <w:pPr>
        <w:spacing w:after="0" w:line="175" w:lineRule="exact"/>
        <w:rPr>
          <w:sz w:val="20"/>
          <w:szCs w:val="20"/>
          <w:color w:val="auto"/>
        </w:rPr>
      </w:pPr>
    </w:p>
    <w:p>
      <w:pPr>
        <w:ind w:left="420" w:right="280" w:firstLine="521"/>
        <w:spacing w:after="0" w:line="270" w:lineRule="auto"/>
        <w:rPr>
          <w:sz w:val="20"/>
          <w:szCs w:val="20"/>
          <w:color w:val="auto"/>
        </w:rPr>
      </w:pPr>
      <w:r>
        <w:rPr>
          <w:rFonts w:ascii="Arial" w:cs="Arial" w:eastAsia="Arial" w:hAnsi="Arial"/>
          <w:sz w:val="17"/>
          <w:szCs w:val="17"/>
          <w:color w:val="auto"/>
        </w:rPr>
        <w:t>Any of these events could prevent us from achieving or maintaining market acceptance of the particular ecDTx, if approved, and could significantly harm our business, results of operations, and prospects.</w:t>
      </w:r>
    </w:p>
    <w:p>
      <w:pPr>
        <w:spacing w:after="0" w:line="25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As an organization, we have never completed any clinical trials and may be unable to do so for any of our ecDTx.</w:t>
      </w:r>
    </w:p>
    <w:p>
      <w:pPr>
        <w:spacing w:after="0" w:line="98" w:lineRule="exact"/>
        <w:rPr>
          <w:sz w:val="20"/>
          <w:szCs w:val="20"/>
          <w:color w:val="auto"/>
        </w:rPr>
      </w:pPr>
    </w:p>
    <w:p>
      <w:pPr>
        <w:ind w:left="420" w:right="280" w:firstLine="521"/>
        <w:spacing w:after="0" w:line="270" w:lineRule="auto"/>
        <w:rPr>
          <w:sz w:val="20"/>
          <w:szCs w:val="20"/>
          <w:color w:val="auto"/>
        </w:rPr>
      </w:pPr>
      <w:r>
        <w:rPr>
          <w:rFonts w:ascii="Arial" w:cs="Arial" w:eastAsia="Arial" w:hAnsi="Arial"/>
          <w:sz w:val="17"/>
          <w:szCs w:val="17"/>
          <w:color w:val="auto"/>
        </w:rPr>
        <w:t>We are early in our development efforts for our ecDTx, have never completed any clinical trials, and we will need to successfully complete our ongoing and later-stage and pivotal clinical trials in order</w:t>
      </w:r>
    </w:p>
    <w:p>
      <w:pPr>
        <w:spacing w:after="0" w:line="8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840"/>
          </w:cols>
          <w:pgMar w:left="320" w:top="439" w:right="7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both"/>
        <w:ind w:left="420" w:right="20"/>
        <w:spacing w:after="0" w:line="241" w:lineRule="auto"/>
        <w:rPr>
          <w:sz w:val="20"/>
          <w:szCs w:val="20"/>
          <w:color w:val="auto"/>
        </w:rPr>
      </w:pPr>
      <w:r>
        <w:rPr>
          <w:rFonts w:ascii="Arial" w:cs="Arial" w:eastAsia="Arial" w:hAnsi="Arial"/>
          <w:sz w:val="17"/>
          <w:szCs w:val="17"/>
          <w:color w:val="auto"/>
        </w:rPr>
        <w:t>to obtain FDA or comparable foreign regulatory approval to market our ecDTx. Carrying out later-stage clinical trials and the submission of a successful NDA is a complicated process. We are currently conducting our first Phase 1/2 clinical trial for BBI-355 and recently initiated our first Phase 1/2 clinical trial for BBI-825. We have not yet conducted any clinical trials for our other ecDTx or development programs.</w:t>
      </w:r>
    </w:p>
    <w:p>
      <w:pPr>
        <w:spacing w:after="0" w:line="2" w:lineRule="exact"/>
        <w:rPr>
          <w:sz w:val="20"/>
          <w:szCs w:val="20"/>
          <w:color w:val="auto"/>
        </w:rPr>
      </w:pPr>
    </w:p>
    <w:p>
      <w:pPr>
        <w:ind w:left="420"/>
        <w:spacing w:after="0" w:line="237" w:lineRule="auto"/>
        <w:rPr>
          <w:sz w:val="20"/>
          <w:szCs w:val="20"/>
          <w:color w:val="auto"/>
        </w:rPr>
      </w:pPr>
      <w:r>
        <w:rPr>
          <w:rFonts w:ascii="Arial" w:cs="Arial" w:eastAsia="Arial" w:hAnsi="Arial"/>
          <w:sz w:val="17"/>
          <w:szCs w:val="17"/>
          <w:color w:val="auto"/>
        </w:rPr>
        <w:t>We have limited experience as a company in preparing and submitting marketing applications and have not previously submitted an NDA or other comparable foreign regulatory submission for any ecDTx. In addition, as a company, we have had limited interactions with the FDA and no interaction with other comparable foreign regulatory authorities and cannot be certain how many additional clinical trials of our ecDTx will be required or how such trials should be designed. Consequently, we may be unable to successfully and efficiently execute and complete necessary clinical trials in a way that leads to submission and regulatory approval of any of our ecDTx. We may require more time and incur greater costs than our competitors and may not succeed in obtaining regulatory approvals of ecDTx that we develop. Failure to commence or complete, or delays in, our planned clinical trials could prevent us from or delay us in submitting marketing applications, including NDAs, for and commercializing our ecDTx.</w:t>
      </w:r>
    </w:p>
    <w:p>
      <w:pPr>
        <w:spacing w:after="0" w:line="280" w:lineRule="exact"/>
        <w:rPr>
          <w:sz w:val="20"/>
          <w:szCs w:val="20"/>
          <w:color w:val="auto"/>
        </w:rPr>
      </w:pPr>
    </w:p>
    <w:p>
      <w:pPr>
        <w:ind w:left="420" w:right="440"/>
        <w:spacing w:after="0" w:line="280" w:lineRule="auto"/>
        <w:rPr>
          <w:sz w:val="20"/>
          <w:szCs w:val="20"/>
          <w:color w:val="auto"/>
        </w:rPr>
      </w:pPr>
      <w:r>
        <w:rPr>
          <w:rFonts w:ascii="Arial" w:cs="Arial" w:eastAsia="Arial" w:hAnsi="Arial"/>
          <w:sz w:val="17"/>
          <w:szCs w:val="17"/>
          <w:b w:val="1"/>
          <w:bCs w:val="1"/>
          <w:i w:val="1"/>
          <w:iCs w:val="1"/>
          <w:color w:val="auto"/>
        </w:rPr>
        <w:t>If we are unable to successfully develop an ecDNA diagnostic to enable patient selection for our ecDTx, or if we experience significant delays in doing so, we may not realize the full commercial potential of our ecDTx.</w:t>
      </w:r>
    </w:p>
    <w:p>
      <w:pPr>
        <w:spacing w:after="0" w:line="29" w:lineRule="exact"/>
        <w:rPr>
          <w:sz w:val="20"/>
          <w:szCs w:val="20"/>
          <w:color w:val="auto"/>
        </w:rPr>
      </w:pPr>
    </w:p>
    <w:p>
      <w:pPr>
        <w:ind w:left="420" w:right="120" w:firstLine="521"/>
        <w:spacing w:after="0"/>
        <w:rPr>
          <w:sz w:val="20"/>
          <w:szCs w:val="20"/>
          <w:color w:val="auto"/>
        </w:rPr>
      </w:pPr>
      <w:r>
        <w:rPr>
          <w:rFonts w:ascii="Arial" w:cs="Arial" w:eastAsia="Arial" w:hAnsi="Arial"/>
          <w:sz w:val="17"/>
          <w:szCs w:val="17"/>
          <w:color w:val="auto"/>
        </w:rPr>
        <w:t xml:space="preserve">A key component of our strategy will be our ability to identify patients with tumors harboring oncogene amplifications on ecDNA from genomic data obtained through next generation sequencing of patient tumor samples. Identification of these patients will require the development and use of an ecDNA diagnostic assay. We have engaged a third-party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company to develop our ecDNA diagnostic as a clinical trial assay for use during our Phase 1/2 POTENTIATE clinical trial of BBI-355. We may continue to work with this company on this, and/or other ecDNA diagnostic assays in the future, or we may choose to work with other third-party diagnostic developers. We may have difficulty in maintaining our relationship with our current third-party diagnostic developer or establishing or maintaining relationships with other third-party diagnostic development companies in the future, and we may face competition from other companies in establishing these relationships.</w:t>
      </w:r>
    </w:p>
    <w:p>
      <w:pPr>
        <w:spacing w:after="0" w:line="148" w:lineRule="exact"/>
        <w:rPr>
          <w:sz w:val="20"/>
          <w:szCs w:val="20"/>
          <w:color w:val="auto"/>
        </w:rPr>
      </w:pPr>
    </w:p>
    <w:p>
      <w:pPr>
        <w:ind w:left="420" w:right="160" w:firstLine="521"/>
        <w:spacing w:after="0" w:line="242" w:lineRule="auto"/>
        <w:rPr>
          <w:sz w:val="20"/>
          <w:szCs w:val="20"/>
          <w:color w:val="auto"/>
        </w:rPr>
      </w:pPr>
      <w:r>
        <w:rPr>
          <w:rFonts w:ascii="Arial" w:cs="Arial" w:eastAsia="Arial" w:hAnsi="Arial"/>
          <w:sz w:val="17"/>
          <w:szCs w:val="17"/>
          <w:color w:val="auto"/>
        </w:rPr>
        <w:t>There are also several risks associated with the development of an ecDNA diagnostic assay. We may not be able to identify predictive biomarkers to identify patients whose tumors harbor oncogene amplifications on ecDNA. We may not be able to validate an ecDNA diagnostic and the related biomarkers or their functional relevance clinically. Potential biomarkers, even if validated preclinically, may not be functionally validated in human clinical trials. Any failure by us or our third-party diagnostic developer to successfully develop or obtain marketing authorization for an ecDNA diagnostic assay, or any delays in doing so, may harm the commercial prospects of our ecDTx.</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We intend to develop our ecDTx in combination with other therapies, which exposes us to additional risks.</w:t>
      </w:r>
    </w:p>
    <w:p>
      <w:pPr>
        <w:spacing w:after="0" w:line="162" w:lineRule="exact"/>
        <w:rPr>
          <w:sz w:val="20"/>
          <w:szCs w:val="20"/>
          <w:color w:val="auto"/>
        </w:rPr>
      </w:pPr>
    </w:p>
    <w:p>
      <w:pPr>
        <w:ind w:left="420" w:right="200" w:firstLine="521"/>
        <w:spacing w:after="0"/>
        <w:rPr>
          <w:sz w:val="20"/>
          <w:szCs w:val="20"/>
          <w:color w:val="auto"/>
        </w:rPr>
      </w:pPr>
      <w:r>
        <w:rPr>
          <w:rFonts w:ascii="Arial" w:cs="Arial" w:eastAsia="Arial" w:hAnsi="Arial"/>
          <w:sz w:val="17"/>
          <w:szCs w:val="17"/>
          <w:color w:val="auto"/>
        </w:rPr>
        <w:t>We intend to develop our current and any future ecDTx for use in combination with one or more currently approved cancer therapies. Even if any ecDTx we develop was to receive regulatory approval or be commercialized for use in combination with other existing therapies, we would continue to bear the risks that the FDA or similar foreign regulatory authorities could revoke approval of the therapy used in combination with our ecDTx or that safety, efficacy, manufacturing, or supply issues could arise with these existing therapies. Combination therapies are commonly used for the treatment of cancer, and we would be subject to similar risks if we develop any of our ecDTx for use in combination with other drugs or biologics or for indications other than cancer. Developing combination therapies using approved therapeutics, as we plan to do for our ecDTx, also exposes us to additional clinical risks, such as the requirement that we demonstrate the safety and efficacy of each active component of any combination regimen we may develop.</w:t>
      </w:r>
    </w:p>
    <w:p>
      <w:pPr>
        <w:spacing w:after="0" w:line="11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820"/>
          </w:cols>
          <w:pgMar w:left="320" w:top="439" w:right="7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180" w:firstLine="521"/>
        <w:spacing w:after="0" w:line="252" w:lineRule="auto"/>
        <w:rPr>
          <w:sz w:val="20"/>
          <w:szCs w:val="20"/>
          <w:color w:val="auto"/>
        </w:rPr>
      </w:pPr>
      <w:r>
        <w:rPr>
          <w:rFonts w:ascii="Arial" w:cs="Arial" w:eastAsia="Arial" w:hAnsi="Arial"/>
          <w:sz w:val="17"/>
          <w:szCs w:val="17"/>
          <w:color w:val="auto"/>
        </w:rPr>
        <w:t>If the FDA or similar foreign regulatory authorities revoke the approval of combination agents, or if safety, efficacy, manufacturing, or supply issues arise with the drugs we choose to evaluate in combination with our ecDTx, we may be unable to obtain approval of or market our ecDTx for combination therapy regimens.</w:t>
      </w:r>
    </w:p>
    <w:p>
      <w:pPr>
        <w:spacing w:after="0" w:line="138" w:lineRule="exact"/>
        <w:rPr>
          <w:sz w:val="20"/>
          <w:szCs w:val="20"/>
          <w:color w:val="auto"/>
        </w:rPr>
      </w:pPr>
    </w:p>
    <w:p>
      <w:pPr>
        <w:ind w:left="420" w:right="120" w:firstLine="521"/>
        <w:spacing w:after="0" w:line="247" w:lineRule="auto"/>
        <w:rPr>
          <w:sz w:val="20"/>
          <w:szCs w:val="20"/>
          <w:color w:val="auto"/>
        </w:rPr>
      </w:pPr>
      <w:r>
        <w:rPr>
          <w:rFonts w:ascii="Arial" w:cs="Arial" w:eastAsia="Arial" w:hAnsi="Arial"/>
          <w:sz w:val="17"/>
          <w:szCs w:val="17"/>
          <w:color w:val="auto"/>
        </w:rPr>
        <w:t>Additionally, if the third-party providers of therapies or therapies in development used in combination with our ecDTx are unable to produce sufficient quantities for clinical trials or for commercialization of our ecDTx, or if the cost of combination therapies are prohibitive, our development and commercialization efforts would be impaired, which would have an adverse effect on our business, financial condition, results of operations, and prospects.</w:t>
      </w:r>
    </w:p>
    <w:p>
      <w:pPr>
        <w:spacing w:after="0" w:line="269" w:lineRule="exact"/>
        <w:rPr>
          <w:sz w:val="20"/>
          <w:szCs w:val="20"/>
          <w:color w:val="auto"/>
        </w:rPr>
      </w:pPr>
    </w:p>
    <w:p>
      <w:pPr>
        <w:ind w:left="420" w:right="220"/>
        <w:spacing w:after="0" w:line="280" w:lineRule="auto"/>
        <w:rPr>
          <w:sz w:val="20"/>
          <w:szCs w:val="20"/>
          <w:color w:val="auto"/>
        </w:rPr>
      </w:pPr>
      <w:r>
        <w:rPr>
          <w:rFonts w:ascii="Arial" w:cs="Arial" w:eastAsia="Arial" w:hAnsi="Arial"/>
          <w:sz w:val="17"/>
          <w:szCs w:val="17"/>
          <w:b w:val="1"/>
          <w:bCs w:val="1"/>
          <w:i w:val="1"/>
          <w:iCs w:val="1"/>
          <w:color w:val="auto"/>
        </w:rPr>
        <w:t>We may expend our limited resources to pursue a particular ecDTx or a particular indication for an ecDTx and fail to capitalize on ecDTx or indications that may be more profitable or for which there is a greater likelihood of success.</w:t>
      </w:r>
    </w:p>
    <w:p>
      <w:pPr>
        <w:spacing w:after="0" w:line="29" w:lineRule="exact"/>
        <w:rPr>
          <w:sz w:val="20"/>
          <w:szCs w:val="20"/>
          <w:color w:val="auto"/>
        </w:rPr>
      </w:pPr>
    </w:p>
    <w:p>
      <w:pPr>
        <w:ind w:left="420" w:firstLine="521"/>
        <w:spacing w:after="0"/>
        <w:rPr>
          <w:sz w:val="20"/>
          <w:szCs w:val="20"/>
          <w:color w:val="auto"/>
        </w:rPr>
      </w:pPr>
      <w:r>
        <w:rPr>
          <w:rFonts w:ascii="Arial" w:cs="Arial" w:eastAsia="Arial" w:hAnsi="Arial"/>
          <w:sz w:val="17"/>
          <w:szCs w:val="17"/>
          <w:color w:val="auto"/>
        </w:rPr>
        <w:t>Because we have limited financial and managerial resources, we focus on specific ecDTx, development programs, and indications. As a result, we may forgo or delay pursuit of opportunities with other ecDTx that could have had greater commercial potential. Our resource allocation and other decisions may cause us to fail to identify and capitalize on viable potential ecDTx or additional indications for our ecDTx or other profitable market opportunities. Our spending on current and future research and development programs and ecDTx for specific indications may not yield any commercially viable ecDTx. If we do not accurately evaluate the commercial potential or target market for a particular indication or ecDTx, we may relinquish valuable rights to that ecDTx through collaborations, licenses, and other similar arrangements in cases in which it would have been more advantageous for us to retain sole development and commercialization rights to such ecDTx.</w:t>
      </w:r>
    </w:p>
    <w:p>
      <w:pPr>
        <w:spacing w:after="0" w:line="276" w:lineRule="exact"/>
        <w:rPr>
          <w:sz w:val="20"/>
          <w:szCs w:val="20"/>
          <w:color w:val="auto"/>
        </w:rPr>
      </w:pPr>
    </w:p>
    <w:p>
      <w:pPr>
        <w:ind w:left="420"/>
        <w:spacing w:after="0" w:line="257" w:lineRule="auto"/>
        <w:rPr>
          <w:sz w:val="20"/>
          <w:szCs w:val="20"/>
          <w:color w:val="auto"/>
        </w:rPr>
      </w:pPr>
      <w:r>
        <w:rPr>
          <w:rFonts w:ascii="Arial" w:cs="Arial" w:eastAsia="Arial" w:hAnsi="Arial"/>
          <w:sz w:val="17"/>
          <w:szCs w:val="17"/>
          <w:b w:val="1"/>
          <w:bCs w:val="1"/>
          <w:i w:val="1"/>
          <w:iCs w:val="1"/>
          <w:color w:val="auto"/>
        </w:rPr>
        <w:t>We may in the future conduct certain of our clinical trials for our ecDTx outside of the United States. However, the FDA and other foreign equivalents may not accept data from such trials, in which case our development plans will be delayed, which could materially harm our business.</w:t>
      </w:r>
    </w:p>
    <w:p>
      <w:pPr>
        <w:spacing w:after="0" w:line="49" w:lineRule="exact"/>
        <w:rPr>
          <w:sz w:val="20"/>
          <w:szCs w:val="20"/>
          <w:color w:val="auto"/>
        </w:rPr>
      </w:pPr>
    </w:p>
    <w:p>
      <w:pPr>
        <w:ind w:left="420" w:right="20" w:firstLine="521"/>
        <w:spacing w:after="0" w:line="238" w:lineRule="auto"/>
        <w:rPr>
          <w:sz w:val="20"/>
          <w:szCs w:val="20"/>
          <w:color w:val="auto"/>
        </w:rPr>
      </w:pPr>
      <w:r>
        <w:rPr>
          <w:rFonts w:ascii="Arial" w:cs="Arial" w:eastAsia="Arial" w:hAnsi="Arial"/>
          <w:sz w:val="17"/>
          <w:szCs w:val="17"/>
          <w:color w:val="auto"/>
        </w:rPr>
        <w:t>We may in the future conduct one or more of our clinical trials for our ecDTx outside the United States.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regulatory approval in the United States, the FDA will generally not approve the application on the basis of foreign data alone unless the data are applicable to the United States population and United States medical practice; the trials were performed by clinical investigators of recognized competence and pursuant to GCP regulations; and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relevant study was not conducted pursuant to an IND, the FDA will not accept the data as support for a marketing application unless the study was 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There can be no assurance the FDA will accept data from clinical trials conducted outside of the United States. If the FDA does not accept data from our clinical trials of our ecDTx, it would likely result in the need for additional clinical trials, which would be costly and time-consuming and delay or permanently halt our development of our ecDTx.</w:t>
      </w:r>
    </w:p>
    <w:p>
      <w:pPr>
        <w:spacing w:after="0" w:line="135" w:lineRule="exact"/>
        <w:rPr>
          <w:sz w:val="20"/>
          <w:szCs w:val="20"/>
          <w:color w:val="auto"/>
        </w:rPr>
      </w:pPr>
    </w:p>
    <w:p>
      <w:pPr>
        <w:ind w:left="940"/>
        <w:spacing w:after="0"/>
        <w:rPr>
          <w:sz w:val="20"/>
          <w:szCs w:val="20"/>
          <w:color w:val="auto"/>
        </w:rPr>
      </w:pPr>
      <w:r>
        <w:rPr>
          <w:rFonts w:ascii="Arial" w:cs="Arial" w:eastAsia="Arial" w:hAnsi="Arial"/>
          <w:sz w:val="17"/>
          <w:szCs w:val="17"/>
          <w:color w:val="auto"/>
        </w:rPr>
        <w:t>Conducting clinical trials outside the United States also exposes us to additional risks, including risks associated with:</w:t>
      </w:r>
    </w:p>
    <w:p>
      <w:pPr>
        <w:spacing w:after="0" w:line="201" w:lineRule="exact"/>
        <w:rPr>
          <w:sz w:val="20"/>
          <w:szCs w:val="20"/>
          <w:color w:val="auto"/>
        </w:rPr>
      </w:pPr>
    </w:p>
    <w:p>
      <w:pPr>
        <w:ind w:left="1660" w:hanging="418"/>
        <w:spacing w:after="0"/>
        <w:tabs>
          <w:tab w:leader="none" w:pos="1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additional foreign regulatory requirements;</w:t>
      </w:r>
    </w:p>
    <w:p>
      <w:pPr>
        <w:spacing w:after="0" w:line="13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820"/>
          </w:cols>
          <w:pgMar w:left="320" w:top="439" w:right="7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1660" w:hanging="418"/>
        <w:spacing w:after="0"/>
        <w:tabs>
          <w:tab w:leader="none" w:pos="1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foreign exchange fluctuations;</w:t>
      </w:r>
    </w:p>
    <w:p>
      <w:pPr>
        <w:spacing w:after="0" w:line="200" w:lineRule="exact"/>
        <w:rPr>
          <w:rFonts w:ascii="Arial" w:cs="Arial" w:eastAsia="Arial" w:hAnsi="Arial"/>
          <w:sz w:val="17"/>
          <w:szCs w:val="17"/>
          <w:color w:val="auto"/>
        </w:rPr>
      </w:pPr>
    </w:p>
    <w:p>
      <w:pPr>
        <w:ind w:left="1660" w:hanging="418"/>
        <w:spacing w:after="0"/>
        <w:tabs>
          <w:tab w:leader="none" w:pos="1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compliance with foreign manufacturing, customs, shipment, and storage requirements;</w:t>
      </w:r>
    </w:p>
    <w:p>
      <w:pPr>
        <w:spacing w:after="0" w:line="200" w:lineRule="exact"/>
        <w:rPr>
          <w:rFonts w:ascii="Arial" w:cs="Arial" w:eastAsia="Arial" w:hAnsi="Arial"/>
          <w:sz w:val="17"/>
          <w:szCs w:val="17"/>
          <w:color w:val="auto"/>
        </w:rPr>
      </w:pPr>
    </w:p>
    <w:p>
      <w:pPr>
        <w:ind w:left="1660" w:hanging="418"/>
        <w:spacing w:after="0"/>
        <w:tabs>
          <w:tab w:leader="none" w:pos="1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inconsistent standards for reporting and evaluating clinical data and adverse events;</w:t>
      </w:r>
    </w:p>
    <w:p>
      <w:pPr>
        <w:spacing w:after="0" w:line="200" w:lineRule="exact"/>
        <w:rPr>
          <w:rFonts w:ascii="Arial" w:cs="Arial" w:eastAsia="Arial" w:hAnsi="Arial"/>
          <w:sz w:val="17"/>
          <w:szCs w:val="17"/>
          <w:color w:val="auto"/>
        </w:rPr>
      </w:pPr>
    </w:p>
    <w:p>
      <w:pPr>
        <w:ind w:left="1660" w:hanging="418"/>
        <w:spacing w:after="0"/>
        <w:tabs>
          <w:tab w:leader="none" w:pos="1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diminished protection of intellectual property in some countries; and</w:t>
      </w:r>
    </w:p>
    <w:p>
      <w:pPr>
        <w:spacing w:after="0" w:line="111" w:lineRule="exact"/>
        <w:rPr>
          <w:rFonts w:ascii="Arial" w:cs="Arial" w:eastAsia="Arial" w:hAnsi="Arial"/>
          <w:sz w:val="17"/>
          <w:szCs w:val="17"/>
          <w:color w:val="auto"/>
        </w:rPr>
      </w:pPr>
    </w:p>
    <w:p>
      <w:pPr>
        <w:ind w:left="1660" w:right="800" w:hanging="418"/>
        <w:spacing w:after="0" w:line="270" w:lineRule="auto"/>
        <w:tabs>
          <w:tab w:leader="none" w:pos="1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public health concerns or political instability, civil unrest, war, or similar events that may jeopardize our ability to commence, conduct, or complete a clinical trial and evaluate resulting data.</w:t>
      </w:r>
    </w:p>
    <w:p>
      <w:pPr>
        <w:spacing w:after="0" w:line="250" w:lineRule="exact"/>
        <w:rPr>
          <w:sz w:val="20"/>
          <w:szCs w:val="20"/>
          <w:color w:val="auto"/>
        </w:rPr>
      </w:pPr>
    </w:p>
    <w:p>
      <w:pPr>
        <w:ind w:left="420" w:right="20"/>
        <w:spacing w:after="0" w:line="257"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and preclinical studies that we announce or publish from time to time may change as more patient data become available and are subject to audit and verification procedures that could result in material changes in the final data.</w:t>
      </w:r>
    </w:p>
    <w:p>
      <w:pPr>
        <w:spacing w:after="0" w:line="49" w:lineRule="exact"/>
        <w:rPr>
          <w:sz w:val="20"/>
          <w:szCs w:val="20"/>
          <w:color w:val="auto"/>
        </w:rPr>
      </w:pPr>
    </w:p>
    <w:p>
      <w:pPr>
        <w:ind w:left="420" w:firstLine="521"/>
        <w:spacing w:after="0" w:line="238" w:lineRule="auto"/>
        <w:rPr>
          <w:sz w:val="20"/>
          <w:szCs w:val="20"/>
          <w:color w:val="auto"/>
        </w:rPr>
      </w:pPr>
      <w:r>
        <w:rPr>
          <w:rFonts w:ascii="Arial" w:cs="Arial" w:eastAsia="Arial" w:hAnsi="Arial"/>
          <w:sz w:val="17"/>
          <w:szCs w:val="17"/>
          <w:color w:val="auto"/>
        </w:rPr>
        <w:t>From time to time, we may publicly disclose interim, topline, or preliminary data from our clinical trials and preclinical studies,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 Interim data from clinical trials that we may complete are further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w:t>
      </w:r>
    </w:p>
    <w:p>
      <w:pPr>
        <w:spacing w:after="0" w:line="155" w:lineRule="exact"/>
        <w:rPr>
          <w:sz w:val="20"/>
          <w:szCs w:val="20"/>
          <w:color w:val="auto"/>
        </w:rPr>
      </w:pPr>
    </w:p>
    <w:p>
      <w:pPr>
        <w:ind w:left="420" w:right="40" w:firstLine="521"/>
        <w:spacing w:after="0" w:line="239" w:lineRule="auto"/>
        <w:rPr>
          <w:sz w:val="20"/>
          <w:szCs w:val="20"/>
          <w:color w:val="auto"/>
        </w:rPr>
      </w:pPr>
      <w:r>
        <w:rPr>
          <w:rFonts w:ascii="Arial" w:cs="Arial" w:eastAsia="Arial" w:hAnsi="Arial"/>
          <w:sz w:val="17"/>
          <w:szCs w:val="17"/>
          <w:color w:val="auto"/>
        </w:rPr>
        <w:t>In addition,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ecDTx or product and our company in general. Moreover,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drug, ecDTx or our business. If the interim, topline, or preliminary data that we report differ from actual results, or if others, including regulatory authorities, disagree with the conclusions reached, our ability to obtain approval for, and commercialize our ecDTx may be harmed, which could harm our business, operating results, prospects, or financial condition.</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Changes in methods of ecDTx manufacturing or formulation may result in additional costs or delay.</w:t>
      </w:r>
    </w:p>
    <w:p>
      <w:pPr>
        <w:spacing w:after="0" w:line="98" w:lineRule="exact"/>
        <w:rPr>
          <w:sz w:val="20"/>
          <w:szCs w:val="20"/>
          <w:color w:val="auto"/>
        </w:rPr>
      </w:pPr>
    </w:p>
    <w:p>
      <w:pPr>
        <w:ind w:left="420" w:firstLine="521"/>
        <w:spacing w:after="0" w:line="252" w:lineRule="auto"/>
        <w:rPr>
          <w:sz w:val="20"/>
          <w:szCs w:val="20"/>
          <w:color w:val="auto"/>
        </w:rPr>
      </w:pPr>
      <w:r>
        <w:rPr>
          <w:rFonts w:ascii="Arial" w:cs="Arial" w:eastAsia="Arial" w:hAnsi="Arial"/>
          <w:sz w:val="17"/>
          <w:szCs w:val="17"/>
          <w:color w:val="auto"/>
        </w:rPr>
        <w:t>As our ecDTx progress through clinical trials to regulatory approval and commercialization, it is common that various aspects of the ecDTx development program, such as manufacturing methods and formulation, are altered along the way in an effort to optimize safety, efficacy, yield, and manufacturing batch size, minimize costs, and achieve consistent quality and results. For example, in</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780"/>
          </w:cols>
          <w:pgMar w:left="320" w:top="439" w:right="7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future we may consider developing a higher dosage strength tablet for use in our ongoing Phase 1/2 POTENTIATE clinical trial of BBI-</w:t>
      </w:r>
    </w:p>
    <w:p>
      <w:pPr>
        <w:spacing w:after="0" w:line="12" w:lineRule="exact"/>
        <w:rPr>
          <w:sz w:val="20"/>
          <w:szCs w:val="20"/>
          <w:color w:val="auto"/>
        </w:rPr>
      </w:pPr>
    </w:p>
    <w:p>
      <w:pPr>
        <w:ind w:left="420" w:right="100" w:hanging="9"/>
        <w:spacing w:after="0" w:line="238" w:lineRule="auto"/>
        <w:tabs>
          <w:tab w:leader="none" w:pos="799"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There can be no assurance that this or any other future manufacturing or formulation changes will achieve their intended objectives. These changes and any future changes we may make to our ecDTx may also cause such candidates to perform differently and affect the results of future clinical trials conducted with the altered materials. Such changes or related unfavorable clinical trial results could delay initiation or completion of additional clinical trials, require the conduct of bridging studies or clinical trials or the repetition of one or more studies or clinical trials, increase development costs, delay or prevent potential regulatory approval, and jeopardize our ability to commercialize our ecDTx, if approved, and generate revenue.</w:t>
      </w:r>
    </w:p>
    <w:p>
      <w:pPr>
        <w:spacing w:after="0" w:line="277" w:lineRule="exact"/>
        <w:rPr>
          <w:sz w:val="20"/>
          <w:szCs w:val="20"/>
          <w:color w:val="auto"/>
        </w:rPr>
      </w:pPr>
    </w:p>
    <w:p>
      <w:pPr>
        <w:ind w:left="420" w:right="20"/>
        <w:spacing w:after="0" w:line="250" w:lineRule="auto"/>
        <w:rPr>
          <w:sz w:val="20"/>
          <w:szCs w:val="20"/>
          <w:color w:val="auto"/>
        </w:rPr>
      </w:pPr>
      <w:r>
        <w:rPr>
          <w:rFonts w:ascii="Arial" w:cs="Arial" w:eastAsia="Arial" w:hAnsi="Arial"/>
          <w:sz w:val="17"/>
          <w:szCs w:val="17"/>
          <w:b w:val="1"/>
          <w:bCs w:val="1"/>
          <w:i w:val="1"/>
          <w:iCs w:val="1"/>
          <w:color w:val="auto"/>
        </w:rPr>
        <w:t>If we are required by the FDA or comparable foreign regulatory authority to obtain approval of a companion diagnostic test, such as our investigational ecDNA diagnostic, in connection with approval of any of our ecDTx, and we do not obtain, or face delays in obtaining, FDA or foreign approval of such companion diagnostic, we will not be able to commercialize our ecDTx, and our ability to generate revenue will be materially impaired.</w:t>
      </w:r>
    </w:p>
    <w:p>
      <w:pPr>
        <w:spacing w:after="0" w:line="54" w:lineRule="exact"/>
        <w:rPr>
          <w:sz w:val="20"/>
          <w:szCs w:val="20"/>
          <w:color w:val="auto"/>
        </w:rPr>
      </w:pPr>
    </w:p>
    <w:p>
      <w:pPr>
        <w:ind w:left="420" w:right="80" w:firstLine="521"/>
        <w:spacing w:after="0" w:line="239" w:lineRule="auto"/>
        <w:rPr>
          <w:sz w:val="20"/>
          <w:szCs w:val="20"/>
          <w:color w:val="auto"/>
        </w:rPr>
      </w:pPr>
      <w:r>
        <w:rPr>
          <w:rFonts w:ascii="Arial" w:cs="Arial" w:eastAsia="Arial" w:hAnsi="Arial"/>
          <w:sz w:val="17"/>
          <w:szCs w:val="17"/>
          <w:color w:val="auto"/>
        </w:rPr>
        <w:t xml:space="preserve">We are currently working with a third party to develop an ecDNA diagnostic assay to identify patients with tumors harboring oncogene amplifications on ecDNA. We believe an ecDNA diagnostic will be helpful in identifying patients that may benefit from certain of our ecDTx, including BBI-355. If the FDA believes that the safe and effective use of any of our ecDTx depends on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such as our investigational ecDNA diagnostic, then it may require approval or clearance of that diagnostic as a companion diagnostic at the same time that the FDA approves our ecDTx, if at all.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an ecDNA diagnostic, or an alternative companion diagnostic is not commercially available in this situation, we may be required to complete the development of an ecDNA diagnostic or obtain an alternative companion diagnostic that would be subject to regulatory approval requirements. The process of obtaining or creating such diagnostics is time-consuming and costly.</w:t>
      </w:r>
    </w:p>
    <w:p>
      <w:pPr>
        <w:spacing w:after="0" w:line="149" w:lineRule="exact"/>
        <w:rPr>
          <w:sz w:val="20"/>
          <w:szCs w:val="20"/>
          <w:color w:val="auto"/>
        </w:rPr>
      </w:pPr>
    </w:p>
    <w:p>
      <w:pPr>
        <w:ind w:left="420" w:right="20" w:firstLine="521"/>
        <w:spacing w:after="0" w:line="242" w:lineRule="auto"/>
        <w:rPr>
          <w:sz w:val="20"/>
          <w:szCs w:val="20"/>
          <w:color w:val="auto"/>
        </w:rPr>
      </w:pPr>
      <w:r>
        <w:rPr>
          <w:rFonts w:ascii="Arial" w:cs="Arial" w:eastAsia="Arial" w:hAnsi="Arial"/>
          <w:sz w:val="17"/>
          <w:szCs w:val="17"/>
          <w:color w:val="auto"/>
        </w:rPr>
        <w:t>Companion diagnostics are developed in conjunction with clinical programs for the associated product and are subject to regulation as medical devices by the FDA and comparable foreign regulatory authorities, and the FDA has generally required premarket approval of companion diagnostics for cancer therapies. As such, we expect we may need to obtain approval for any ecDNA diagnostic we may develop for use with our ecDTx. The approval or clearance of a companion diagnostic as part of the therapeutic product’s further labeling limits the use of the therapeutic product to only those patients who express the specific characteristic that the companion diagnostic was developed to detect.</w:t>
      </w:r>
    </w:p>
    <w:p>
      <w:pPr>
        <w:spacing w:after="0" w:line="133" w:lineRule="exact"/>
        <w:rPr>
          <w:sz w:val="20"/>
          <w:szCs w:val="20"/>
          <w:color w:val="auto"/>
        </w:rPr>
      </w:pPr>
    </w:p>
    <w:p>
      <w:pPr>
        <w:ind w:left="420" w:firstLine="521"/>
        <w:spacing w:after="0"/>
        <w:rPr>
          <w:sz w:val="20"/>
          <w:szCs w:val="20"/>
          <w:color w:val="auto"/>
        </w:rPr>
      </w:pPr>
      <w:r>
        <w:rPr>
          <w:rFonts w:ascii="Arial" w:cs="Arial" w:eastAsia="Arial" w:hAnsi="Arial"/>
          <w:sz w:val="17"/>
          <w:szCs w:val="17"/>
          <w:color w:val="auto"/>
        </w:rPr>
        <w:t>If the FDA or a comparable foreign regulatory authority requires approval or clearance of a companion diagnostic for any of our ecDTx, whether before, simultaneously with, or after the candidate obtains regulatory approval, we and/or third-party developers may encounter difficulties in developing and obtaining approval or clearance for these companion diagnostics. Any delay or failure by us or third-party developers to develop or obtain regulatory approval or clearance of a companion diagnostic could delay or prevent approval or continued marketing of the relevant product. We or our third-party developers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ecDTx, if approved, on a timely or profitable basis, if at all.</w:t>
      </w:r>
    </w:p>
    <w:p>
      <w:pPr>
        <w:spacing w:after="0" w:line="11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820"/>
          </w:cols>
          <w:pgMar w:left="320" w:top="439" w:right="7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220"/>
        <w:spacing w:after="0" w:line="246" w:lineRule="auto"/>
        <w:rPr>
          <w:sz w:val="20"/>
          <w:szCs w:val="20"/>
          <w:color w:val="auto"/>
        </w:rPr>
      </w:pPr>
      <w:r>
        <w:rPr>
          <w:rFonts w:ascii="Arial" w:cs="Arial" w:eastAsia="Arial" w:hAnsi="Arial"/>
          <w:sz w:val="17"/>
          <w:szCs w:val="17"/>
          <w:b w:val="1"/>
          <w:bCs w:val="1"/>
          <w:i w:val="1"/>
          <w:iCs w:val="1"/>
          <w:color w:val="auto"/>
        </w:rPr>
        <w:t>We may attempt to secure approval from the FDA through the use of the accelerated approval pathway. If we are unable to obtain such approval, we may be required to conduct additional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post-marketing requirements, the FDA may seek to withdraw any accelerated approval we have obtained.</w:t>
      </w:r>
    </w:p>
    <w:p>
      <w:pPr>
        <w:spacing w:after="0" w:line="59" w:lineRule="exact"/>
        <w:rPr>
          <w:sz w:val="20"/>
          <w:szCs w:val="20"/>
          <w:color w:val="auto"/>
        </w:rPr>
      </w:pPr>
    </w:p>
    <w:p>
      <w:pPr>
        <w:ind w:left="420" w:firstLine="521"/>
        <w:spacing w:after="0" w:line="239" w:lineRule="auto"/>
        <w:rPr>
          <w:sz w:val="20"/>
          <w:szCs w:val="20"/>
          <w:color w:val="auto"/>
        </w:rPr>
      </w:pPr>
      <w:r>
        <w:rPr>
          <w:rFonts w:ascii="Arial" w:cs="Arial" w:eastAsia="Arial" w:hAnsi="Arial"/>
          <w:sz w:val="17"/>
          <w:szCs w:val="17"/>
          <w:color w:val="auto"/>
        </w:rPr>
        <w:t>We may in the future seek an accelerated approval for one or more of our ecDTx.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spacing w:after="0" w:line="152" w:lineRule="exact"/>
        <w:rPr>
          <w:sz w:val="20"/>
          <w:szCs w:val="20"/>
          <w:color w:val="auto"/>
        </w:rPr>
      </w:pPr>
    </w:p>
    <w:p>
      <w:pPr>
        <w:ind w:left="420" w:right="20" w:firstLine="521"/>
        <w:spacing w:after="0" w:line="239" w:lineRule="auto"/>
        <w:rPr>
          <w:sz w:val="20"/>
          <w:szCs w:val="20"/>
          <w:color w:val="auto"/>
        </w:rPr>
      </w:pPr>
      <w:r>
        <w:rPr>
          <w:rFonts w:ascii="Arial" w:cs="Arial" w:eastAsia="Arial" w:hAnsi="Arial"/>
          <w:sz w:val="17"/>
          <w:szCs w:val="17"/>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confirmatory studies fail to confirm the drug’s clinical benefit or are not completed in a timely manner, the FDA may withdraw its approval of the drug on an expedited basis. In addition, in December 2022, President Biden signed an omnibus appropriations bill to fund the US government through fiscal year 2023. Included in the omnibus bill is the Food and Drug Omnibus Reform Act of 2022, which among other things provided the FDA with new statutory authority to mitigate potential risks to patients from continued marketing of ineffective drugs previously granted accelerated approval and additional oversight over confirmatory trials. Under these provisions, the FDA may, among other things, require a sponsor of a product seeking accelerated approval to have a confirmatory trial underway prior to such approval being granted.</w:t>
      </w:r>
    </w:p>
    <w:p>
      <w:pPr>
        <w:spacing w:after="0" w:line="136" w:lineRule="exact"/>
        <w:rPr>
          <w:sz w:val="20"/>
          <w:szCs w:val="20"/>
          <w:color w:val="auto"/>
        </w:rPr>
      </w:pPr>
    </w:p>
    <w:p>
      <w:pPr>
        <w:ind w:left="420" w:firstLine="521"/>
        <w:spacing w:after="0" w:line="239" w:lineRule="auto"/>
        <w:rPr>
          <w:sz w:val="20"/>
          <w:szCs w:val="20"/>
          <w:color w:val="auto"/>
        </w:rPr>
      </w:pPr>
      <w:r>
        <w:rPr>
          <w:rFonts w:ascii="Arial" w:cs="Arial" w:eastAsia="Arial" w:hAnsi="Arial"/>
          <w:sz w:val="17"/>
          <w:szCs w:val="17"/>
          <w:color w:val="auto"/>
        </w:rPr>
        <w:t>Prior to seeking approval for any of our ecDTx, we intend to seek feedback from the FDA and will otherwise evaluate our ability to seek and receive accelerated approval. There can be no assurance that after our evaluation of the feedback and other factors we will decide to pursue or submit an NDA for accelerated approval or obtain any other form of expedited development, review, or approval. Furthermore, if we decide to submit an application for accelerated approval for our ecDTx, there can be no assurance that such submission or application will be accepted or that any expedited development, review, or approval will be granted on a timely basis, or at all. The FDA could also require us to conduct further studies prior to considering our application or granting approval of any type. A failure to obtain accelerated approval or any other form of expedited development, review, or approval for our ecDTx would result in a longer time period to commercialization of such ecDTx, if any, could increase the cost of development of such ecDTx, and could harm our competitive position in the marketplace.</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800"/>
          </w:cols>
          <w:pgMar w:left="320" w:top="439" w:right="7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both"/>
        <w:ind w:left="420" w:right="280"/>
        <w:spacing w:after="0" w:line="257" w:lineRule="auto"/>
        <w:rPr>
          <w:sz w:val="20"/>
          <w:szCs w:val="20"/>
          <w:color w:val="auto"/>
        </w:rPr>
      </w:pPr>
      <w:r>
        <w:rPr>
          <w:rFonts w:ascii="Arial" w:cs="Arial" w:eastAsia="Arial" w:hAnsi="Arial"/>
          <w:sz w:val="17"/>
          <w:szCs w:val="17"/>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49" w:lineRule="exact"/>
        <w:rPr>
          <w:sz w:val="20"/>
          <w:szCs w:val="20"/>
          <w:color w:val="auto"/>
        </w:rPr>
      </w:pPr>
    </w:p>
    <w:p>
      <w:pPr>
        <w:ind w:left="420" w:firstLine="521"/>
        <w:spacing w:after="0" w:line="239" w:lineRule="auto"/>
        <w:rPr>
          <w:sz w:val="20"/>
          <w:szCs w:val="20"/>
          <w:color w:val="auto"/>
        </w:rPr>
      </w:pPr>
      <w:r>
        <w:rPr>
          <w:rFonts w:ascii="Arial" w:cs="Arial" w:eastAsia="Arial" w:hAnsi="Arial"/>
          <w:sz w:val="17"/>
          <w:szCs w:val="17"/>
          <w:color w:val="auto"/>
        </w:rPr>
        <w:t>The ability of the FDA and other government agencies to review and approve new products can be affected by a variety of factors, including government budget and funding levels, statutory, regulatory and policy changes, a government agency’s ability to hire and retain key personnel and accept the payment of user fees, and other events that may otherwise affect the government agency’s ability to perform routine functions. Average review times at the FDA and other government agencies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or modifications to approved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w:t>
      </w:r>
    </w:p>
    <w:p>
      <w:pPr>
        <w:spacing w:after="0" w:line="152" w:lineRule="exact"/>
        <w:rPr>
          <w:sz w:val="20"/>
          <w:szCs w:val="20"/>
          <w:color w:val="auto"/>
        </w:rPr>
      </w:pPr>
    </w:p>
    <w:p>
      <w:pPr>
        <w:ind w:left="420" w:right="180" w:firstLine="521"/>
        <w:spacing w:after="0" w:line="242" w:lineRule="auto"/>
        <w:rPr>
          <w:sz w:val="20"/>
          <w:szCs w:val="20"/>
          <w:color w:val="auto"/>
        </w:rPr>
      </w:pPr>
      <w:r>
        <w:rPr>
          <w:rFonts w:ascii="Arial" w:cs="Arial" w:eastAsia="Arial" w:hAnsi="Arial"/>
          <w:sz w:val="17"/>
          <w:szCs w:val="17"/>
          <w:color w:val="auto"/>
        </w:rPr>
        <w:t>Separately, in response to the COVID-19 pandemic, the FDA postponed most inspections of domestic and foreign manufacturing facilities at various points. Even though the FDA has since resumed standard inspection operations of domestic facilities where feasible, future pandemics may lead to similar inspectional or administrative delays. If any future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Risks Related to Our Reliance on Third Parties</w:t>
      </w:r>
    </w:p>
    <w:p>
      <w:pPr>
        <w:spacing w:after="0" w:line="98" w:lineRule="exact"/>
        <w:rPr>
          <w:sz w:val="20"/>
          <w:szCs w:val="20"/>
          <w:color w:val="auto"/>
        </w:rPr>
      </w:pPr>
    </w:p>
    <w:p>
      <w:pPr>
        <w:jc w:val="both"/>
        <w:ind w:left="420" w:right="180"/>
        <w:spacing w:after="0" w:line="257" w:lineRule="auto"/>
        <w:rPr>
          <w:sz w:val="20"/>
          <w:szCs w:val="20"/>
          <w:color w:val="auto"/>
        </w:rPr>
      </w:pPr>
      <w:r>
        <w:rPr>
          <w:rFonts w:ascii="Arial" w:cs="Arial" w:eastAsia="Arial" w:hAnsi="Arial"/>
          <w:sz w:val="17"/>
          <w:szCs w:val="17"/>
          <w:b w:val="1"/>
          <w:bCs w:val="1"/>
          <w:i w:val="1"/>
          <w:iCs w:val="1"/>
          <w:color w:val="auto"/>
        </w:rPr>
        <w:t>We rely on third parties to conduct our clinical trials and preclinical studies. If these third parties do not successfully carry out their contractual duties, comply with applicable regulatory requirements, or meet expected deadlines, our ecDTx development programs and our ability to seek or obtain regulatory approval for or commercialize our ecDTx may be delayed.</w:t>
      </w:r>
    </w:p>
    <w:p>
      <w:pPr>
        <w:spacing w:after="0" w:line="49" w:lineRule="exact"/>
        <w:rPr>
          <w:sz w:val="20"/>
          <w:szCs w:val="20"/>
          <w:color w:val="auto"/>
        </w:rPr>
      </w:pPr>
    </w:p>
    <w:p>
      <w:pPr>
        <w:ind w:left="420" w:right="40" w:firstLine="521"/>
        <w:spacing w:after="0" w:line="237" w:lineRule="auto"/>
        <w:rPr>
          <w:sz w:val="20"/>
          <w:szCs w:val="20"/>
          <w:color w:val="auto"/>
        </w:rPr>
      </w:pPr>
      <w:r>
        <w:rPr>
          <w:rFonts w:ascii="Arial" w:cs="Arial" w:eastAsia="Arial" w:hAnsi="Arial"/>
          <w:sz w:val="17"/>
          <w:szCs w:val="17"/>
          <w:color w:val="auto"/>
        </w:rPr>
        <w:t>We are dependent on third parties to conduct our clinical trials and preclinical studies. Specifically, we rely on, and intend to continue to rely on, medical institutions, clinical investigators, CROs, and consultants to conduct our preclinical studies and clinical trials in accordance with our clinical protocols and regulatory requirements. These CROs, investigators, and other third parties play a significant role in the conduct and timing of these trials and subsequent collection and analysis of data. While we have and will have agreements governing the activities of our third-party contractors, we have limited influence over their actual performance. Nevertheless, we are responsible for ensuring that each of our clinical trials is conducted in accordance with the applicable protocol and legal, regulatory, and scientific standards and requirements, and our reliance on our CROs and other third parties does not relieve us of our regulatory responsibilities. In addition, we and our CROs are required to comply with Good Laboratory Practice (GLP) requirements for certain preclinical studies, as well as GCP requirements, which are regulations and guidelines enforced by the FDA and comparable foreign regulatory authorities for clinical trials of all of our ecDTx. Regulatory authorities enforce these GCPs through periodic inspections of trial sponsors, principal investigators, and trial sites. If we or any of our CROs or trial sites fail to comply with applicable GLP or GCP or other requirements, the clinical data generated in our preclinical studies or clinical trials may be deemed unreliable, and the FDA or comparable foreign regulatory authorities may require us to perform additional preclinical studies or clinical trials before approving our marketing applications, if ever. Further, our clinical trials must be conducted with products produced in accordance with cGMP regulations. Failure to comply with these regulations may require us to repeat clinical trials, which would delay the regulatory approval process.</w:t>
      </w:r>
    </w:p>
    <w:p>
      <w:pPr>
        <w:spacing w:after="0" w:line="12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820"/>
          </w:cols>
          <w:pgMar w:left="320" w:top="439" w:right="7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40" w:firstLine="521"/>
        <w:spacing w:after="0" w:line="242" w:lineRule="auto"/>
        <w:rPr>
          <w:sz w:val="20"/>
          <w:szCs w:val="20"/>
          <w:color w:val="auto"/>
        </w:rPr>
      </w:pPr>
      <w:r>
        <w:rPr>
          <w:rFonts w:ascii="Arial" w:cs="Arial" w:eastAsia="Arial" w:hAnsi="Arial"/>
          <w:sz w:val="17"/>
          <w:szCs w:val="17"/>
          <w:color w:val="auto"/>
        </w:rPr>
        <w:t>There is no guarantee that any of our CROs, investigators, or other third parties will devote adequate time and resources to such trials or studies or perform as contractually required. If any of these third parties fail to meet expected deadlines, adhere to our clinical protocols, or meet regulatory requirements, or otherwise perform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development activities that could harm our competitive position.</w:t>
      </w:r>
    </w:p>
    <w:p>
      <w:pPr>
        <w:spacing w:after="0" w:line="146" w:lineRule="exact"/>
        <w:rPr>
          <w:sz w:val="20"/>
          <w:szCs w:val="20"/>
          <w:color w:val="auto"/>
        </w:rPr>
      </w:pPr>
    </w:p>
    <w:p>
      <w:pPr>
        <w:ind w:left="420" w:firstLine="521"/>
        <w:spacing w:after="0"/>
        <w:rPr>
          <w:sz w:val="20"/>
          <w:szCs w:val="20"/>
          <w:color w:val="auto"/>
        </w:rPr>
      </w:pPr>
      <w:r>
        <w:rPr>
          <w:rFonts w:ascii="Arial" w:cs="Arial" w:eastAsia="Arial" w:hAnsi="Arial"/>
          <w:sz w:val="17"/>
          <w:szCs w:val="17"/>
          <w:color w:val="auto"/>
        </w:rPr>
        <w:t>Our CROs have the right to terminate their agreements with us in the event of an uncured material breach and under other specified circumstances. If any of our relationships with these third parties terminate, we may not be able to enter into arrangements with alternative third parties on commercially reasonable terms, in a timely manner or at all. Switching or adding additional CROs, investigators, and other third parties involves additional cost and requires our management’s time and focus. In addition, there is a natural transition period when a new CRO commences work. As a result, delays occur, which can materially impact our ability to meet our desired clinical development timelines. Though we work to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spacing w:after="0" w:line="276" w:lineRule="exact"/>
        <w:rPr>
          <w:sz w:val="20"/>
          <w:szCs w:val="20"/>
          <w:color w:val="auto"/>
        </w:rPr>
      </w:pPr>
    </w:p>
    <w:p>
      <w:pPr>
        <w:ind w:left="420" w:right="200"/>
        <w:spacing w:after="0" w:line="250" w:lineRule="auto"/>
        <w:rPr>
          <w:sz w:val="20"/>
          <w:szCs w:val="20"/>
          <w:color w:val="auto"/>
        </w:rPr>
      </w:pPr>
      <w:r>
        <w:rPr>
          <w:rFonts w:ascii="Arial" w:cs="Arial" w:eastAsia="Arial" w:hAnsi="Arial"/>
          <w:sz w:val="17"/>
          <w:szCs w:val="17"/>
          <w:b w:val="1"/>
          <w:bCs w:val="1"/>
          <w:i w:val="1"/>
          <w:iCs w:val="1"/>
          <w:color w:val="auto"/>
        </w:rPr>
        <w:t>We rely on third parties for the manufacture of our ecDTx for clinical and preclinical development and expect to continue to do so for the foreseeable future. This reliance on third parties increases the risk that we will not have sufficient quantities of our ecDTx or products or such quantities at an acceptable cost, which could delay, prevent, or impair, our development or commercialization efforts.</w:t>
      </w:r>
    </w:p>
    <w:p>
      <w:pPr>
        <w:spacing w:after="0" w:line="54" w:lineRule="exact"/>
        <w:rPr>
          <w:sz w:val="20"/>
          <w:szCs w:val="20"/>
          <w:color w:val="auto"/>
        </w:rPr>
      </w:pPr>
    </w:p>
    <w:p>
      <w:pPr>
        <w:ind w:left="420" w:right="20" w:firstLine="521"/>
        <w:spacing w:after="0" w:line="237" w:lineRule="auto"/>
        <w:rPr>
          <w:sz w:val="20"/>
          <w:szCs w:val="20"/>
          <w:color w:val="auto"/>
        </w:rPr>
      </w:pPr>
      <w:r>
        <w:rPr>
          <w:rFonts w:ascii="Arial" w:cs="Arial" w:eastAsia="Arial" w:hAnsi="Arial"/>
          <w:sz w:val="17"/>
          <w:szCs w:val="17"/>
          <w:color w:val="auto"/>
        </w:rPr>
        <w:t>We do not own or operate manufacturing facilities and have no plans to develop our own clinical or commercial-scale manufacturing capabilities. We rely, and expect to continue to rely, on third parties for the manufacture of our ecDTx and related raw materials for clinical and preclinical development, as well as for commercial manufacture if any of our ecDTx receive regulatory approval. The facilities used by third-party manufacturers to manufacture our ecDTx must be approved for the manufacture of our ecDTx by the FDA and any comparable foreign regulatory authority pursuant to inspections that will be conducted after we submit an NDA to the FDA or any comparable submission to a foreign regulatory authority. We do not control the manufacturing process of, and are completely dependent on, third-party manufacturers for compliance with cGMP requirements for manufacture of products. If these third-party manufacturers cannot successfully manufacture material that conforms to our specifications and the strict regulatory requirements of the FDA or any comparable foreign regulatory authority, they will not be able to secure and/or maintain regulatory approval for their manufacturing facilities. In addition, we have no control over the ability of third-party manufacturers to maintain adequate quality control, quality assurance, and qualified personnel. If the FDA or any comparable foreign regulatory authority does not approve these facilities for the manufacture of our ecDTx or if it withdraws any such approval in the future, we may need to find alternative manufacturing facilities, which would significantly impact our ability to develop, obtain regulatory approval for, or market our ecDTx, if approved. Our failure, or the failure of our third-party manufacturers, to comply with applicable regulations could result in sanctions being imposed on us, including clinical holds, fines, injunctions, civil penalties, delays, suspension or withdrawal of approvals, seizures or recalls of ecDTx or products, operating restrictions, and criminal prosecutions, any of which could significantly and adversely affect supplies of our ecDTx.</w:t>
      </w:r>
    </w:p>
    <w:p>
      <w:pPr>
        <w:spacing w:after="0" w:line="144" w:lineRule="exact"/>
        <w:rPr>
          <w:sz w:val="20"/>
          <w:szCs w:val="20"/>
          <w:color w:val="auto"/>
        </w:rPr>
      </w:pPr>
    </w:p>
    <w:p>
      <w:pPr>
        <w:ind w:left="420" w:right="200" w:firstLine="521"/>
        <w:spacing w:after="0" w:line="302" w:lineRule="auto"/>
        <w:rPr>
          <w:sz w:val="20"/>
          <w:szCs w:val="20"/>
          <w:color w:val="auto"/>
        </w:rPr>
      </w:pPr>
      <w:r>
        <w:rPr>
          <w:rFonts w:ascii="Arial" w:cs="Arial" w:eastAsia="Arial" w:hAnsi="Arial"/>
          <w:sz w:val="16"/>
          <w:szCs w:val="16"/>
          <w:color w:val="auto"/>
        </w:rPr>
        <w:t>Our or a third party’s failure to execute on our manufacturing requirements on commercially reasonable terms, in a timely manner and in compliance with cGMP or other regulatory requirements could adversely affect our business in a number of ways, including:</w:t>
      </w:r>
    </w:p>
    <w:p>
      <w:pPr>
        <w:spacing w:after="0" w:line="35" w:lineRule="exact"/>
        <w:rPr>
          <w:sz w:val="20"/>
          <w:szCs w:val="20"/>
          <w:color w:val="auto"/>
        </w:rPr>
      </w:pPr>
    </w:p>
    <w:p>
      <w:pPr>
        <w:ind w:left="5520" w:right="4740" w:hanging="4278"/>
        <w:spacing w:after="0" w:line="443" w:lineRule="auto"/>
        <w:tabs>
          <w:tab w:leader="none" w:pos="1641"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 inability to initiate or continue clinical trials of our ecDTx; 31</w:t>
      </w:r>
    </w:p>
    <w:p>
      <w:pPr>
        <w:sectPr>
          <w:pgSz w:w="11900" w:h="16838" w:orient="portrait"/>
          <w:cols w:equalWidth="0" w:num="1">
            <w:col w:w="10840"/>
          </w:cols>
          <w:pgMar w:left="320" w:top="439" w:right="7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1660" w:hanging="418"/>
        <w:spacing w:after="0"/>
        <w:tabs>
          <w:tab w:leader="none" w:pos="1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delay in submitting regulatory applications, or receiving regulatory approvals, for our ecDTx;</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subjecting third-party manufacturing facilities to additional inspections by regulatory authorities;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requirements to cease development or to recall batches of our ecDTx; and</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our ecDTx, an inability to meet commercial demands for our ecDTx.</w:t>
      </w:r>
    </w:p>
    <w:p>
      <w:pPr>
        <w:spacing w:after="0" w:line="175" w:lineRule="exact"/>
        <w:rPr>
          <w:sz w:val="20"/>
          <w:szCs w:val="20"/>
          <w:color w:val="auto"/>
        </w:rPr>
      </w:pPr>
    </w:p>
    <w:p>
      <w:pPr>
        <w:ind w:left="420" w:right="140" w:firstLine="521"/>
        <w:spacing w:after="0" w:line="247" w:lineRule="auto"/>
        <w:rPr>
          <w:sz w:val="20"/>
          <w:szCs w:val="20"/>
          <w:color w:val="auto"/>
        </w:rPr>
      </w:pPr>
      <w:r>
        <w:rPr>
          <w:rFonts w:ascii="Arial" w:cs="Arial" w:eastAsia="Arial" w:hAnsi="Arial"/>
          <w:sz w:val="17"/>
          <w:szCs w:val="17"/>
          <w:color w:val="auto"/>
        </w:rPr>
        <w:t>In addition, we do not have any long-term commitments or supply agreements with our third-party manufacturers. We may be unable to establish any long-term supply agreements with third-party manufacturers or to do so on acceptable terms or at all, which increases the risk of failing to timely obtain sufficient quantities of our ecDTx or such quantities at an acceptable cost. Even if we are able to establish agreements with third-party manufacturers, reliance on third-party manufacturers entails additional risks, including:</w:t>
      </w:r>
    </w:p>
    <w:p>
      <w:pPr>
        <w:spacing w:after="0" w:line="77" w:lineRule="exact"/>
        <w:rPr>
          <w:sz w:val="20"/>
          <w:szCs w:val="20"/>
          <w:color w:val="auto"/>
        </w:rPr>
      </w:pPr>
    </w:p>
    <w:p>
      <w:pPr>
        <w:ind w:left="1660" w:hanging="418"/>
        <w:spacing w:after="0"/>
        <w:tabs>
          <w:tab w:leader="none" w:pos="1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failure of third-party manufacturers to comply with regulatory requirements and maintain quality assurance;</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breach of the manufacturing agreement by the third party;</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failure to manufacture our product according to our specifications;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failure to obtain adequate raw materials and other materials required for manufacturing;</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failure to manufacture our product according to our schedule or at all;</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failure to successfully scale up manufacturing capacity, if required;</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misappropriation of our proprietary information, including our trade secrets and know-how; and</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termination or nonrenewal of the agreement by the third party at a time that is costly or inconvenient for us.</w:t>
      </w:r>
    </w:p>
    <w:p>
      <w:pPr>
        <w:spacing w:after="0" w:line="98" w:lineRule="exact"/>
        <w:rPr>
          <w:sz w:val="20"/>
          <w:szCs w:val="20"/>
          <w:color w:val="auto"/>
        </w:rPr>
      </w:pPr>
    </w:p>
    <w:p>
      <w:pPr>
        <w:ind w:left="420" w:right="740" w:firstLine="521"/>
        <w:spacing w:after="0" w:line="270" w:lineRule="auto"/>
        <w:rPr>
          <w:sz w:val="20"/>
          <w:szCs w:val="20"/>
          <w:color w:val="auto"/>
        </w:rPr>
      </w:pPr>
      <w:r>
        <w:rPr>
          <w:rFonts w:ascii="Arial" w:cs="Arial" w:eastAsia="Arial" w:hAnsi="Arial"/>
          <w:sz w:val="17"/>
          <w:szCs w:val="17"/>
          <w:color w:val="auto"/>
        </w:rPr>
        <w:t>Our ecDTx and any products that we may develop may compete with other product candidates and products for access to manufacturing facilities.</w:t>
      </w:r>
    </w:p>
    <w:p>
      <w:pPr>
        <w:spacing w:after="0" w:line="110" w:lineRule="exact"/>
        <w:rPr>
          <w:sz w:val="20"/>
          <w:szCs w:val="20"/>
          <w:color w:val="auto"/>
        </w:rPr>
      </w:pPr>
    </w:p>
    <w:p>
      <w:pPr>
        <w:ind w:left="420" w:firstLine="521"/>
        <w:spacing w:after="0" w:line="244"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regulatory approval, and any related remedial measures may be costly or time consuming to implement. We do not currently have arrangements in place for redundant supply or a second source for all required raw materials used in the manufacture of our ecDTx. If our existing or future third-party manufacturers cannot perform as agreed, we may be required to replace such manufacturers and we may be unable to replace them on a timely basis or at all.</w:t>
      </w:r>
    </w:p>
    <w:p>
      <w:pPr>
        <w:spacing w:after="0" w:line="131" w:lineRule="exact"/>
        <w:rPr>
          <w:sz w:val="20"/>
          <w:szCs w:val="20"/>
          <w:color w:val="auto"/>
        </w:rPr>
      </w:pPr>
    </w:p>
    <w:p>
      <w:pPr>
        <w:ind w:left="420" w:right="300" w:firstLine="521"/>
        <w:spacing w:after="0" w:line="252" w:lineRule="auto"/>
        <w:rPr>
          <w:sz w:val="20"/>
          <w:szCs w:val="20"/>
          <w:color w:val="auto"/>
        </w:rPr>
      </w:pPr>
      <w:r>
        <w:rPr>
          <w:rFonts w:ascii="Arial" w:cs="Arial" w:eastAsia="Arial" w:hAnsi="Arial"/>
          <w:sz w:val="17"/>
          <w:szCs w:val="17"/>
          <w:color w:val="auto"/>
        </w:rPr>
        <w:t>In addition, our current and anticipated future dependence upon others for the manufacture of our ecDTx or products may adversely affect our future profit margins and our ability to commercialize any products that receive regulatory approval on a timely and competitive basis.</w:t>
      </w:r>
    </w:p>
    <w:p>
      <w:pPr>
        <w:spacing w:after="0" w:line="266" w:lineRule="exact"/>
        <w:rPr>
          <w:sz w:val="20"/>
          <w:szCs w:val="20"/>
          <w:color w:val="auto"/>
        </w:rPr>
      </w:pPr>
    </w:p>
    <w:p>
      <w:pPr>
        <w:ind w:left="420" w:right="320"/>
        <w:spacing w:after="0" w:line="280" w:lineRule="auto"/>
        <w:rPr>
          <w:sz w:val="20"/>
          <w:szCs w:val="20"/>
          <w:color w:val="auto"/>
        </w:rPr>
      </w:pPr>
      <w:r>
        <w:rPr>
          <w:rFonts w:ascii="Arial" w:cs="Arial" w:eastAsia="Arial" w:hAnsi="Arial"/>
          <w:sz w:val="17"/>
          <w:szCs w:val="17"/>
          <w:b w:val="1"/>
          <w:bCs w:val="1"/>
          <w:i w:val="1"/>
          <w:iCs w:val="1"/>
          <w:color w:val="auto"/>
        </w:rPr>
        <w:t>Our reliance on third parties requires us to share our trade secrets, which increases the possibility that a competitor or other third party will discover them or that our trade secrets will be misappropriated or disclosed.</w:t>
      </w:r>
    </w:p>
    <w:p>
      <w:pPr>
        <w:spacing w:after="0" w:line="29" w:lineRule="exact"/>
        <w:rPr>
          <w:sz w:val="20"/>
          <w:szCs w:val="20"/>
          <w:color w:val="auto"/>
        </w:rPr>
      </w:pPr>
    </w:p>
    <w:p>
      <w:pPr>
        <w:ind w:left="420" w:right="40" w:firstLine="521"/>
        <w:spacing w:after="0" w:line="252" w:lineRule="auto"/>
        <w:rPr>
          <w:sz w:val="20"/>
          <w:szCs w:val="20"/>
          <w:color w:val="auto"/>
        </w:rPr>
      </w:pPr>
      <w:r>
        <w:rPr>
          <w:rFonts w:ascii="Arial" w:cs="Arial" w:eastAsia="Arial" w:hAnsi="Arial"/>
          <w:sz w:val="17"/>
          <w:szCs w:val="17"/>
          <w:color w:val="auto"/>
        </w:rPr>
        <w:t>Because we currently rely on third parties for the development of a diagnostic and to manufacture our ecDTx and to perform quality testing, we must, at times, share our proprietary technology and confidential information, including trade secrets, with them. We seek to protect our proprietary</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840"/>
          </w:cols>
          <w:pgMar w:left="320" w:top="439" w:right="7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60"/>
        <w:spacing w:after="0" w:line="239" w:lineRule="auto"/>
        <w:rPr>
          <w:sz w:val="20"/>
          <w:szCs w:val="20"/>
          <w:color w:val="auto"/>
        </w:rPr>
      </w:pPr>
      <w:r>
        <w:rPr>
          <w:rFonts w:ascii="Arial" w:cs="Arial" w:eastAsia="Arial" w:hAnsi="Arial"/>
          <w:sz w:val="17"/>
          <w:szCs w:val="17"/>
          <w:color w:val="auto"/>
        </w:rPr>
        <w:t>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or other third parties,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or other third party’s discovery of our proprietary technology and confidential information or other unauthorized use or disclosure of such technology or information would impair our competitive position and may have a material adverse effect on our business, financial condition, results of operations, and prospects.</w:t>
      </w:r>
    </w:p>
    <w:p>
      <w:pPr>
        <w:spacing w:after="0" w:line="277" w:lineRule="exact"/>
        <w:rPr>
          <w:sz w:val="20"/>
          <w:szCs w:val="20"/>
          <w:color w:val="auto"/>
        </w:rPr>
      </w:pPr>
    </w:p>
    <w:p>
      <w:pPr>
        <w:ind w:left="420" w:right="80"/>
        <w:spacing w:after="0" w:line="280" w:lineRule="auto"/>
        <w:rPr>
          <w:sz w:val="20"/>
          <w:szCs w:val="20"/>
          <w:color w:val="auto"/>
        </w:rPr>
      </w:pPr>
      <w:r>
        <w:rPr>
          <w:rFonts w:ascii="Arial" w:cs="Arial" w:eastAsia="Arial" w:hAnsi="Arial"/>
          <w:sz w:val="17"/>
          <w:szCs w:val="17"/>
          <w:b w:val="1"/>
          <w:bCs w:val="1"/>
          <w:i w:val="1"/>
          <w:iCs w:val="1"/>
          <w:color w:val="auto"/>
        </w:rPr>
        <w:t>We may seek to enter into collaborations, licenses, and other similar arrangements and may not be successful in doing so, and even if we are, we may relinquish valuable rights and may not realize the benefits of such relationships.</w:t>
      </w:r>
    </w:p>
    <w:p>
      <w:pPr>
        <w:spacing w:after="0" w:line="29" w:lineRule="exact"/>
        <w:rPr>
          <w:sz w:val="20"/>
          <w:szCs w:val="20"/>
          <w:color w:val="auto"/>
        </w:rPr>
      </w:pPr>
    </w:p>
    <w:p>
      <w:pPr>
        <w:ind w:left="420" w:firstLine="521"/>
        <w:spacing w:after="0" w:line="237" w:lineRule="auto"/>
        <w:rPr>
          <w:sz w:val="20"/>
          <w:szCs w:val="20"/>
          <w:color w:val="auto"/>
        </w:rPr>
      </w:pPr>
      <w:r>
        <w:rPr>
          <w:rFonts w:ascii="Arial" w:cs="Arial" w:eastAsia="Arial" w:hAnsi="Arial"/>
          <w:sz w:val="17"/>
          <w:szCs w:val="17"/>
          <w:color w:val="auto"/>
        </w:rPr>
        <w:t>We may seek to enter into collaborations, joint ventures, licenses, and other similar arrangements for the development or commercialization of our ecDTx, if approved, due to capital costs required to develop or commercialize the ecDTx or manufacturing constraints. We may not be successful in our efforts to establish or maintain such collaborations for our ecDTx because our research and development pipeline may be insufficient, our ecDTx may be deemed to be at too early of a stage of development for collaborative effort, or third parties may not view our ecDTx as having the requisite potential to demonstrate safety and efficacy or significant commercial opportunity. In addition, we face significant competition in seeking appropriate strategic partners, and the negotiation process can be time-consuming and complex. Even if we are successful in our efforts to establish such collaborations, the terms that we agree upon may not be favorable to us. For example, we may need to relinquish valuable rights to our future revenue streams, research programs, intellectual property, ecDTx or ecDNA diagnostic, or grant licenses on terms that may not be favorable to us, as part of any such arrangement, and such arrangements may restrict us from entering into additional agreements with other potential collaborators. In addition, if we enter into such collaborations, we will have limited control over the amount and timing of resources that our collaborators will dedicate to the development or commercialization of our ecDTx. Our ability to generate revenue from these arrangements will depend on any future collaborators’ abilities to successfully perform the functions assigned to them in these arrangements. We cannot be certain that, following a collaboration, license, or strategic transaction, we will achieve an economic benefit that justifies such transaction, and such transaction may not yield additional development or ecDTx for our pipeline. Furthermore, we may not be able to maintain such collaborations if, for example, the development or approval of an ecDTx is delayed, the safety of an ecDTx is questioned, or the sales of an approved ecDTx are unsatisfactory.</w:t>
      </w:r>
    </w:p>
    <w:p>
      <w:pPr>
        <w:spacing w:after="0" w:line="155" w:lineRule="exact"/>
        <w:rPr>
          <w:sz w:val="20"/>
          <w:szCs w:val="20"/>
          <w:color w:val="auto"/>
        </w:rPr>
      </w:pPr>
    </w:p>
    <w:p>
      <w:pPr>
        <w:jc w:val="both"/>
        <w:ind w:left="420" w:right="100" w:firstLine="521"/>
        <w:spacing w:after="0" w:line="241" w:lineRule="auto"/>
        <w:rPr>
          <w:sz w:val="20"/>
          <w:szCs w:val="20"/>
          <w:color w:val="auto"/>
        </w:rPr>
      </w:pPr>
      <w:r>
        <w:rPr>
          <w:rFonts w:ascii="Arial" w:cs="Arial" w:eastAsia="Arial" w:hAnsi="Arial"/>
          <w:sz w:val="17"/>
          <w:szCs w:val="17"/>
          <w:color w:val="auto"/>
        </w:rPr>
        <w:t>In addition, any potential future collaborations may be terminable by our strategic partners, and we may not be able to adequately protect our rights under these agreements. Furthermore, strategic partners may negotiate for certain rights to control decisions regarding the development and commercialization of our ecDTx, if approved, and may not conduct those activities in the same manner as we do.</w:t>
      </w:r>
    </w:p>
    <w:p>
      <w:pPr>
        <w:spacing w:after="0" w:line="2" w:lineRule="exact"/>
        <w:rPr>
          <w:sz w:val="20"/>
          <w:szCs w:val="20"/>
          <w:color w:val="auto"/>
        </w:rPr>
      </w:pPr>
    </w:p>
    <w:p>
      <w:pPr>
        <w:ind w:left="420"/>
        <w:spacing w:after="0" w:line="243" w:lineRule="auto"/>
        <w:rPr>
          <w:sz w:val="20"/>
          <w:szCs w:val="20"/>
          <w:color w:val="auto"/>
        </w:rPr>
      </w:pPr>
      <w:r>
        <w:rPr>
          <w:rFonts w:ascii="Arial" w:cs="Arial" w:eastAsia="Arial" w:hAnsi="Arial"/>
          <w:sz w:val="17"/>
          <w:szCs w:val="17"/>
          <w:color w:val="auto"/>
        </w:rPr>
        <w:t>Any termination of collaborations we enter into in the future, or any delay in entering into collaborations related to our ecDTx, could delay the development and commercialization of our ecDTx, if approved, and reduce their competitiveness if they reach the market, which could have a material adverse effect on our business, financial condition, results of operations, and prospects.</w:t>
      </w:r>
    </w:p>
    <w:p>
      <w:pPr>
        <w:spacing w:after="0" w:line="10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780"/>
          </w:cols>
          <w:pgMar w:left="320" w:top="439" w:right="7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Risks Related to Commercialization of Our ecDTx</w:t>
      </w:r>
    </w:p>
    <w:p>
      <w:pPr>
        <w:spacing w:after="0" w:line="98" w:lineRule="exact"/>
        <w:rPr>
          <w:sz w:val="20"/>
          <w:szCs w:val="20"/>
          <w:color w:val="auto"/>
        </w:rPr>
      </w:pPr>
    </w:p>
    <w:p>
      <w:pPr>
        <w:ind w:left="420" w:right="620"/>
        <w:spacing w:after="0" w:line="280" w:lineRule="auto"/>
        <w:rPr>
          <w:sz w:val="20"/>
          <w:szCs w:val="20"/>
          <w:color w:val="auto"/>
        </w:rPr>
      </w:pPr>
      <w:r>
        <w:rPr>
          <w:rFonts w:ascii="Arial" w:cs="Arial" w:eastAsia="Arial" w:hAnsi="Arial"/>
          <w:sz w:val="17"/>
          <w:szCs w:val="17"/>
          <w:b w:val="1"/>
          <w:bCs w:val="1"/>
          <w:i w:val="1"/>
          <w:iCs w:val="1"/>
          <w:color w:val="auto"/>
        </w:rPr>
        <w:t>Even if we receive regulatory approval for any ecDTx, we will be subject to ongoing regulatory obligations and continued regulatory review, which may result in significant additional expense.</w:t>
      </w:r>
    </w:p>
    <w:p>
      <w:pPr>
        <w:spacing w:after="0" w:line="29" w:lineRule="exact"/>
        <w:rPr>
          <w:sz w:val="20"/>
          <w:szCs w:val="20"/>
          <w:color w:val="auto"/>
        </w:rPr>
      </w:pPr>
    </w:p>
    <w:p>
      <w:pPr>
        <w:ind w:left="420" w:right="20" w:firstLine="521"/>
        <w:spacing w:after="0" w:line="242" w:lineRule="auto"/>
        <w:rPr>
          <w:sz w:val="20"/>
          <w:szCs w:val="20"/>
          <w:color w:val="auto"/>
        </w:rPr>
      </w:pPr>
      <w:r>
        <w:rPr>
          <w:rFonts w:ascii="Arial" w:cs="Arial" w:eastAsia="Arial" w:hAnsi="Arial"/>
          <w:sz w:val="17"/>
          <w:szCs w:val="17"/>
          <w:color w:val="auto"/>
        </w:rPr>
        <w:t>Any regulatory approvals that we may receive for our ecDTx will require the submission of reports to regulatory authorities, subject us to surveillance to monitor the safety and efficacy of the product, may contain significant limitations related to use restrictions for specified age groups, warnings, precautions, or contraindications, and may include burdensome post-approval study or risk management requirements. For example, the FDA may require a REMS as a condition of approval of our ecDTx, which could include requirements for a medication guide, physician communication plans, or additional elements to ensure safe use, such as restricted distribution methods, patient registries, and other risk minimization tools.</w:t>
      </w:r>
    </w:p>
    <w:p>
      <w:pPr>
        <w:spacing w:after="0" w:line="146" w:lineRule="exact"/>
        <w:rPr>
          <w:sz w:val="20"/>
          <w:szCs w:val="20"/>
          <w:color w:val="auto"/>
        </w:rPr>
      </w:pPr>
    </w:p>
    <w:p>
      <w:pPr>
        <w:ind w:left="420" w:firstLine="521"/>
        <w:spacing w:after="0"/>
        <w:rPr>
          <w:sz w:val="20"/>
          <w:szCs w:val="20"/>
          <w:color w:val="auto"/>
        </w:rPr>
      </w:pPr>
      <w:r>
        <w:rPr>
          <w:rFonts w:ascii="Arial" w:cs="Arial" w:eastAsia="Arial" w:hAnsi="Arial"/>
          <w:sz w:val="17"/>
          <w:szCs w:val="17"/>
          <w:color w:val="auto"/>
        </w:rPr>
        <w:t>In addition, if the FDA or a comparable foreign regulatory authority approves our ecDTx, the manufacturing processes, labeling, packaging, distribution, adverse event reporting, storage, advertising, promotion, import, export, and recordkeeping for our products will be subject to extensive and ongoing regulatory requirements. These requirements include submissions of safety and other post-marketing information and reports, registration, as well as continued compliance with cGMPs and GCP requirements for any clinical trials that we conduct post-approval. Manufacturers of approved products and their facilities are subject to continual review and periodic, unannounced inspections by the FDA and other regulatory authorities for compliance with cGMP regulations and standards. Failure to comply with regulatory requirements or later discovery of previously unknown problems with our products, including adverse events of unanticipated severity or frequency, or with our third-party manufacturers or manufacturing processes, may result in, among other things:</w:t>
      </w:r>
    </w:p>
    <w:p>
      <w:pPr>
        <w:spacing w:after="0" w:line="84" w:lineRule="exact"/>
        <w:rPr>
          <w:sz w:val="20"/>
          <w:szCs w:val="20"/>
          <w:color w:val="auto"/>
        </w:rPr>
      </w:pPr>
    </w:p>
    <w:p>
      <w:pPr>
        <w:ind w:left="1660" w:right="160" w:hanging="418"/>
        <w:spacing w:after="0" w:line="270" w:lineRule="auto"/>
        <w:tabs>
          <w:tab w:leader="none" w:pos="1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our products, withdrawal of the product from the market or voluntary or mandatory product recalls;</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restrictions on product distribution or use, or requirements to conduct post-marketing studies or clinical trials;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restrictions on our ability to conduct clinical trials, including full or partial clinical holds on ongoing or planned trials;</w:t>
      </w:r>
    </w:p>
    <w:p>
      <w:pPr>
        <w:spacing w:after="0" w:line="111" w:lineRule="exact"/>
        <w:rPr>
          <w:rFonts w:ascii="Arial" w:cs="Arial" w:eastAsia="Arial" w:hAnsi="Arial"/>
          <w:sz w:val="17"/>
          <w:szCs w:val="17"/>
          <w:color w:val="auto"/>
        </w:rPr>
      </w:pPr>
    </w:p>
    <w:p>
      <w:pPr>
        <w:ind w:left="1660" w:right="200" w:hanging="418"/>
        <w:spacing w:after="0" w:line="270" w:lineRule="auto"/>
        <w:tabs>
          <w:tab w:leader="none" w:pos="1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fines, restitutions, disgorgement of profits or revenue, warning letters, untitled letters, adverse publicity requirements, or holds on clinical trials;</w:t>
      </w:r>
    </w:p>
    <w:p>
      <w:pPr>
        <w:spacing w:after="0" w:line="58" w:lineRule="exact"/>
        <w:rPr>
          <w:rFonts w:ascii="Arial" w:cs="Arial" w:eastAsia="Arial" w:hAnsi="Arial"/>
          <w:sz w:val="17"/>
          <w:szCs w:val="17"/>
          <w:color w:val="auto"/>
        </w:rPr>
      </w:pPr>
    </w:p>
    <w:p>
      <w:pPr>
        <w:ind w:left="1660" w:right="880" w:hanging="418"/>
        <w:spacing w:after="0" w:line="270" w:lineRule="auto"/>
        <w:tabs>
          <w:tab w:leader="none" w:pos="1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refusal by the FDA or other regulatory authorities to approve pending applications or supplements to approved applications submitted by us or suspension or revocation of approvals;</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our products; and</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injunctions and the imposition of civil or criminal penalties.</w:t>
      </w:r>
    </w:p>
    <w:p>
      <w:pPr>
        <w:spacing w:after="0" w:line="162" w:lineRule="exact"/>
        <w:rPr>
          <w:sz w:val="20"/>
          <w:szCs w:val="20"/>
          <w:color w:val="auto"/>
        </w:rPr>
      </w:pPr>
    </w:p>
    <w:p>
      <w:pPr>
        <w:ind w:left="420" w:right="120" w:firstLine="521"/>
        <w:spacing w:after="0" w:line="270" w:lineRule="auto"/>
        <w:rPr>
          <w:sz w:val="20"/>
          <w:szCs w:val="20"/>
          <w:color w:val="auto"/>
        </w:rPr>
      </w:pPr>
      <w:r>
        <w:rPr>
          <w:rFonts w:ascii="Arial" w:cs="Arial" w:eastAsia="Arial" w:hAnsi="Arial"/>
          <w:sz w:val="17"/>
          <w:szCs w:val="17"/>
          <w:color w:val="auto"/>
        </w:rPr>
        <w:t>The occurrence of any event or penalty described above may inhibit our ability to commercialize our ecDTx and generate revenue and could require us to expend significant time and resources in response and could generate negative publicity.</w:t>
      </w:r>
    </w:p>
    <w:p>
      <w:pPr>
        <w:spacing w:after="0" w:line="110" w:lineRule="exact"/>
        <w:rPr>
          <w:sz w:val="20"/>
          <w:szCs w:val="20"/>
          <w:color w:val="auto"/>
        </w:rPr>
      </w:pPr>
    </w:p>
    <w:p>
      <w:pPr>
        <w:ind w:left="420" w:right="80" w:firstLine="521"/>
        <w:spacing w:after="0" w:line="244"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promulgated that could prevent, limit, or delay marketing authorization of any ecDTx. 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05"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820"/>
          </w:cols>
          <w:pgMar w:left="320" w:top="439" w:right="7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The FDA and other regulatory agencies actively enforce the laws and regulations prohibiting the promotion of off-label uses.</w:t>
      </w:r>
    </w:p>
    <w:p>
      <w:pPr>
        <w:spacing w:after="0" w:line="98" w:lineRule="exact"/>
        <w:rPr>
          <w:sz w:val="20"/>
          <w:szCs w:val="20"/>
          <w:color w:val="auto"/>
        </w:rPr>
      </w:pPr>
    </w:p>
    <w:p>
      <w:pPr>
        <w:ind w:left="420" w:right="20" w:firstLine="521"/>
        <w:spacing w:after="0" w:line="239" w:lineRule="auto"/>
        <w:rPr>
          <w:sz w:val="20"/>
          <w:szCs w:val="20"/>
          <w:color w:val="auto"/>
        </w:rPr>
      </w:pPr>
      <w:r>
        <w:rPr>
          <w:rFonts w:ascii="Arial" w:cs="Arial" w:eastAsia="Arial" w:hAnsi="Arial"/>
          <w:sz w:val="17"/>
          <w:szCs w:val="17"/>
          <w:color w:val="auto"/>
        </w:rPr>
        <w:t>The FDA and other regulatory agencies strictly regulate the promotional claims that may be made about prescription products, such as our ecDTx, if approved. In particular, a product may not be promoted for uses that are not approved by the FDA or such other regulatory agencies as reflected in the product’s approved labeling. If we receive regulatory approval for an ecDTx,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our ecDTx, if approved, we could become subject to significant liability, which would materially adversely affect our business and financial condition.</w:t>
      </w:r>
    </w:p>
    <w:p>
      <w:pPr>
        <w:spacing w:after="0" w:line="280" w:lineRule="exact"/>
        <w:rPr>
          <w:sz w:val="20"/>
          <w:szCs w:val="20"/>
          <w:color w:val="auto"/>
        </w:rPr>
      </w:pPr>
    </w:p>
    <w:p>
      <w:pPr>
        <w:ind w:left="420"/>
        <w:spacing w:after="0" w:line="280" w:lineRule="auto"/>
        <w:rPr>
          <w:sz w:val="20"/>
          <w:szCs w:val="20"/>
          <w:color w:val="auto"/>
        </w:rPr>
      </w:pPr>
      <w:r>
        <w:rPr>
          <w:rFonts w:ascii="Arial" w:cs="Arial" w:eastAsia="Arial" w:hAnsi="Arial"/>
          <w:sz w:val="17"/>
          <w:szCs w:val="17"/>
          <w:b w:val="1"/>
          <w:bCs w:val="1"/>
          <w:i w:val="1"/>
          <w:iCs w:val="1"/>
          <w:color w:val="auto"/>
        </w:rPr>
        <w:t>The commercial success of our ecDTx will depend upon the degree of market acceptance of such ecDTx by physicians, patients, healthcare payors, and others in the medical community.</w:t>
      </w:r>
    </w:p>
    <w:p>
      <w:pPr>
        <w:spacing w:after="0" w:line="29" w:lineRule="exact"/>
        <w:rPr>
          <w:sz w:val="20"/>
          <w:szCs w:val="20"/>
          <w:color w:val="auto"/>
        </w:rPr>
      </w:pPr>
    </w:p>
    <w:p>
      <w:pPr>
        <w:jc w:val="both"/>
        <w:ind w:left="420" w:right="240" w:firstLine="521"/>
        <w:spacing w:after="0" w:line="247" w:lineRule="auto"/>
        <w:rPr>
          <w:sz w:val="20"/>
          <w:szCs w:val="20"/>
          <w:color w:val="auto"/>
        </w:rPr>
      </w:pPr>
      <w:r>
        <w:rPr>
          <w:rFonts w:ascii="Arial" w:cs="Arial" w:eastAsia="Arial" w:hAnsi="Arial"/>
          <w:sz w:val="17"/>
          <w:szCs w:val="17"/>
          <w:color w:val="auto"/>
        </w:rPr>
        <w:t>Our ecDTx may not be commercially successful. Even if any of our ecDTx receive regulatory approval, they may not gain market acceptance among physicians, patients, healthcare payors, or the medical community. The commercial success of any of our current or future ecDTx will depend significantly on the broad adoption and use of the resulting product by these individuals and organizations for approved indications. The degree of market acceptance of our products will depend on a number of factors, including:</w:t>
      </w:r>
    </w:p>
    <w:p>
      <w:pPr>
        <w:spacing w:after="0" w:line="77" w:lineRule="exact"/>
        <w:rPr>
          <w:sz w:val="20"/>
          <w:szCs w:val="20"/>
          <w:color w:val="auto"/>
        </w:rPr>
      </w:pPr>
    </w:p>
    <w:p>
      <w:pPr>
        <w:ind w:left="1660" w:hanging="418"/>
        <w:spacing w:after="0"/>
        <w:tabs>
          <w:tab w:leader="none" w:pos="1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demonstration of clinical efficacy and safety, including as compared to any more-established products;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indications for which our ecDTx are approved;</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limitation of our targeted patient population and other limitations or warnings contained in any FDA-approved labeling;</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acceptance of a new drug for the relevant indication by healthcare providers and their patients;</w:t>
      </w:r>
    </w:p>
    <w:p>
      <w:pPr>
        <w:spacing w:after="0" w:line="111" w:lineRule="exact"/>
        <w:rPr>
          <w:rFonts w:ascii="Arial" w:cs="Arial" w:eastAsia="Arial" w:hAnsi="Arial"/>
          <w:sz w:val="17"/>
          <w:szCs w:val="17"/>
          <w:color w:val="auto"/>
        </w:rPr>
      </w:pPr>
    </w:p>
    <w:p>
      <w:pPr>
        <w:ind w:left="1660" w:right="720" w:hanging="418"/>
        <w:spacing w:after="0" w:line="270" w:lineRule="auto"/>
        <w:tabs>
          <w:tab w:leader="none" w:pos="1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pricing and cost-effectiveness of our products, as well as the cost of treatment with our products in relation to alternative treatments and therapies;</w:t>
      </w:r>
    </w:p>
    <w:p>
      <w:pPr>
        <w:spacing w:after="0" w:line="58" w:lineRule="exact"/>
        <w:rPr>
          <w:rFonts w:ascii="Arial" w:cs="Arial" w:eastAsia="Arial" w:hAnsi="Arial"/>
          <w:sz w:val="17"/>
          <w:szCs w:val="17"/>
          <w:color w:val="auto"/>
        </w:rPr>
      </w:pPr>
    </w:p>
    <w:p>
      <w:pPr>
        <w:ind w:left="1660" w:right="20" w:hanging="418"/>
        <w:spacing w:after="0" w:line="270" w:lineRule="auto"/>
        <w:tabs>
          <w:tab w:leader="none" w:pos="1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ability to obtain and maintain sufficient third-party coverage and adequate reimbursement from government healthcare programs, including Medicare and Medicaid, private health insurers, and other third-party payors;</w:t>
      </w:r>
    </w:p>
    <w:p>
      <w:pPr>
        <w:spacing w:after="0" w:line="58" w:lineRule="exact"/>
        <w:rPr>
          <w:rFonts w:ascii="Arial" w:cs="Arial" w:eastAsia="Arial" w:hAnsi="Arial"/>
          <w:sz w:val="17"/>
          <w:szCs w:val="17"/>
          <w:color w:val="auto"/>
        </w:rPr>
      </w:pPr>
    </w:p>
    <w:p>
      <w:pPr>
        <w:ind w:left="1660" w:right="300" w:hanging="418"/>
        <w:spacing w:after="0" w:line="270" w:lineRule="auto"/>
        <w:tabs>
          <w:tab w:leader="none" w:pos="1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willingness of patients to pay all, or a portion of, out-of-pocket costs associated with our products in the absence of sufficient third-party coverage and adequate reimbursement;</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restrictions on the use of our products, and the prevalence and severity of any adverse effects;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potential product liability claims;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timing of market introduction of our products as well as availability, safety, and efficacy of competitive drugs;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effectiveness of our or any potential future collaborators’ sales and marketing strategies; and</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unfavorable publicity relating to the product.</w:t>
      </w:r>
    </w:p>
    <w:p>
      <w:pPr>
        <w:spacing w:after="0" w:line="13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840"/>
          </w:cols>
          <w:pgMar w:left="320" w:top="439" w:right="7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240" w:firstLine="521"/>
        <w:spacing w:after="0" w:line="247" w:lineRule="auto"/>
        <w:rPr>
          <w:sz w:val="20"/>
          <w:szCs w:val="20"/>
          <w:color w:val="auto"/>
        </w:rPr>
      </w:pPr>
      <w:r>
        <w:rPr>
          <w:rFonts w:ascii="Arial" w:cs="Arial" w:eastAsia="Arial" w:hAnsi="Arial"/>
          <w:sz w:val="17"/>
          <w:szCs w:val="17"/>
          <w:color w:val="auto"/>
        </w:rPr>
        <w:t>If any ecDTx is approved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products may require significant resources and may never be successful.</w:t>
      </w:r>
    </w:p>
    <w:p>
      <w:pPr>
        <w:spacing w:after="0" w:line="269" w:lineRule="exact"/>
        <w:rPr>
          <w:sz w:val="20"/>
          <w:szCs w:val="20"/>
          <w:color w:val="auto"/>
        </w:rPr>
      </w:pPr>
    </w:p>
    <w:p>
      <w:pPr>
        <w:ind w:left="420" w:right="20"/>
        <w:spacing w:after="0" w:line="250" w:lineRule="auto"/>
        <w:rPr>
          <w:sz w:val="20"/>
          <w:szCs w:val="20"/>
          <w:color w:val="auto"/>
        </w:rPr>
      </w:pPr>
      <w:r>
        <w:rPr>
          <w:rFonts w:ascii="Arial" w:cs="Arial" w:eastAsia="Arial" w:hAnsi="Arial"/>
          <w:sz w:val="17"/>
          <w:szCs w:val="17"/>
          <w:b w:val="1"/>
          <w:bCs w:val="1"/>
          <w:i w:val="1"/>
          <w:iCs w:val="1"/>
          <w:color w:val="auto"/>
        </w:rPr>
        <w:t>The successful commercialization of our ecDTx, if approved, will depend in part on the extent to which governmental authorities and health insurers establish coverage, adequate reimbursement levels, and favorable pricing policies. Failure to obtain or maintain coverage and adequate reimbursement for our ecDTx could limit our ability to market those products and decrease our ability to generate revenue.</w:t>
      </w:r>
    </w:p>
    <w:p>
      <w:pPr>
        <w:spacing w:after="0" w:line="54" w:lineRule="exact"/>
        <w:rPr>
          <w:sz w:val="20"/>
          <w:szCs w:val="20"/>
          <w:color w:val="auto"/>
        </w:rPr>
      </w:pPr>
    </w:p>
    <w:p>
      <w:pPr>
        <w:ind w:left="420" w:right="80" w:firstLine="521"/>
        <w:spacing w:after="0" w:line="242" w:lineRule="auto"/>
        <w:rPr>
          <w:sz w:val="20"/>
          <w:szCs w:val="20"/>
          <w:color w:val="auto"/>
        </w:rPr>
      </w:pPr>
      <w:r>
        <w:rPr>
          <w:rFonts w:ascii="Arial" w:cs="Arial" w:eastAsia="Arial" w:hAnsi="Arial"/>
          <w:sz w:val="17"/>
          <w:szCs w:val="17"/>
          <w:color w:val="auto"/>
        </w:rPr>
        <w:t>The availability of coverage and the adequacy of reimbursement by governmental healthcare programs such as Medicare and Medicaid, private health insurers, and other third-party payors are essential for most patients to be able to afford prescription medications such as our ecDTx, if approved. Our ability to achieve coverage and acceptable levels of reimbursement for our ecDTx by third-party payors will have an effect on our ability to successfully commercialize those ecDTx. Accordingly, we will need to successfully implement a coverage and reimbursement strategy for any approved ecDTx. Even if we obtain coverage for a given ecDTx by a third-party payor, the resulting reimbursement payment rates may not be adequate or may require co-payments that patients find unacceptably high.</w:t>
      </w:r>
    </w:p>
    <w:p>
      <w:pPr>
        <w:spacing w:after="0" w:line="146" w:lineRule="exact"/>
        <w:rPr>
          <w:sz w:val="20"/>
          <w:szCs w:val="20"/>
          <w:color w:val="auto"/>
        </w:rPr>
      </w:pPr>
    </w:p>
    <w:p>
      <w:pPr>
        <w:ind w:left="420" w:right="140" w:firstLine="521"/>
        <w:spacing w:after="0" w:line="247" w:lineRule="auto"/>
        <w:rPr>
          <w:sz w:val="20"/>
          <w:szCs w:val="20"/>
          <w:color w:val="auto"/>
        </w:rPr>
      </w:pPr>
      <w:r>
        <w:rPr>
          <w:rFonts w:ascii="Arial" w:cs="Arial" w:eastAsia="Arial" w:hAnsi="Arial"/>
          <w:sz w:val="17"/>
          <w:szCs w:val="17"/>
          <w:color w:val="auto"/>
        </w:rPr>
        <w:t>If we participate in the Medicaid Drug Rebate Program or other governmental pricing programs, in certain circumstances, our ecDTx would be subject to ceiling prices set by such programs, which could reduce the revenue we may generate from any such ecDTx. Participation in such programs would also expose us to the risk of significant civil monetary penalties, sanctions, and fines should we be found to be in violation of any applicable obligations thereunder.</w:t>
      </w:r>
    </w:p>
    <w:p>
      <w:pPr>
        <w:spacing w:after="0" w:line="128" w:lineRule="exact"/>
        <w:rPr>
          <w:sz w:val="20"/>
          <w:szCs w:val="20"/>
          <w:color w:val="auto"/>
        </w:rPr>
      </w:pPr>
    </w:p>
    <w:p>
      <w:pPr>
        <w:ind w:left="420" w:firstLine="521"/>
        <w:spacing w:after="0" w:line="238" w:lineRule="auto"/>
        <w:rPr>
          <w:sz w:val="20"/>
          <w:szCs w:val="20"/>
          <w:color w:val="auto"/>
        </w:rPr>
      </w:pPr>
      <w:r>
        <w:rPr>
          <w:rFonts w:ascii="Arial" w:cs="Arial" w:eastAsia="Arial" w:hAnsi="Arial"/>
          <w:sz w:val="17"/>
          <w:szCs w:val="17"/>
          <w:color w:val="auto"/>
        </w:rPr>
        <w:t>Third -party payors increasingly are challenging prices charged for biopharmaceutical products and services, and many third-party payors may refuse to provide coverage and reimbursement for particular drugs when an equivalent generic drug or a less expensive therapy is available. It is possible that a third-party payor may consider our ecDTx as substitutable and offer to reimburse patients only for the less expensive product. Even if we are successful in demonstrating improved efficacy or improved convenience of administration with our ecDTx, pricing of existing drugs may limit the amount we will be able to charge for our ecDTx. These payors may deny or revoke the reimbursement status of a given product or establish prices for new or existing marketed products at levels that are too low to enable us to realize an appropriate return on our investment in ecDTx development. If reimbursement is not available or is available only at limited levels, we may not be able to successfully commercialize our ecDTx and may not be able to obtain a satisfactory financial return on ecDTx that we may develop. In addition, in the event that we develop companion diagnostic tests for use with our ecDTx, once approved, such companion diagnostic tests will require coverage and reimbursement separate and apart from the coverage and reimbursement for their companion pharmaceutical product. Similar challenges to obtaining coverage and reimbursement applicable to pharmaceutical products will apply to companion diagnostics tests.</w:t>
      </w:r>
    </w:p>
    <w:p>
      <w:pPr>
        <w:spacing w:after="0" w:line="140" w:lineRule="exact"/>
        <w:rPr>
          <w:sz w:val="20"/>
          <w:szCs w:val="20"/>
          <w:color w:val="auto"/>
        </w:rPr>
      </w:pPr>
    </w:p>
    <w:p>
      <w:pPr>
        <w:ind w:left="420" w:right="100" w:firstLine="521"/>
        <w:spacing w:after="0" w:line="244" w:lineRule="auto"/>
        <w:rPr>
          <w:sz w:val="20"/>
          <w:szCs w:val="20"/>
          <w:color w:val="auto"/>
        </w:rPr>
      </w:pPr>
      <w:r>
        <w:rPr>
          <w:rFonts w:ascii="Arial" w:cs="Arial" w:eastAsia="Arial" w:hAnsi="Arial"/>
          <w:sz w:val="17"/>
          <w:szCs w:val="17"/>
          <w:color w:val="auto"/>
        </w:rPr>
        <w:t>There is significant uncertainty related to third-party payor coverage and reimbursement of newly approved products. In the United States, third-party payors, including private and governmental payors, such as the Medicare and Medicaid programs, play an important role in determining the extent to which new drugs will be covered.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our products.</w:t>
      </w:r>
    </w:p>
    <w:p>
      <w:pPr>
        <w:spacing w:after="0" w:line="105"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820"/>
          </w:cols>
          <w:pgMar w:left="320" w:top="439" w:right="7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20" w:firstLine="521"/>
        <w:spacing w:after="0"/>
        <w:rPr>
          <w:sz w:val="20"/>
          <w:szCs w:val="20"/>
          <w:color w:val="auto"/>
        </w:rPr>
      </w:pPr>
      <w:r>
        <w:rPr>
          <w:rFonts w:ascii="Arial" w:cs="Arial" w:eastAsia="Arial" w:hAnsi="Arial"/>
          <w:sz w:val="17"/>
          <w:szCs w:val="17"/>
          <w:color w:val="auto"/>
        </w:rPr>
        <w:t>Obtaining and maintaining reimbursement status is time-consuming,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 consuming and costly process that will require us to provide scientific and clinical support for the use of our ecDTx to each payor separately, with no assurance that coverage and adequate reimbursement will be applied consistently or obtained in the first instance. Furthermore, rules and regulations regarding reimbursement change frequently, and, in some cases, at short notice, and we believe that changes in these rules and regulations are likely.</w:t>
      </w:r>
    </w:p>
    <w:p>
      <w:pPr>
        <w:spacing w:after="0" w:line="148" w:lineRule="exact"/>
        <w:rPr>
          <w:sz w:val="20"/>
          <w:szCs w:val="20"/>
          <w:color w:val="auto"/>
        </w:rPr>
      </w:pPr>
    </w:p>
    <w:p>
      <w:pPr>
        <w:ind w:left="420" w:right="20" w:firstLine="521"/>
        <w:spacing w:after="0"/>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our ecDTx, if approved in these jurisdictions.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ecDTx. Accordingly, in markets outside the United States, the reimbursement for our products may be reduced compared with the United States and may be insufficient to generate commercially reasonable revenue and profits.</w:t>
      </w:r>
    </w:p>
    <w:p>
      <w:pPr>
        <w:spacing w:after="0" w:line="136" w:lineRule="exact"/>
        <w:rPr>
          <w:sz w:val="20"/>
          <w:szCs w:val="20"/>
          <w:color w:val="auto"/>
        </w:rPr>
      </w:pPr>
    </w:p>
    <w:p>
      <w:pPr>
        <w:ind w:left="420" w:right="80" w:firstLine="521"/>
        <w:spacing w:after="0" w:line="239"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ecDTx. We expect to experience pricing pressures in connection with the sale of any of our ecDTx due to the trend toward managed healthcare, the increasing influence of health maintenance organizations and additional legislative changes. The downward pressure on healthcare costs in general, and prescription drugs, surgical procedures, and other treatments in particular, has become very intense. As a result, increasingly high barriers are being erected to the entry of new products. See the section titled “Risk Factors—Risks Related to Our Business Operations and Industry—Current and future healthcare reform legislation or regulation may increase the difficulty and cost for us to obtain coverage for and commercialize our ecDTx and may adversely affect the prices we may set” for additional related information.</w:t>
      </w:r>
    </w:p>
    <w:p>
      <w:pPr>
        <w:spacing w:after="0" w:line="280" w:lineRule="exact"/>
        <w:rPr>
          <w:sz w:val="20"/>
          <w:szCs w:val="20"/>
          <w:color w:val="auto"/>
        </w:rPr>
      </w:pPr>
    </w:p>
    <w:p>
      <w:pPr>
        <w:ind w:left="420" w:right="140"/>
        <w:spacing w:after="0" w:line="246" w:lineRule="auto"/>
        <w:rPr>
          <w:sz w:val="20"/>
          <w:szCs w:val="20"/>
          <w:color w:val="auto"/>
        </w:rPr>
      </w:pPr>
      <w:r>
        <w:rPr>
          <w:rFonts w:ascii="Arial" w:cs="Arial" w:eastAsia="Arial" w:hAnsi="Arial"/>
          <w:sz w:val="17"/>
          <w:szCs w:val="17"/>
          <w:b w:val="1"/>
          <w:bCs w:val="1"/>
          <w:i w:val="1"/>
          <w:iCs w:val="1"/>
          <w:color w:val="auto"/>
        </w:rPr>
        <w:t>We face significant competition from entities that have developed or may develop product candidates for cancer, including companies developing novel treatments and technology platforms. If our competitors develop and commercialize their product candidates more rapidly than we do, or their technologies or their product candidates are more effective, safer, or less expensive than our ecDTx, our business and our ability to develop and successfully commercialize ecDTx may be adversely affected.</w:t>
      </w:r>
    </w:p>
    <w:p>
      <w:pPr>
        <w:spacing w:after="0" w:line="59" w:lineRule="exact"/>
        <w:rPr>
          <w:sz w:val="20"/>
          <w:szCs w:val="20"/>
          <w:color w:val="auto"/>
        </w:rPr>
      </w:pPr>
    </w:p>
    <w:p>
      <w:pPr>
        <w:ind w:left="420" w:firstLine="521"/>
        <w:spacing w:after="0" w:line="241" w:lineRule="auto"/>
        <w:rPr>
          <w:sz w:val="20"/>
          <w:szCs w:val="20"/>
          <w:color w:val="auto"/>
        </w:rPr>
      </w:pPr>
      <w:r>
        <w:rPr>
          <w:rFonts w:ascii="Arial" w:cs="Arial" w:eastAsia="Arial" w:hAnsi="Arial"/>
          <w:sz w:val="17"/>
          <w:szCs w:val="17"/>
          <w:color w:val="auto"/>
        </w:rPr>
        <w:t>The biopharmaceutical industry is characterized by rapid advancing technologies, intense competition, and a strong emphasis on proprietary and novel products and product candidates. Our competitors have developed, are developing, or may develop products, product candidates, and processes competitive with our ecDTx. Any ecDTx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indications for which we may attempt to develop ecDTx. In particular, there is intense competition in the oncology field. Our competitors include larger and better-funded pharmaceutical, biopharmaceutical, biotechnological, and therapeutics</w:t>
      </w:r>
    </w:p>
    <w:p>
      <w:pPr>
        <w:spacing w:after="0" w:line="10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820"/>
          </w:cols>
          <w:pgMar w:left="320" w:top="439" w:right="7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100"/>
        <w:spacing w:after="0" w:line="241" w:lineRule="auto"/>
        <w:rPr>
          <w:sz w:val="20"/>
          <w:szCs w:val="20"/>
          <w:color w:val="auto"/>
        </w:rPr>
      </w:pPr>
      <w:r>
        <w:rPr>
          <w:rFonts w:ascii="Arial" w:cs="Arial" w:eastAsia="Arial" w:hAnsi="Arial"/>
          <w:sz w:val="17"/>
          <w:szCs w:val="17"/>
          <w:color w:val="auto"/>
        </w:rPr>
        <w:t>companies. Moreover, we may also compete with universities and other research institutions that may be active in oncology research and could be in direct competition with us. We also compete with these organizations to recruit management, scientists, and clinical development personnel, and our inability to compete successfully could negatively affect our level of expertise and our ability to execute our business plan. We will also face competition in establishing clinical trial sites, enrolling patients for clinical trials, and identifying and in-licensing intellectual property related to new ecDTx, as well as entering into collaborations, joint ventures, license agreements, and other similar arrangements. Smaller or early-stage companies may also prove to be significant competitors, particularly through collaborative arrangements with large and established companies.</w:t>
      </w:r>
    </w:p>
    <w:p>
      <w:pPr>
        <w:spacing w:after="0" w:line="146" w:lineRule="exact"/>
        <w:rPr>
          <w:sz w:val="20"/>
          <w:szCs w:val="20"/>
          <w:color w:val="auto"/>
        </w:rPr>
      </w:pPr>
    </w:p>
    <w:p>
      <w:pPr>
        <w:ind w:left="420" w:firstLine="521"/>
        <w:spacing w:after="0" w:line="239" w:lineRule="auto"/>
        <w:rPr>
          <w:sz w:val="20"/>
          <w:szCs w:val="20"/>
          <w:color w:val="auto"/>
        </w:rPr>
      </w:pPr>
      <w:r>
        <w:rPr>
          <w:rFonts w:ascii="Arial" w:cs="Arial" w:eastAsia="Arial" w:hAnsi="Arial"/>
          <w:sz w:val="17"/>
          <w:szCs w:val="17"/>
          <w:color w:val="auto"/>
        </w:rPr>
        <w:t>If any of our ecDTx are approved, they will compete with surgery, radiation, and drug therapy, including chemotherapy, hormone therapy, biologic therapy, such as monoclonal and bispecific antibodies, antibody-drug conjugates, radiopharmaceuticals, immunotherapy, cell-based therapy, and targeted therapy, or a combination of any such methods, either approved or under development, which are intended to treat the same indications that we are targeting or may target, including through approaches that may prove to be more effective, have fewer side effects, be less costly to manufacture, be more convenient to administer, or have other advantages over our ecDTx. There are numerous companies developing precision oncology medicines with which we may compete. In addition to competing with other therapies targeting similar indications, there are numerous other companies and academic institutions focused on similar targets as our ecDTx and/or different scientific approaches to treating the same indications. We face competition from such companies in seeking any future potential collaborations to partner our ecDTx, as well as potentially competing commercially for any approved products.</w:t>
      </w:r>
    </w:p>
    <w:p>
      <w:pPr>
        <w:spacing w:after="0" w:line="139" w:lineRule="exact"/>
        <w:rPr>
          <w:sz w:val="20"/>
          <w:szCs w:val="20"/>
          <w:color w:val="auto"/>
        </w:rPr>
      </w:pPr>
    </w:p>
    <w:p>
      <w:pPr>
        <w:ind w:left="420" w:right="60" w:firstLine="521"/>
        <w:spacing w:after="0" w:line="241" w:lineRule="auto"/>
        <w:rPr>
          <w:sz w:val="20"/>
          <w:szCs w:val="20"/>
          <w:color w:val="auto"/>
        </w:rPr>
      </w:pPr>
      <w:r>
        <w:rPr>
          <w:rFonts w:ascii="Arial" w:cs="Arial" w:eastAsia="Arial" w:hAnsi="Arial"/>
          <w:sz w:val="17"/>
          <w:szCs w:val="17"/>
          <w:color w:val="auto"/>
        </w:rPr>
        <w:t>Specifically, for BBI-355, Acrivon Therapeutics, Esperas Pharma, and PharmaEngine have CHK1 inhibitors in clinical development. BenevolentAI, Fosun Pharma, and Impact Therapeutics have publicly disclosed preclinical stage CHK1 inhibitors. For BBI-825, there are several generic approved agents that inhibit RNR as part of their broader mechanism of action, including gemcitabine and hydroxyurea. For our pipeline of ecDTx programs, potential competition includes established companies as well as emerging biotechnology companies that may launch programs against similar targets; however, we are not aware of any companies with ecDNA-directed therapeutic programs in clinical development or a patient selection strategy for ecDNA-enabled oncogene amplification. We are aware of one early-stage private company that is focused on research in ecDNA, Econic Biosciences.</w:t>
      </w:r>
    </w:p>
    <w:p>
      <w:pPr>
        <w:spacing w:after="0" w:line="134" w:lineRule="exact"/>
        <w:rPr>
          <w:sz w:val="20"/>
          <w:szCs w:val="20"/>
          <w:color w:val="auto"/>
        </w:rPr>
      </w:pPr>
    </w:p>
    <w:p>
      <w:pPr>
        <w:ind w:left="420" w:right="40" w:firstLine="521"/>
        <w:spacing w:after="0" w:line="239" w:lineRule="auto"/>
        <w:rPr>
          <w:sz w:val="20"/>
          <w:szCs w:val="20"/>
          <w:color w:val="auto"/>
        </w:rPr>
      </w:pPr>
      <w:r>
        <w:rPr>
          <w:rFonts w:ascii="Arial" w:cs="Arial" w:eastAsia="Arial" w:hAnsi="Arial"/>
          <w:sz w:val="17"/>
          <w:szCs w:val="17"/>
          <w:color w:val="auto"/>
        </w:rPr>
        <w:t>Many of our competitors have significantly greater financial, technical, manufacturing, marketing, sales, and supply resources or experience than we do. If we successfully obtain approval for any ecDTx,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may make any ecDTx we develop obsolete or noncompetitive before we recover the expense of developing and commercializing it. If we are unable to compete effectively, our opportunity to generate revenue from the sale of any ecDTx we may develop, if approved, could be adversely affected.</w:t>
      </w:r>
    </w:p>
    <w:p>
      <w:pPr>
        <w:spacing w:after="0" w:line="280" w:lineRule="exact"/>
        <w:rPr>
          <w:sz w:val="20"/>
          <w:szCs w:val="20"/>
          <w:color w:val="auto"/>
        </w:rPr>
      </w:pPr>
    </w:p>
    <w:p>
      <w:pPr>
        <w:ind w:left="420" w:right="100"/>
        <w:spacing w:after="0" w:line="280" w:lineRule="auto"/>
        <w:rPr>
          <w:sz w:val="20"/>
          <w:szCs w:val="20"/>
          <w:color w:val="auto"/>
        </w:rPr>
      </w:pPr>
      <w:r>
        <w:rPr>
          <w:rFonts w:ascii="Arial" w:cs="Arial" w:eastAsia="Arial" w:hAnsi="Arial"/>
          <w:sz w:val="17"/>
          <w:szCs w:val="17"/>
          <w:b w:val="1"/>
          <w:bCs w:val="1"/>
          <w:i w:val="1"/>
          <w:iCs w:val="1"/>
          <w:color w:val="auto"/>
        </w:rPr>
        <w:t>The market opportunities for our ecDTx may be limited to patients who are ineligible for or have failed prior treatments and may be small or different from our estimates.</w:t>
      </w:r>
    </w:p>
    <w:p>
      <w:pPr>
        <w:spacing w:after="0" w:line="29" w:lineRule="exact"/>
        <w:rPr>
          <w:sz w:val="20"/>
          <w:szCs w:val="20"/>
          <w:color w:val="auto"/>
        </w:rPr>
      </w:pPr>
    </w:p>
    <w:p>
      <w:pPr>
        <w:ind w:left="420" w:right="680" w:firstLine="521"/>
        <w:spacing w:after="0" w:line="270" w:lineRule="auto"/>
        <w:rPr>
          <w:sz w:val="20"/>
          <w:szCs w:val="20"/>
          <w:color w:val="auto"/>
        </w:rPr>
      </w:pPr>
      <w:r>
        <w:rPr>
          <w:rFonts w:ascii="Arial" w:cs="Arial" w:eastAsia="Arial" w:hAnsi="Arial"/>
          <w:sz w:val="17"/>
          <w:szCs w:val="17"/>
          <w:color w:val="auto"/>
        </w:rPr>
        <w:t>Cancer therapies are defined by lines of therapy as well as by treatment-naïve or previously-treated status. Often the initial approval for a new therapy is in later lines and subsequent approval in</w:t>
      </w:r>
    </w:p>
    <w:p>
      <w:pPr>
        <w:spacing w:after="0" w:line="8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840"/>
          </w:cols>
          <w:pgMar w:left="320" w:top="439" w:right="7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40"/>
        <w:spacing w:after="0"/>
        <w:rPr>
          <w:sz w:val="20"/>
          <w:szCs w:val="20"/>
          <w:color w:val="auto"/>
        </w:rPr>
      </w:pPr>
      <w:r>
        <w:rPr>
          <w:rFonts w:ascii="Arial" w:cs="Arial" w:eastAsia="Arial" w:hAnsi="Arial"/>
          <w:sz w:val="17"/>
          <w:szCs w:val="17"/>
          <w:color w:val="auto"/>
        </w:rPr>
        <w:t>an earlier line may not be feasible. When cancer is detected early enough, first line therapy is sometimes adequate to cure the cancer or prolong life without a cure. Whenever first line therapy, including surgery, radiation therapy, targeted therapy, immunotherapy, chemotherapy, hormone therapy, or a combination of these, proves unsuccessful, second line therapy may be administered. Second line therapies often consist of additional chemotherapy, radiation, antibody drugs, tumor targeted small molecules, or a combination of these. Third line therapies can include antibody and small molecule targeted therapies, more invasive forms of surgery, and new technologies. In markets with approved therapies, there is no guarantee that our ecDTx, even if approved, would be approved for second line or first line therapy. This could limit our potential market opportunity. In addition, we may have to conduct additional clinical trials prior to gaining approval for second line or first line therapy.</w:t>
      </w:r>
    </w:p>
    <w:p>
      <w:pPr>
        <w:spacing w:after="0" w:line="148" w:lineRule="exact"/>
        <w:rPr>
          <w:sz w:val="20"/>
          <w:szCs w:val="20"/>
          <w:color w:val="auto"/>
        </w:rPr>
      </w:pPr>
    </w:p>
    <w:p>
      <w:pPr>
        <w:ind w:left="420" w:right="20" w:firstLine="521"/>
        <w:spacing w:after="0" w:line="238" w:lineRule="auto"/>
        <w:rPr>
          <w:sz w:val="20"/>
          <w:szCs w:val="20"/>
          <w:color w:val="auto"/>
        </w:rPr>
      </w:pPr>
      <w:r>
        <w:rPr>
          <w:rFonts w:ascii="Arial" w:cs="Arial" w:eastAsia="Arial" w:hAnsi="Arial"/>
          <w:sz w:val="17"/>
          <w:szCs w:val="17"/>
          <w:color w:val="auto"/>
        </w:rPr>
        <w:t>Our projections of both the number of people who have the cancers we are targeting, as well as the subset of people with these cancers in a position to receive later stage therapy and who have the potential to benefit from treatment with our ecDTx, are based on our beliefs and estimates. These estimates have been derived from a variety of sources, including the scientific literature, publicly available clinical molecular reports, patient foundations, or market research, and may prove to be incorrect. Further, new trials or information may change the estimated incidence or prevalence of these cancers. Further, specific to our biomarker-driven strategy, data analytics and information from databases that we rely on for identifying or validating some of our biomarker-target relationships may not accurately reflect potential patient populations or may be based on incorrect methodology. As ecDNA in oncogene amplified cancers is a new and novel approach, this heightens the risk that our estimates of the eligible patient population may not be accurate.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 Further, even if we obtain significant market share for our ecDTx, because some of our potential target populations are very small, we may never achieve profitability despite obtaining such significant market share.</w:t>
      </w:r>
    </w:p>
    <w:p>
      <w:pPr>
        <w:spacing w:after="0" w:line="280" w:lineRule="exact"/>
        <w:rPr>
          <w:sz w:val="20"/>
          <w:szCs w:val="20"/>
          <w:color w:val="auto"/>
        </w:rPr>
      </w:pPr>
    </w:p>
    <w:p>
      <w:pPr>
        <w:ind w:left="420" w:right="40"/>
        <w:spacing w:after="0" w:line="250" w:lineRule="auto"/>
        <w:rPr>
          <w:sz w:val="20"/>
          <w:szCs w:val="20"/>
          <w:color w:val="auto"/>
        </w:rPr>
      </w:pPr>
      <w:r>
        <w:rPr>
          <w:rFonts w:ascii="Arial" w:cs="Arial" w:eastAsia="Arial" w:hAnsi="Arial"/>
          <w:sz w:val="17"/>
          <w:szCs w:val="17"/>
          <w:b w:val="1"/>
          <w:bCs w:val="1"/>
          <w:i w:val="1"/>
          <w:iCs w:val="1"/>
          <w:color w:val="auto"/>
        </w:rPr>
        <w:t>We currently have no marketing and sales organization and have no experience as a company in commercializing products, and we may need to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54" w:lineRule="exact"/>
        <w:rPr>
          <w:sz w:val="20"/>
          <w:szCs w:val="20"/>
          <w:color w:val="auto"/>
        </w:rPr>
      </w:pPr>
    </w:p>
    <w:p>
      <w:pPr>
        <w:ind w:left="420" w:firstLine="521"/>
        <w:spacing w:after="0" w:line="238" w:lineRule="auto"/>
        <w:rPr>
          <w:sz w:val="20"/>
          <w:szCs w:val="20"/>
          <w:color w:val="auto"/>
        </w:rPr>
      </w:pPr>
      <w:r>
        <w:rPr>
          <w:rFonts w:ascii="Arial" w:cs="Arial" w:eastAsia="Arial" w:hAnsi="Arial"/>
          <w:sz w:val="17"/>
          <w:szCs w:val="17"/>
          <w:color w:val="auto"/>
        </w:rPr>
        <w:t>We have no internal sales, marketing, or distribution capabilities, nor have we ever commercialized a product. If any of our ecDTx ultimately receives regulatory approval, we must build a marketing and sales organization with technical expertise and supporting distribution capabilities to commercialize each such product in major markets, which will be expensive and time consuming, or collaborate with third parties that have direct sales forces and established distribution systems, either to augment our own sales force and distribution systems or in lieu of our own sales force and distribution systems. We have no prior experience as a company with the marketing, sale, or distribution of biopharmaceutical products, and there are significant risks involved in the building and managing of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ecDTx revenue and our profitability, if any, may be lower if we rely on third parties for these functions than if we were to market, sell, and distribute any</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0820"/>
          </w:cols>
          <w:pgMar w:left="320" w:top="439" w:right="7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line="247" w:lineRule="auto"/>
        <w:rPr>
          <w:sz w:val="20"/>
          <w:szCs w:val="20"/>
          <w:color w:val="auto"/>
        </w:rPr>
      </w:pPr>
      <w:r>
        <w:rPr>
          <w:rFonts w:ascii="Arial" w:cs="Arial" w:eastAsia="Arial" w:hAnsi="Arial"/>
          <w:sz w:val="17"/>
          <w:szCs w:val="17"/>
          <w:color w:val="auto"/>
        </w:rPr>
        <w:t>ecDTx that we develop ourselves. We likely will have little control over such third parties, and any of them may fail to devote the necessary resources and attention to sell and market our ecDTx effectively. If we are not successful in commercializing our ecDTx, either on our own or through arrangements with one or more third parties, we may not be able to generate any future ecDTx revenue and we would incur significant additional losses.</w:t>
      </w:r>
    </w:p>
    <w:p>
      <w:pPr>
        <w:spacing w:after="0" w:line="269" w:lineRule="exact"/>
        <w:rPr>
          <w:sz w:val="20"/>
          <w:szCs w:val="20"/>
          <w:color w:val="auto"/>
        </w:rPr>
      </w:pPr>
    </w:p>
    <w:p>
      <w:pPr>
        <w:ind w:left="420" w:right="400"/>
        <w:spacing w:after="0" w:line="280" w:lineRule="auto"/>
        <w:rPr>
          <w:sz w:val="20"/>
          <w:szCs w:val="20"/>
          <w:color w:val="auto"/>
        </w:rPr>
      </w:pPr>
      <w:r>
        <w:rPr>
          <w:rFonts w:ascii="Arial" w:cs="Arial" w:eastAsia="Arial" w:hAnsi="Arial"/>
          <w:sz w:val="17"/>
          <w:szCs w:val="17"/>
          <w:b w:val="1"/>
          <w:bCs w:val="1"/>
          <w:i w:val="1"/>
          <w:iCs w:val="1"/>
          <w:color w:val="auto"/>
        </w:rPr>
        <w:t>Our future growth may depend, in part, on our ability to operate in foreign markets, where we would be subject to additional regulatory burdens and other risks and uncertainties.</w:t>
      </w:r>
    </w:p>
    <w:p>
      <w:pPr>
        <w:spacing w:after="0" w:line="29" w:lineRule="exact"/>
        <w:rPr>
          <w:sz w:val="20"/>
          <w:szCs w:val="20"/>
          <w:color w:val="auto"/>
        </w:rPr>
      </w:pPr>
    </w:p>
    <w:p>
      <w:pPr>
        <w:ind w:left="420" w:firstLine="521"/>
        <w:spacing w:after="0" w:line="241" w:lineRule="auto"/>
        <w:rPr>
          <w:sz w:val="20"/>
          <w:szCs w:val="20"/>
          <w:color w:val="auto"/>
        </w:rPr>
      </w:pPr>
      <w:r>
        <w:rPr>
          <w:rFonts w:ascii="Arial" w:cs="Arial" w:eastAsia="Arial" w:hAnsi="Arial"/>
          <w:sz w:val="17"/>
          <w:szCs w:val="17"/>
          <w:color w:val="auto"/>
        </w:rPr>
        <w:t>Our future growth may depend, in part, on our ability to develop and commercialize our ecDTx in foreign markets. We are not permitted to market or promote any of our ecDTx before we receive regulatory approval from applicable regulatory authorities in foreign markets, and we may never receive such regulatory approvals for any of our ecDTx. To obtain separate regulatory approval in many other countries we must comply with numerous and varying regulatory requirements regarding safety and efficacy and governing, among other things, clinical trials, commercial sales, pricing, and distribution of our ecDTx. Approval procedures may be more onerous than those in the United States and may require that we conduct additional preclinical studies or clinical trials. If we obtain regulatory approval of our ecDTx and ultimately commercialize our ecDTx in foreign markets, we would be subject to additional risks and uncertainties, including:</w:t>
      </w:r>
    </w:p>
    <w:p>
      <w:pPr>
        <w:spacing w:after="0" w:line="83" w:lineRule="exact"/>
        <w:rPr>
          <w:sz w:val="20"/>
          <w:szCs w:val="20"/>
          <w:color w:val="auto"/>
        </w:rPr>
      </w:pPr>
    </w:p>
    <w:p>
      <w:pPr>
        <w:ind w:left="1660" w:hanging="418"/>
        <w:spacing w:after="0"/>
        <w:tabs>
          <w:tab w:leader="none" w:pos="1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different regulatory requirements for approval of drugs in foreign countries;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reduced protection for intellectual property rights;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existence of additional third-party patent rights of potential relevance to our business;</w:t>
      </w:r>
    </w:p>
    <w:p>
      <w:pPr>
        <w:spacing w:after="0" w:line="111" w:lineRule="exact"/>
        <w:rPr>
          <w:rFonts w:ascii="Arial" w:cs="Arial" w:eastAsia="Arial" w:hAnsi="Arial"/>
          <w:sz w:val="17"/>
          <w:szCs w:val="17"/>
          <w:color w:val="auto"/>
        </w:rPr>
      </w:pPr>
    </w:p>
    <w:p>
      <w:pPr>
        <w:ind w:left="1660" w:right="360" w:hanging="418"/>
        <w:spacing w:after="0" w:line="270" w:lineRule="auto"/>
        <w:tabs>
          <w:tab w:leader="none" w:pos="1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compliance with export control and import laws and regulations and unexpected changes in tariffs, trade barriers, and regulatory requirements;</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foreign economies and markets;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111" w:lineRule="exact"/>
        <w:rPr>
          <w:rFonts w:ascii="Arial" w:cs="Arial" w:eastAsia="Arial" w:hAnsi="Arial"/>
          <w:sz w:val="17"/>
          <w:szCs w:val="17"/>
          <w:color w:val="auto"/>
        </w:rPr>
      </w:pPr>
    </w:p>
    <w:p>
      <w:pPr>
        <w:ind w:left="1660" w:right="620" w:hanging="418"/>
        <w:spacing w:after="0" w:line="270" w:lineRule="auto"/>
        <w:tabs>
          <w:tab w:leader="none" w:pos="1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foreign currency fluctuations, which could result in increased operating expenses and reduced revenue, and other obligations incident to doing business in another country;</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foreign reimbursement, pricing, and insurance regimes;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workforce uncertainty in countries where labor unrest is common;</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production shortages resulting from any events affecting raw material supply or manufacturing capabilities abroad; and</w:t>
      </w:r>
    </w:p>
    <w:p>
      <w:pPr>
        <w:spacing w:after="0" w:line="111" w:lineRule="exact"/>
        <w:rPr>
          <w:rFonts w:ascii="Arial" w:cs="Arial" w:eastAsia="Arial" w:hAnsi="Arial"/>
          <w:sz w:val="17"/>
          <w:szCs w:val="17"/>
          <w:color w:val="auto"/>
        </w:rPr>
      </w:pPr>
    </w:p>
    <w:p>
      <w:pPr>
        <w:ind w:left="1660" w:right="680" w:hanging="418"/>
        <w:spacing w:after="0" w:line="270" w:lineRule="auto"/>
        <w:tabs>
          <w:tab w:leader="none" w:pos="1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business interruptions resulting from geopolitical actions, including war and terrorism, public health pandemics or epidemics, or natural disasters including earthquakes, typhoons, floods, and fires.</w:t>
      </w:r>
    </w:p>
    <w:p>
      <w:pPr>
        <w:spacing w:after="0" w:line="250"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Risks Related to Our Business Operations and Industry</w:t>
      </w:r>
    </w:p>
    <w:p>
      <w:pPr>
        <w:spacing w:after="0" w:line="98" w:lineRule="exact"/>
        <w:rPr>
          <w:sz w:val="20"/>
          <w:szCs w:val="20"/>
          <w:color w:val="auto"/>
        </w:rPr>
      </w:pPr>
    </w:p>
    <w:p>
      <w:pPr>
        <w:ind w:left="420" w:right="200"/>
        <w:spacing w:after="0" w:line="280" w:lineRule="auto"/>
        <w:rPr>
          <w:sz w:val="20"/>
          <w:szCs w:val="20"/>
          <w:color w:val="auto"/>
        </w:rPr>
      </w:pPr>
      <w:r>
        <w:rPr>
          <w:rFonts w:ascii="Arial" w:cs="Arial" w:eastAsia="Arial" w:hAnsi="Arial"/>
          <w:sz w:val="17"/>
          <w:szCs w:val="17"/>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29" w:lineRule="exact"/>
        <w:rPr>
          <w:sz w:val="20"/>
          <w:szCs w:val="20"/>
          <w:color w:val="auto"/>
        </w:rPr>
      </w:pPr>
    </w:p>
    <w:p>
      <w:pPr>
        <w:ind w:left="420" w:right="180" w:firstLine="521"/>
        <w:spacing w:after="0" w:line="302" w:lineRule="auto"/>
        <w:rPr>
          <w:sz w:val="20"/>
          <w:szCs w:val="20"/>
          <w:color w:val="auto"/>
        </w:rPr>
      </w:pPr>
      <w:r>
        <w:rPr>
          <w:rFonts w:ascii="Arial" w:cs="Arial" w:eastAsia="Arial" w:hAnsi="Arial"/>
          <w:sz w:val="16"/>
          <w:szCs w:val="16"/>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35" w:lineRule="exact"/>
        <w:rPr>
          <w:sz w:val="20"/>
          <w:szCs w:val="20"/>
          <w:color w:val="auto"/>
        </w:rPr>
      </w:pPr>
    </w:p>
    <w:p>
      <w:pPr>
        <w:ind w:left="1660" w:right="360" w:hanging="418"/>
        <w:spacing w:after="0" w:line="270" w:lineRule="auto"/>
        <w:tabs>
          <w:tab w:leader="none" w:pos="1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timing and cost of, and level of investment in, research, development, regulatory approval, and commercialization activities relating to our ecDTx, which may change from</w:t>
      </w:r>
    </w:p>
    <w:p>
      <w:pPr>
        <w:spacing w:after="0" w:line="8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0820"/>
          </w:cols>
          <w:pgMar w:left="320" w:top="439" w:right="7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1660" w:right="520"/>
        <w:spacing w:after="0" w:line="270" w:lineRule="auto"/>
        <w:rPr>
          <w:sz w:val="20"/>
          <w:szCs w:val="20"/>
          <w:color w:val="auto"/>
        </w:rPr>
      </w:pPr>
      <w:r>
        <w:rPr>
          <w:rFonts w:ascii="Arial" w:cs="Arial" w:eastAsia="Arial" w:hAnsi="Arial"/>
          <w:sz w:val="17"/>
          <w:szCs w:val="17"/>
          <w:color w:val="auto"/>
        </w:rPr>
        <w:t>time to time, including the need to conduct unanticipated clinical trials or trials that are larger or more complex than anticipated;</w:t>
      </w:r>
    </w:p>
    <w:p>
      <w:pPr>
        <w:spacing w:after="0" w:line="58" w:lineRule="exact"/>
        <w:rPr>
          <w:sz w:val="20"/>
          <w:szCs w:val="20"/>
          <w:color w:val="auto"/>
        </w:rPr>
      </w:pPr>
    </w:p>
    <w:p>
      <w:pPr>
        <w:ind w:left="1660" w:hanging="418"/>
        <w:spacing w:after="0"/>
        <w:tabs>
          <w:tab w:leader="none" w:pos="1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ability to enroll patients in clinical trials and the timing of enrollment;</w:t>
      </w:r>
    </w:p>
    <w:p>
      <w:pPr>
        <w:spacing w:after="0" w:line="111" w:lineRule="exact"/>
        <w:rPr>
          <w:rFonts w:ascii="Arial" w:cs="Arial" w:eastAsia="Arial" w:hAnsi="Arial"/>
          <w:sz w:val="17"/>
          <w:szCs w:val="17"/>
          <w:color w:val="auto"/>
        </w:rPr>
      </w:pPr>
    </w:p>
    <w:p>
      <w:pPr>
        <w:ind w:left="1660" w:right="140" w:hanging="418"/>
        <w:spacing w:after="0" w:line="270" w:lineRule="auto"/>
        <w:tabs>
          <w:tab w:leader="none" w:pos="1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timing and success or failure of preclinical studies or clinical trials for our ecDTx or competing products, or any other change in the competitive landscape of our industry, including consolidation among our competitors or partners;</w:t>
      </w:r>
    </w:p>
    <w:p>
      <w:pPr>
        <w:spacing w:after="0" w:line="58" w:lineRule="exact"/>
        <w:rPr>
          <w:rFonts w:ascii="Arial" w:cs="Arial" w:eastAsia="Arial" w:hAnsi="Arial"/>
          <w:sz w:val="17"/>
          <w:szCs w:val="17"/>
          <w:color w:val="auto"/>
        </w:rPr>
      </w:pPr>
    </w:p>
    <w:p>
      <w:pPr>
        <w:ind w:left="1660" w:hanging="418"/>
        <w:spacing w:after="0" w:line="270" w:lineRule="auto"/>
        <w:tabs>
          <w:tab w:leader="none" w:pos="1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coverage and reimbursement policies with respect to our ecDTx, if approved, and potential future drugs that compete with our ecDTx ;</w:t>
      </w:r>
    </w:p>
    <w:p>
      <w:pPr>
        <w:spacing w:after="0" w:line="58" w:lineRule="exact"/>
        <w:rPr>
          <w:rFonts w:ascii="Arial" w:cs="Arial" w:eastAsia="Arial" w:hAnsi="Arial"/>
          <w:sz w:val="17"/>
          <w:szCs w:val="17"/>
          <w:color w:val="auto"/>
        </w:rPr>
      </w:pPr>
    </w:p>
    <w:p>
      <w:pPr>
        <w:ind w:left="1660" w:right="520" w:hanging="418"/>
        <w:spacing w:after="0" w:line="270" w:lineRule="auto"/>
        <w:tabs>
          <w:tab w:leader="none" w:pos="1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cost of manufacturing our ecDTx, which may vary depending on the quantity of production and the terms of our agreements with third-party manufacturers;</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expenditures that we may incur to acquire, develop, or commercialize additional ecDTx and technologies;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level of demand for any approved ecDTx, which may vary significantly and be difficult to predict;</w:t>
      </w:r>
    </w:p>
    <w:p>
      <w:pPr>
        <w:spacing w:after="0" w:line="12" w:lineRule="exact"/>
        <w:rPr>
          <w:rFonts w:ascii="Arial" w:cs="Arial" w:eastAsia="Arial" w:hAnsi="Arial"/>
          <w:sz w:val="17"/>
          <w:szCs w:val="17"/>
          <w:color w:val="auto"/>
        </w:rPr>
      </w:pPr>
    </w:p>
    <w:p>
      <w:pPr>
        <w:ind w:left="1660" w:hanging="418"/>
        <w:spacing w:after="0"/>
        <w:tabs>
          <w:tab w:leader="none" w:pos="1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collaborations, licensing, or other arrangements;</w:t>
      </w:r>
    </w:p>
    <w:p>
      <w:pPr>
        <w:spacing w:after="0" w:line="95" w:lineRule="exact"/>
        <w:rPr>
          <w:rFonts w:ascii="Arial" w:cs="Arial" w:eastAsia="Arial" w:hAnsi="Arial"/>
          <w:sz w:val="17"/>
          <w:szCs w:val="17"/>
          <w:color w:val="auto"/>
        </w:rPr>
      </w:pPr>
    </w:p>
    <w:p>
      <w:pPr>
        <w:ind w:left="1660" w:hanging="418"/>
        <w:spacing w:after="0"/>
        <w:tabs>
          <w:tab w:leader="none" w:pos="1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potential unforeseen business disruptions that increase our costs or expenses;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future accounting pronouncements or changes in our accounting policies; and</w:t>
      </w:r>
    </w:p>
    <w:p>
      <w:pPr>
        <w:spacing w:after="0" w:line="111" w:lineRule="exact"/>
        <w:rPr>
          <w:rFonts w:ascii="Arial" w:cs="Arial" w:eastAsia="Arial" w:hAnsi="Arial"/>
          <w:sz w:val="17"/>
          <w:szCs w:val="17"/>
          <w:color w:val="auto"/>
        </w:rPr>
      </w:pPr>
    </w:p>
    <w:p>
      <w:pPr>
        <w:ind w:left="1660" w:right="220" w:hanging="418"/>
        <w:spacing w:after="0" w:line="270" w:lineRule="auto"/>
        <w:tabs>
          <w:tab w:leader="none" w:pos="1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timing and amount of any milestone, royalty, or other payments payable by us or due to us under any collaboration, licensing, or other similar agreement.</w:t>
      </w:r>
    </w:p>
    <w:p>
      <w:pPr>
        <w:spacing w:after="0" w:line="122" w:lineRule="exact"/>
        <w:rPr>
          <w:sz w:val="20"/>
          <w:szCs w:val="20"/>
          <w:color w:val="auto"/>
        </w:rPr>
      </w:pPr>
    </w:p>
    <w:p>
      <w:pPr>
        <w:jc w:val="both"/>
        <w:ind w:left="420" w:right="180" w:firstLine="521"/>
        <w:spacing w:after="0" w:line="252" w:lineRule="auto"/>
        <w:rPr>
          <w:sz w:val="20"/>
          <w:szCs w:val="20"/>
          <w:color w:val="auto"/>
        </w:rPr>
      </w:pPr>
      <w:r>
        <w:rPr>
          <w:rFonts w:ascii="Arial" w:cs="Arial" w:eastAsia="Arial" w:hAnsi="Arial"/>
          <w:sz w:val="17"/>
          <w:szCs w:val="17"/>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25" w:lineRule="exact"/>
        <w:rPr>
          <w:sz w:val="20"/>
          <w:szCs w:val="20"/>
          <w:color w:val="auto"/>
        </w:rPr>
      </w:pPr>
    </w:p>
    <w:p>
      <w:pPr>
        <w:ind w:left="420" w:right="20" w:firstLine="521"/>
        <w:spacing w:after="0" w:line="244" w:lineRule="auto"/>
        <w:rPr>
          <w:sz w:val="20"/>
          <w:szCs w:val="20"/>
          <w:color w:val="auto"/>
        </w:rPr>
      </w:pPr>
      <w:r>
        <w:rPr>
          <w:rFonts w:ascii="Arial" w:cs="Arial" w:eastAsia="Arial" w:hAnsi="Arial"/>
          <w:sz w:val="17"/>
          <w:szCs w:val="17"/>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271" w:lineRule="exact"/>
        <w:rPr>
          <w:sz w:val="20"/>
          <w:szCs w:val="20"/>
          <w:color w:val="auto"/>
        </w:rPr>
      </w:pPr>
    </w:p>
    <w:p>
      <w:pPr>
        <w:ind w:left="420" w:right="540"/>
        <w:spacing w:after="0" w:line="280" w:lineRule="auto"/>
        <w:rPr>
          <w:sz w:val="20"/>
          <w:szCs w:val="20"/>
          <w:color w:val="auto"/>
        </w:rPr>
      </w:pPr>
      <w:r>
        <w:rPr>
          <w:rFonts w:ascii="Arial" w:cs="Arial" w:eastAsia="Arial" w:hAnsi="Arial"/>
          <w:sz w:val="17"/>
          <w:szCs w:val="17"/>
          <w:b w:val="1"/>
          <w:bCs w:val="1"/>
          <w:i w:val="1"/>
          <w:iCs w:val="1"/>
          <w:color w:val="auto"/>
        </w:rPr>
        <w:t>Our success is dependent on our ability to attract and retain highly qualified management and other clinical and scientific personnel.</w:t>
      </w:r>
    </w:p>
    <w:p>
      <w:pPr>
        <w:spacing w:after="0" w:line="29" w:lineRule="exact"/>
        <w:rPr>
          <w:sz w:val="20"/>
          <w:szCs w:val="20"/>
          <w:color w:val="auto"/>
        </w:rPr>
      </w:pPr>
    </w:p>
    <w:p>
      <w:pPr>
        <w:ind w:left="420" w:right="40" w:firstLine="521"/>
        <w:spacing w:after="0" w:line="239" w:lineRule="auto"/>
        <w:rPr>
          <w:sz w:val="20"/>
          <w:szCs w:val="20"/>
          <w:color w:val="auto"/>
        </w:rPr>
      </w:pPr>
      <w:r>
        <w:rPr>
          <w:rFonts w:ascii="Arial" w:cs="Arial" w:eastAsia="Arial" w:hAnsi="Arial"/>
          <w:sz w:val="17"/>
          <w:szCs w:val="17"/>
          <w:color w:val="auto"/>
        </w:rPr>
        <w:t>Our success depends in part on our continued ability to attract, recruit, retain, manage, and motivate highly qualified management, clinical, and scientific personnel, and we face significant competition for experienced personnel. We are highly dependent upon our senior management, as well as our senior scientists and other members of our management team. The loss of services of any of these individuals could delay or prevent the successful development of our product pipeline, initiation or completion of our clinical trials and preclinical studies, regulatory approvals, or the commercialization of our ecDTx. Although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800"/>
          </w:cols>
          <w:pgMar w:left="320" w:top="439" w:right="7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firstLine="521"/>
        <w:spacing w:after="0" w:line="242" w:lineRule="auto"/>
        <w:rPr>
          <w:sz w:val="20"/>
          <w:szCs w:val="20"/>
          <w:color w:val="auto"/>
        </w:rPr>
      </w:pPr>
      <w:r>
        <w:rPr>
          <w:rFonts w:ascii="Arial" w:cs="Arial" w:eastAsia="Arial" w:hAnsi="Arial"/>
          <w:sz w:val="17"/>
          <w:szCs w:val="17"/>
          <w:color w:val="auto"/>
        </w:rPr>
        <w:t>In addition, employment candidates and existing employees often consider the value of the stock awards they receive in connection with their employment. If the perceived benefits of our stock awards decline, either because we are a public company or for other reasons, it may harm our ability to recruit and retain highly skilled employees.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w:t>
      </w:r>
    </w:p>
    <w:p>
      <w:pPr>
        <w:spacing w:after="0" w:line="146" w:lineRule="exact"/>
        <w:rPr>
          <w:sz w:val="20"/>
          <w:szCs w:val="20"/>
          <w:color w:val="auto"/>
        </w:rPr>
      </w:pPr>
    </w:p>
    <w:p>
      <w:pPr>
        <w:ind w:left="420" w:right="100" w:firstLine="521"/>
        <w:spacing w:after="0" w:line="241" w:lineRule="auto"/>
        <w:rPr>
          <w:sz w:val="20"/>
          <w:szCs w:val="20"/>
          <w:color w:val="auto"/>
        </w:rPr>
      </w:pPr>
      <w:r>
        <w:rPr>
          <w:rFonts w:ascii="Arial" w:cs="Arial" w:eastAsia="Arial" w:hAnsi="Arial"/>
          <w:sz w:val="17"/>
          <w:szCs w:val="17"/>
          <w:color w:val="auto"/>
        </w:rPr>
        <w:t>We will need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clinical, and scientific personnel in the future due to the intense competition for qualified personnel among biopharmaceutical, biotechnology, and other businesses. Our industry has experienced a high rate of turnover of management personnel in recent years.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We may encounter difficulties in managing our growth and expanding our operations successfully.</w:t>
      </w:r>
    </w:p>
    <w:p>
      <w:pPr>
        <w:spacing w:after="0" w:line="98" w:lineRule="exact"/>
        <w:rPr>
          <w:sz w:val="20"/>
          <w:szCs w:val="20"/>
          <w:color w:val="auto"/>
        </w:rPr>
      </w:pPr>
    </w:p>
    <w:p>
      <w:pPr>
        <w:ind w:left="420" w:right="180" w:firstLine="521"/>
        <w:spacing w:after="0" w:line="242" w:lineRule="auto"/>
        <w:rPr>
          <w:sz w:val="20"/>
          <w:szCs w:val="20"/>
          <w:color w:val="auto"/>
        </w:rPr>
      </w:pPr>
      <w:r>
        <w:rPr>
          <w:rFonts w:ascii="Arial" w:cs="Arial" w:eastAsia="Arial" w:hAnsi="Arial"/>
          <w:sz w:val="17"/>
          <w:szCs w:val="17"/>
          <w:color w:val="auto"/>
        </w:rPr>
        <w:t>As of March 1, 2024, we had 72 full-time employees. As we continue development and pursue the potential commercialization of our ecDTx, as well as transition to functioning as a public company, we will need to expand our financial, development, regulatory, manufacturing, information technology, marketing, and sales capabilities or contract with third parties to provide these capabilities for us. As our operations expand, we expect that we will need to manage additional relationships with various strategic partners, suppliers, and other third parties, and we may not be successful in doing so. Our future financial performance and our ability to develop and commercialize our ecDTx and to compete effectively will depend, in part, on our ability to manage any future growth effectively.</w:t>
      </w:r>
    </w:p>
    <w:p>
      <w:pPr>
        <w:spacing w:after="0" w:line="274" w:lineRule="exact"/>
        <w:rPr>
          <w:sz w:val="20"/>
          <w:szCs w:val="20"/>
          <w:color w:val="auto"/>
        </w:rPr>
      </w:pPr>
    </w:p>
    <w:p>
      <w:pPr>
        <w:ind w:left="420" w:right="220"/>
        <w:spacing w:after="0" w:line="257" w:lineRule="auto"/>
        <w:rPr>
          <w:sz w:val="20"/>
          <w:szCs w:val="20"/>
          <w:color w:val="auto"/>
        </w:rPr>
      </w:pPr>
      <w:r>
        <w:rPr>
          <w:rFonts w:ascii="Arial" w:cs="Arial" w:eastAsia="Arial" w:hAnsi="Arial"/>
          <w:sz w:val="17"/>
          <w:szCs w:val="17"/>
          <w:b w:val="1"/>
          <w:bCs w:val="1"/>
          <w:i w:val="1"/>
          <w:iCs w:val="1"/>
          <w:color w:val="auto"/>
        </w:rPr>
        <w:t>We are subject to various U.S. federal, state, and foreign healthcare laws and regulations, which could increase compliance costs, and our failure to comply with these laws and regulations could harm our reputation, subject us to significant fines and liability, or otherwise adversely affect our business.</w:t>
      </w:r>
    </w:p>
    <w:p>
      <w:pPr>
        <w:spacing w:after="0" w:line="49" w:lineRule="exact"/>
        <w:rPr>
          <w:sz w:val="20"/>
          <w:szCs w:val="20"/>
          <w:color w:val="auto"/>
        </w:rPr>
      </w:pPr>
    </w:p>
    <w:p>
      <w:pPr>
        <w:ind w:left="420" w:right="100" w:firstLine="521"/>
        <w:spacing w:after="0" w:line="244" w:lineRule="auto"/>
        <w:rPr>
          <w:sz w:val="20"/>
          <w:szCs w:val="20"/>
          <w:color w:val="auto"/>
        </w:rPr>
      </w:pPr>
      <w:r>
        <w:rPr>
          <w:rFonts w:ascii="Arial" w:cs="Arial" w:eastAsia="Arial" w:hAnsi="Arial"/>
          <w:sz w:val="17"/>
          <w:szCs w:val="17"/>
          <w:color w:val="auto"/>
        </w:rPr>
        <w:t>Our business operations and current and future arrangements with investigators, healthcare professionals, consultants, third-party payors, patient organizations, and customers expose us to broadly applicable foreign, federal, and state fraud and abuse and other healthcare laws and regulations. These laws may constrain the business or financial arrangements and relationships through which we conduct our operations, including how we research, market, sell, and distribute any products for which we obtain regulatory approval. Such laws include:</w:t>
      </w:r>
    </w:p>
    <w:p>
      <w:pPr>
        <w:spacing w:after="0" w:line="80" w:lineRule="exact"/>
        <w:rPr>
          <w:sz w:val="20"/>
          <w:szCs w:val="20"/>
          <w:color w:val="auto"/>
        </w:rPr>
      </w:pPr>
    </w:p>
    <w:p>
      <w:pPr>
        <w:ind w:left="1660" w:hanging="418"/>
        <w:spacing w:after="0" w:line="241" w:lineRule="auto"/>
        <w:tabs>
          <w:tab w:leader="none" w:pos="1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w:t>
      </w:r>
    </w:p>
    <w:p>
      <w:pPr>
        <w:spacing w:after="0" w:line="82" w:lineRule="exact"/>
        <w:rPr>
          <w:rFonts w:ascii="Arial" w:cs="Arial" w:eastAsia="Arial" w:hAnsi="Arial"/>
          <w:sz w:val="17"/>
          <w:szCs w:val="17"/>
          <w:color w:val="auto"/>
        </w:rPr>
      </w:pPr>
    </w:p>
    <w:p>
      <w:pPr>
        <w:ind w:left="1660" w:hanging="418"/>
        <w:spacing w:after="0" w:line="270" w:lineRule="auto"/>
        <w:tabs>
          <w:tab w:leader="none" w:pos="1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federal false claims laws, including the civil False Claims Act, and civil monetary penalties laws, which prohibit, among other things, individuals or entities from knowingly</w:t>
      </w:r>
    </w:p>
    <w:p>
      <w:pPr>
        <w:spacing w:after="0" w:line="8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0820"/>
          </w:cols>
          <w:pgMar w:left="320" w:top="439" w:right="7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1660" w:right="60"/>
        <w:spacing w:after="0" w:line="242" w:lineRule="auto"/>
        <w:rPr>
          <w:sz w:val="20"/>
          <w:szCs w:val="20"/>
          <w:color w:val="auto"/>
        </w:rPr>
      </w:pPr>
      <w:r>
        <w:rPr>
          <w:rFonts w:ascii="Arial" w:cs="Arial" w:eastAsia="Arial" w:hAnsi="Arial"/>
          <w:sz w:val="17"/>
          <w:szCs w:val="17"/>
          <w:color w:val="auto"/>
        </w:rPr>
        <w:t>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civil False Claims Act;</w:t>
      </w:r>
    </w:p>
    <w:p>
      <w:pPr>
        <w:spacing w:after="0" w:line="82" w:lineRule="exact"/>
        <w:rPr>
          <w:sz w:val="20"/>
          <w:szCs w:val="20"/>
          <w:color w:val="auto"/>
        </w:rPr>
      </w:pPr>
    </w:p>
    <w:p>
      <w:pPr>
        <w:ind w:left="1660" w:right="160" w:hanging="418"/>
        <w:spacing w:after="0" w:line="242" w:lineRule="auto"/>
        <w:tabs>
          <w:tab w:leader="none" w:pos="1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82" w:lineRule="exact"/>
        <w:rPr>
          <w:rFonts w:ascii="Arial" w:cs="Arial" w:eastAsia="Arial" w:hAnsi="Arial"/>
          <w:sz w:val="17"/>
          <w:szCs w:val="17"/>
          <w:color w:val="auto"/>
        </w:rPr>
      </w:pPr>
    </w:p>
    <w:p>
      <w:pPr>
        <w:ind w:left="1660" w:right="20" w:hanging="418"/>
        <w:spacing w:after="0"/>
        <w:tabs>
          <w:tab w:leader="none" w:pos="1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Centers for Medicare &amp; Medicaid Services (CMS), information related to payments and other “transfers of value” made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and other healthcare providers, as well as ownership and investment interests held by such healthcare professionals and their immediate family members; and</w:t>
      </w:r>
    </w:p>
    <w:p>
      <w:pPr>
        <w:spacing w:after="0" w:line="84" w:lineRule="exact"/>
        <w:rPr>
          <w:rFonts w:ascii="Arial" w:cs="Arial" w:eastAsia="Arial" w:hAnsi="Arial"/>
          <w:sz w:val="17"/>
          <w:szCs w:val="17"/>
          <w:color w:val="auto"/>
        </w:rPr>
      </w:pPr>
    </w:p>
    <w:p>
      <w:pPr>
        <w:ind w:left="1660" w:right="60" w:hanging="418"/>
        <w:spacing w:after="0"/>
        <w:tabs>
          <w:tab w:leader="none" w:pos="1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some state laws require biopharmaceutical companies to comply with the biopharmaceutical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that require biopharmaceutical companies to report information on the pricing of certain drug products; and some state and local laws that require the registration or pharmaceutical sales representatives.</w:t>
      </w:r>
    </w:p>
    <w:p>
      <w:pPr>
        <w:spacing w:after="0" w:line="148" w:lineRule="exact"/>
        <w:rPr>
          <w:sz w:val="20"/>
          <w:szCs w:val="20"/>
          <w:color w:val="auto"/>
        </w:rPr>
      </w:pPr>
    </w:p>
    <w:p>
      <w:pPr>
        <w:ind w:left="420" w:firstLine="521"/>
        <w:spacing w:after="0" w:line="239" w:lineRule="auto"/>
        <w:rPr>
          <w:sz w:val="20"/>
          <w:szCs w:val="20"/>
          <w:color w:val="auto"/>
        </w:rPr>
      </w:pPr>
      <w:r>
        <w:rPr>
          <w:rFonts w:ascii="Arial" w:cs="Arial" w:eastAsia="Arial" w:hAnsi="Arial"/>
          <w:sz w:val="17"/>
          <w:szCs w:val="17"/>
          <w:color w:val="auto"/>
        </w:rPr>
        <w:t>Efforts to ensure that our current and future business arrangements with third parties will comply with applicable healthcare and privacy laws and regulations will involve ongoing substantial costs. It is possible that governmental authorities will conclude that our business practices, including certain consulting agreements and advisory board agreements we have entered into with physicians who are paid, in part, in the form of stock or stock options, may not comply with current or future statutes, regulations or case law involving applicable fraud and abuse or other healthcare laws and regulations.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government-funded healthcare programs, such as Medicare and Medicaid, integrity oversight and reporting obligations,</w:t>
      </w:r>
    </w:p>
    <w:p>
      <w:pPr>
        <w:spacing w:after="0" w:line="11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0820"/>
          </w:cols>
          <w:pgMar w:left="320" w:top="439" w:right="7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line="242" w:lineRule="auto"/>
        <w:rPr>
          <w:sz w:val="20"/>
          <w:szCs w:val="20"/>
          <w:color w:val="auto"/>
        </w:rPr>
      </w:pPr>
      <w:r>
        <w:rPr>
          <w:rFonts w:ascii="Arial" w:cs="Arial" w:eastAsia="Arial" w:hAnsi="Arial"/>
          <w:sz w:val="17"/>
          <w:szCs w:val="17"/>
          <w:color w:val="auto"/>
        </w:rPr>
        <w:t>contractual damages, reputational harm, diminished profits and future earnings, and the curtailment or restructuring of our operations. Defending against any such actions can be costly and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are found not to be in compliance with applicable laws or regulations, they may be subject to significant criminal, civil, or administrative sanctions, including exclusions from government-funded healthcare programs.</w:t>
      </w:r>
    </w:p>
    <w:p>
      <w:pPr>
        <w:spacing w:after="0" w:line="274" w:lineRule="exact"/>
        <w:rPr>
          <w:sz w:val="20"/>
          <w:szCs w:val="20"/>
          <w:color w:val="auto"/>
        </w:rPr>
      </w:pPr>
    </w:p>
    <w:p>
      <w:pPr>
        <w:ind w:left="420" w:right="180"/>
        <w:spacing w:after="0" w:line="280" w:lineRule="auto"/>
        <w:rPr>
          <w:sz w:val="20"/>
          <w:szCs w:val="20"/>
          <w:color w:val="auto"/>
        </w:rPr>
      </w:pPr>
      <w:r>
        <w:rPr>
          <w:rFonts w:ascii="Arial" w:cs="Arial" w:eastAsia="Arial" w:hAnsi="Arial"/>
          <w:sz w:val="17"/>
          <w:szCs w:val="17"/>
          <w:b w:val="1"/>
          <w:bCs w:val="1"/>
          <w:i w:val="1"/>
          <w:iCs w:val="1"/>
          <w:color w:val="auto"/>
        </w:rPr>
        <w:t>Current and future healthcare reform legislation or regulation may increase the difficulty and cost for us to obtain coverage for and commercialize our ecDTx and may adversely affect the prices we may set.</w:t>
      </w:r>
    </w:p>
    <w:p>
      <w:pPr>
        <w:spacing w:after="0" w:line="29" w:lineRule="exact"/>
        <w:rPr>
          <w:sz w:val="20"/>
          <w:szCs w:val="20"/>
          <w:color w:val="auto"/>
        </w:rPr>
      </w:pPr>
    </w:p>
    <w:p>
      <w:pPr>
        <w:ind w:left="420" w:right="140" w:firstLine="521"/>
        <w:spacing w:after="0" w:line="244" w:lineRule="auto"/>
        <w:rPr>
          <w:sz w:val="20"/>
          <w:szCs w:val="20"/>
          <w:color w:val="auto"/>
        </w:rPr>
      </w:pPr>
      <w:r>
        <w:rPr>
          <w:rFonts w:ascii="Arial" w:cs="Arial" w:eastAsia="Arial" w:hAnsi="Arial"/>
          <w:sz w:val="17"/>
          <w:szCs w:val="17"/>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ecDTx for which we obtain regulatory approval. In particular, there have been and continue to be a number of initiatives at the U.S. federal and state levels that seek to reduce healthcare costs and improve the quality of healthcare.</w:t>
      </w:r>
    </w:p>
    <w:p>
      <w:pPr>
        <w:spacing w:after="0" w:line="143" w:lineRule="exact"/>
        <w:rPr>
          <w:sz w:val="20"/>
          <w:szCs w:val="20"/>
          <w:color w:val="auto"/>
        </w:rPr>
      </w:pPr>
    </w:p>
    <w:p>
      <w:pPr>
        <w:ind w:left="420" w:right="20" w:firstLine="521"/>
        <w:spacing w:after="0"/>
        <w:rPr>
          <w:sz w:val="20"/>
          <w:szCs w:val="20"/>
          <w:color w:val="auto"/>
        </w:rPr>
      </w:pPr>
      <w:r>
        <w:rPr>
          <w:rFonts w:ascii="Arial" w:cs="Arial" w:eastAsia="Arial" w:hAnsi="Arial"/>
          <w:sz w:val="17"/>
          <w:szCs w:val="17"/>
          <w:color w:val="auto"/>
        </w:rPr>
        <w:t>For example, the Affordable Care Act (ACA) was enacted in the United States in 2010. The ACA established an annual, nondeductible fee on any entity that manufactures or imports specified branded prescription drugs and biologic agents; extended manufacturers’ Medicaid rebate liability to covered drugs dispensed to individuals who are enrolled in Medicaid managed care organizations; expanded eligibility criteria for Medicaid programs; expanded the entities eligible for discounts under the 340B drug pricing program; increased the statutory minimum rebates a manufacturer must pay under the Medicaid Drug Rebate Program; established a new Patient-Centered Outcomes Research Institute to oversee, identify priorities in, and conduct comparative clinical effectiveness research, along with funding for such research; and established a Center for Medicare &amp; Medicaid Innovation at CMS to test innovative payment and service delivery models to lower Medicare and Medicaid spending.</w:t>
      </w:r>
    </w:p>
    <w:p>
      <w:pPr>
        <w:spacing w:after="0" w:line="136" w:lineRule="exact"/>
        <w:rPr>
          <w:sz w:val="20"/>
          <w:szCs w:val="20"/>
          <w:color w:val="auto"/>
        </w:rPr>
      </w:pPr>
    </w:p>
    <w:p>
      <w:pPr>
        <w:jc w:val="both"/>
        <w:ind w:left="420" w:right="20" w:firstLine="521"/>
        <w:spacing w:after="0" w:line="252" w:lineRule="auto"/>
        <w:rPr>
          <w:sz w:val="20"/>
          <w:szCs w:val="20"/>
          <w:color w:val="auto"/>
        </w:rPr>
      </w:pPr>
      <w:r>
        <w:rPr>
          <w:rFonts w:ascii="Arial" w:cs="Arial" w:eastAsia="Arial" w:hAnsi="Arial"/>
          <w:sz w:val="17"/>
          <w:szCs w:val="17"/>
          <w:color w:val="auto"/>
        </w:rPr>
        <w:t>Since its enactment, there have been executive, judicial,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w:t>
      </w:r>
    </w:p>
    <w:p>
      <w:pPr>
        <w:spacing w:after="0" w:line="125" w:lineRule="exact"/>
        <w:rPr>
          <w:sz w:val="20"/>
          <w:szCs w:val="20"/>
          <w:color w:val="auto"/>
        </w:rPr>
      </w:pPr>
    </w:p>
    <w:p>
      <w:pPr>
        <w:ind w:left="420" w:right="100" w:firstLine="521"/>
        <w:spacing w:after="0" w:line="238" w:lineRule="auto"/>
        <w:rPr>
          <w:sz w:val="20"/>
          <w:szCs w:val="20"/>
          <w:color w:val="auto"/>
        </w:rPr>
      </w:pPr>
      <w:r>
        <w:rPr>
          <w:rFonts w:ascii="Arial" w:cs="Arial" w:eastAsia="Arial" w:hAnsi="Arial"/>
          <w:sz w:val="17"/>
          <w:szCs w:val="17"/>
          <w:color w:val="auto"/>
        </w:rPr>
        <w:t>In addition, other legislative changes have been proposed and adopted since the ACA was enacted. For example, beginning April 1, 2013, Medicare payments to providers were reduced under the sequestration required by the Budget Control Act of 2011, which will remain in effect through 2032, unless additional Congressional action is taken. Additionally, on January 2,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 On March 11, 2021, the American Rescue Plan Act of 2021 was signed into law, which eliminates the statutory cap on the Medicaid drug rebate beginning January 1, 2024. The rebate was previously capped at 100% of a drug’s average manufacturer price. 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assistance programs, and reform government program reimbursement methodologies for products.</w:t>
      </w:r>
    </w:p>
    <w:p>
      <w:pPr>
        <w:spacing w:after="0" w:line="11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0840"/>
          </w:cols>
          <w:pgMar w:left="320" w:top="439" w:right="7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firstLine="521"/>
        <w:spacing w:after="0" w:line="239" w:lineRule="auto"/>
        <w:rPr>
          <w:sz w:val="20"/>
          <w:szCs w:val="20"/>
          <w:color w:val="auto"/>
        </w:rPr>
      </w:pPr>
      <w:r>
        <w:rPr>
          <w:rFonts w:ascii="Arial" w:cs="Arial" w:eastAsia="Arial" w:hAnsi="Arial"/>
          <w:sz w:val="17"/>
          <w:szCs w:val="17"/>
          <w:color w:val="auto"/>
        </w:rPr>
        <w:t>Most significantly, on August 16, 2022, President Biden signed the Inflation Reduction Act of 2022 (IRA) into law. This statute marks the most significant action by Congress with respect to the pharmaceutical industry since adoption of the ACA in 2010.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On August 29, 2023, HHS announced the list of the first ten drugs that will be subject to price negotiations, although the Medicare drug price negotiation program is currently subject to legal challenges. The impact of the IRA on the pharmaceutical industry cannot yet be fully determined but is likely to be significant. Additional drug pricing proposals could appear in future legislation.</w:t>
      </w:r>
    </w:p>
    <w:p>
      <w:pPr>
        <w:spacing w:after="0" w:line="149" w:lineRule="exact"/>
        <w:rPr>
          <w:sz w:val="20"/>
          <w:szCs w:val="20"/>
          <w:color w:val="auto"/>
        </w:rPr>
      </w:pPr>
    </w:p>
    <w:p>
      <w:pPr>
        <w:ind w:left="420" w:firstLine="521"/>
        <w:spacing w:after="0"/>
        <w:rPr>
          <w:sz w:val="20"/>
          <w:szCs w:val="20"/>
          <w:color w:val="auto"/>
        </w:rPr>
      </w:pPr>
      <w:r>
        <w:rPr>
          <w:rFonts w:ascii="Arial" w:cs="Arial" w:eastAsia="Arial" w:hAnsi="Arial"/>
          <w:sz w:val="17"/>
          <w:szCs w:val="17"/>
          <w:color w:val="auto"/>
        </w:rPr>
        <w:t>At the state level, legislatures have increasingly passed legislation and implemented regulations designed to control pharmaceutical and biological product pricing, including price or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ecDTx, if approved, or put pressure on our product pricing, which could negatively affect our business, results of operations, financial condition, and prospects.</w:t>
      </w:r>
    </w:p>
    <w:p>
      <w:pPr>
        <w:spacing w:after="0" w:line="136" w:lineRule="exact"/>
        <w:rPr>
          <w:sz w:val="20"/>
          <w:szCs w:val="20"/>
          <w:color w:val="auto"/>
        </w:rPr>
      </w:pPr>
    </w:p>
    <w:p>
      <w:pPr>
        <w:ind w:left="420" w:right="20" w:firstLine="521"/>
        <w:spacing w:after="0" w:line="242" w:lineRule="auto"/>
        <w:rPr>
          <w:sz w:val="20"/>
          <w:szCs w:val="20"/>
          <w:color w:val="auto"/>
        </w:rPr>
      </w:pPr>
      <w:r>
        <w:rPr>
          <w:rFonts w:ascii="Arial" w:cs="Arial" w:eastAsia="Arial" w:hAnsi="Arial"/>
          <w:sz w:val="17"/>
          <w:szCs w:val="17"/>
          <w:color w:val="auto"/>
        </w:rPr>
        <w:t>We expect that these existing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ecDTx, if approved.</w:t>
      </w:r>
    </w:p>
    <w:p>
      <w:pPr>
        <w:spacing w:after="0" w:line="274" w:lineRule="exact"/>
        <w:rPr>
          <w:sz w:val="20"/>
          <w:szCs w:val="20"/>
          <w:color w:val="auto"/>
        </w:rPr>
      </w:pPr>
    </w:p>
    <w:p>
      <w:pPr>
        <w:ind w:left="420" w:right="400"/>
        <w:spacing w:after="0" w:line="280" w:lineRule="auto"/>
        <w:rPr>
          <w:sz w:val="20"/>
          <w:szCs w:val="20"/>
          <w:color w:val="auto"/>
        </w:rPr>
      </w:pPr>
      <w:r>
        <w:rPr>
          <w:rFonts w:ascii="Arial" w:cs="Arial" w:eastAsia="Arial" w:hAnsi="Arial"/>
          <w:sz w:val="17"/>
          <w:szCs w:val="17"/>
          <w:b w:val="1"/>
          <w:bCs w:val="1"/>
          <w:i w:val="1"/>
          <w:iCs w:val="1"/>
          <w:color w:val="auto"/>
        </w:rPr>
        <w:t>If product liability lawsuits are brought against us, we may incur substantial liabilities and may be required to limit, delay, or cease commercialization of our ecDTx.</w:t>
      </w:r>
    </w:p>
    <w:p>
      <w:pPr>
        <w:spacing w:after="0" w:line="29" w:lineRule="exact"/>
        <w:rPr>
          <w:sz w:val="20"/>
          <w:szCs w:val="20"/>
          <w:color w:val="auto"/>
        </w:rPr>
      </w:pPr>
    </w:p>
    <w:p>
      <w:pPr>
        <w:ind w:left="420" w:right="60" w:firstLine="521"/>
        <w:spacing w:after="0" w:line="242" w:lineRule="auto"/>
        <w:rPr>
          <w:sz w:val="20"/>
          <w:szCs w:val="20"/>
          <w:color w:val="auto"/>
        </w:rPr>
      </w:pPr>
      <w:r>
        <w:rPr>
          <w:rFonts w:ascii="Arial" w:cs="Arial" w:eastAsia="Arial" w:hAnsi="Arial"/>
          <w:sz w:val="17"/>
          <w:szCs w:val="17"/>
          <w:color w:val="auto"/>
        </w:rPr>
        <w:t>We face an inherent risk of product liability as a result of the clinical trials of our ecDTx and will face an even greater risk if we commercialize our ecDTx, if approved. For example, we may be sued if our ecDTx allegedly cause injury or are found to be otherwise unsuitable during product testing, manufacturing, marketing, or sale. Any such product liability claims may include allegations of defects in manufacturing, defects in design, a failure to warn of dangers inherent in the ecDTx,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spacing w:after="0" w:line="133" w:lineRule="exact"/>
        <w:rPr>
          <w:sz w:val="20"/>
          <w:szCs w:val="20"/>
          <w:color w:val="auto"/>
        </w:rPr>
      </w:pPr>
    </w:p>
    <w:p>
      <w:pPr>
        <w:ind w:left="420" w:right="40" w:firstLine="521"/>
        <w:spacing w:after="0" w:line="252" w:lineRule="auto"/>
        <w:rPr>
          <w:sz w:val="20"/>
          <w:szCs w:val="20"/>
          <w:color w:val="auto"/>
        </w:rPr>
      </w:pPr>
      <w:r>
        <w:rPr>
          <w:rFonts w:ascii="Arial" w:cs="Arial" w:eastAsia="Arial" w:hAnsi="Arial"/>
          <w:sz w:val="17"/>
          <w:szCs w:val="17"/>
          <w:color w:val="auto"/>
        </w:rPr>
        <w:t>If we cannot successfully defend ourselves against product liability claims, we may incur substantial liabilities or be required to limit, delay, or cease the commercialization of our products. Even a successful defense would require significant financial and management resources. Regardless of the merits or eventual outcome, liability claims may result in:</w:t>
      </w:r>
    </w:p>
    <w:p>
      <w:pPr>
        <w:spacing w:after="0" w:line="74" w:lineRule="exact"/>
        <w:rPr>
          <w:sz w:val="20"/>
          <w:szCs w:val="20"/>
          <w:color w:val="auto"/>
        </w:rPr>
      </w:pPr>
    </w:p>
    <w:p>
      <w:pPr>
        <w:ind w:left="1660" w:hanging="418"/>
        <w:spacing w:after="0"/>
        <w:tabs>
          <w:tab w:leader="none" w:pos="1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decreased demand for our ecDTx;</w:t>
      </w:r>
    </w:p>
    <w:p>
      <w:pPr>
        <w:spacing w:after="0" w:line="111" w:lineRule="exact"/>
        <w:rPr>
          <w:rFonts w:ascii="Arial" w:cs="Arial" w:eastAsia="Arial" w:hAnsi="Arial"/>
          <w:sz w:val="17"/>
          <w:szCs w:val="17"/>
          <w:color w:val="auto"/>
        </w:rPr>
      </w:pPr>
    </w:p>
    <w:p>
      <w:pPr>
        <w:ind w:left="5520" w:right="4400" w:hanging="4278"/>
        <w:spacing w:after="0" w:line="443" w:lineRule="auto"/>
        <w:tabs>
          <w:tab w:leader="none" w:pos="1641"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injury to our reputation and significant negative media attention; 45</w:t>
      </w:r>
    </w:p>
    <w:p>
      <w:pPr>
        <w:sectPr>
          <w:pgSz w:w="11900" w:h="16838" w:orient="portrait"/>
          <w:cols w:equalWidth="0" w:num="1">
            <w:col w:w="10840"/>
          </w:cols>
          <w:pgMar w:left="320" w:top="439" w:right="7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1660" w:hanging="418"/>
        <w:spacing w:after="0"/>
        <w:tabs>
          <w:tab w:leader="none" w:pos="1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costs to defend the related litigation;</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diversion of our management’s time and our resources;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substantial monetary awards to trial participants or product recipients;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product recalls, withdrawals, or labeling, marketing, or promotional restrictions;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significant negative financial impact;</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inability to commercialize our ecDTx; and</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decline in our stock price.</w:t>
      </w:r>
    </w:p>
    <w:p>
      <w:pPr>
        <w:spacing w:after="0" w:line="175" w:lineRule="exact"/>
        <w:rPr>
          <w:sz w:val="20"/>
          <w:szCs w:val="20"/>
          <w:color w:val="auto"/>
        </w:rPr>
      </w:pPr>
    </w:p>
    <w:p>
      <w:pPr>
        <w:ind w:left="420" w:firstLine="521"/>
        <w:spacing w:after="0" w:line="239" w:lineRule="auto"/>
        <w:rPr>
          <w:sz w:val="20"/>
          <w:szCs w:val="20"/>
          <w:color w:val="auto"/>
        </w:rPr>
      </w:pPr>
      <w:r>
        <w:rPr>
          <w:rFonts w:ascii="Arial" w:cs="Arial" w:eastAsia="Arial" w:hAnsi="Arial"/>
          <w:sz w:val="17"/>
          <w:szCs w:val="17"/>
          <w:color w:val="auto"/>
        </w:rPr>
        <w:t>We currently hold approximately $5.0 million in product liability insurance coverage in the aggregate. We may need to increase our insurance coverage as we expand our clinical trials or if we commence commercialization of our ecDTx. Insurance coverage is increasingly expensive. Our inability to obtain and retain sufficient product liability insurance at an acceptable cost to protect against potential product liability claims could prevent or inhibit the commercialization of our ecDTx. Although we will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280" w:lineRule="exact"/>
        <w:rPr>
          <w:sz w:val="20"/>
          <w:szCs w:val="20"/>
          <w:color w:val="auto"/>
        </w:rPr>
      </w:pPr>
    </w:p>
    <w:p>
      <w:pPr>
        <w:ind w:left="420" w:right="160"/>
        <w:spacing w:after="0" w:line="280" w:lineRule="auto"/>
        <w:rPr>
          <w:sz w:val="20"/>
          <w:szCs w:val="20"/>
          <w:color w:val="auto"/>
        </w:rPr>
      </w:pPr>
      <w:r>
        <w:rPr>
          <w:rFonts w:ascii="Arial" w:cs="Arial" w:eastAsia="Arial" w:hAnsi="Arial"/>
          <w:sz w:val="17"/>
          <w:szCs w:val="17"/>
          <w:b w:val="1"/>
          <w:bCs w:val="1"/>
          <w:i w:val="1"/>
          <w:iCs w:val="1"/>
          <w:color w:val="auto"/>
        </w:rPr>
        <w:t>Our insurance policies are expensive and protect us from only some business risks, which will leave us exposed to significant uninsured liabilities.</w:t>
      </w:r>
    </w:p>
    <w:p>
      <w:pPr>
        <w:spacing w:after="0" w:line="29" w:lineRule="exact"/>
        <w:rPr>
          <w:sz w:val="20"/>
          <w:szCs w:val="20"/>
          <w:color w:val="auto"/>
        </w:rPr>
      </w:pPr>
    </w:p>
    <w:p>
      <w:pPr>
        <w:ind w:left="420" w:right="120" w:firstLine="521"/>
        <w:spacing w:after="0" w:line="242" w:lineRule="auto"/>
        <w:rPr>
          <w:sz w:val="20"/>
          <w:szCs w:val="20"/>
          <w:color w:val="auto"/>
        </w:rPr>
      </w:pPr>
      <w:r>
        <w:rPr>
          <w:rFonts w:ascii="Arial" w:cs="Arial" w:eastAsia="Arial" w:hAnsi="Arial"/>
          <w:sz w:val="17"/>
          <w:szCs w:val="17"/>
          <w:color w:val="auto"/>
        </w:rPr>
        <w:t>We do not carry insurance for all categories of risk that our business may encounter. Some of the policies we currently maintain include property, general liability, employee benefits liability, business automobile, workers’ compensation, products/clinical trial liability, cyber liability, clinical trials, and directors’ and officers’, and employment practices insurance. We do not know, however, if we will be able to maintain insurance with adequate levels of coverage. No assurance can be given that an insurance carrier will not seek to cancel or deny coverage after a claim has occurred. Any significant uninsured liability may require us to pay substantial amounts, which would adversely affect our financial position and results of operations.</w:t>
      </w:r>
    </w:p>
    <w:p>
      <w:pPr>
        <w:spacing w:after="0" w:line="274" w:lineRule="exact"/>
        <w:rPr>
          <w:sz w:val="20"/>
          <w:szCs w:val="20"/>
          <w:color w:val="auto"/>
        </w:rPr>
      </w:pPr>
    </w:p>
    <w:p>
      <w:pPr>
        <w:ind w:left="420" w:right="140"/>
        <w:spacing w:after="0" w:line="250" w:lineRule="auto"/>
        <w:rPr>
          <w:sz w:val="20"/>
          <w:szCs w:val="20"/>
          <w:color w:val="auto"/>
        </w:rPr>
      </w:pPr>
      <w:r>
        <w:rPr>
          <w:rFonts w:ascii="Arial" w:cs="Arial" w:eastAsia="Arial" w:hAnsi="Arial"/>
          <w:sz w:val="17"/>
          <w:szCs w:val="17"/>
          <w:b w:val="1"/>
          <w:bCs w:val="1"/>
          <w:i w:val="1"/>
          <w:iCs w:val="1"/>
          <w:color w:val="auto"/>
        </w:rPr>
        <w:t>We and our service providers may be subject to a variety of data protection, privacy, and security obligations, including laws, regulations, standards, and contractual provisions, which could increase compliance costs, and our actual or perceived failure to comply with such laws and obligations could subject us to potentially significant liability, fines, or penalties and otherwise harm our business.</w:t>
      </w:r>
    </w:p>
    <w:p>
      <w:pPr>
        <w:spacing w:after="0" w:line="54" w:lineRule="exact"/>
        <w:rPr>
          <w:sz w:val="20"/>
          <w:szCs w:val="20"/>
          <w:color w:val="auto"/>
        </w:rPr>
      </w:pPr>
    </w:p>
    <w:p>
      <w:pPr>
        <w:ind w:left="420" w:right="180" w:firstLine="521"/>
        <w:spacing w:after="0" w:line="241" w:lineRule="auto"/>
        <w:rPr>
          <w:sz w:val="20"/>
          <w:szCs w:val="20"/>
          <w:color w:val="auto"/>
        </w:rPr>
      </w:pPr>
      <w:r>
        <w:rPr>
          <w:rFonts w:ascii="Arial" w:cs="Arial" w:eastAsia="Arial" w:hAnsi="Arial"/>
          <w:sz w:val="17"/>
          <w:szCs w:val="17"/>
          <w:color w:val="auto"/>
        </w:rPr>
        <w:t>We and our service providers maintain a large quantity of sensitive information, including confidential business and patient health information, in connection with our clinical trials, and are subject to laws and regulations governing the privacy and security of such information. The global data protection landscape is rapidly evolving, and we and our service providers may be affected by or subject to existing, amended, or new laws and regulations in the future, including as our operations continue to expand or if we operate in foreign jurisdictions. These laws and regulations may be subject to differing interpretations, thus creating potentially complex compliance issues for us and our service providers, strategic partners, and future customers. The cost of compliance with these laws, regulations, and standards is high and is likely to increase in the future. Any failure or perceived failure</w:t>
      </w:r>
    </w:p>
    <w:p>
      <w:pPr>
        <w:spacing w:after="0" w:line="10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0820"/>
          </w:cols>
          <w:pgMar w:left="320" w:top="439" w:right="7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180"/>
        <w:spacing w:after="0" w:line="247" w:lineRule="auto"/>
        <w:rPr>
          <w:sz w:val="20"/>
          <w:szCs w:val="20"/>
          <w:color w:val="auto"/>
        </w:rPr>
      </w:pPr>
      <w:r>
        <w:rPr>
          <w:rFonts w:ascii="Arial" w:cs="Arial" w:eastAsia="Arial" w:hAnsi="Arial"/>
          <w:sz w:val="17"/>
          <w:szCs w:val="17"/>
          <w:color w:val="auto"/>
        </w:rPr>
        <w:t>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financial condition, results of operations, and prospects.</w:t>
      </w:r>
    </w:p>
    <w:p>
      <w:pPr>
        <w:spacing w:after="0" w:line="141" w:lineRule="exact"/>
        <w:rPr>
          <w:sz w:val="20"/>
          <w:szCs w:val="20"/>
          <w:color w:val="auto"/>
        </w:rPr>
      </w:pPr>
    </w:p>
    <w:p>
      <w:pPr>
        <w:ind w:left="420" w:right="40" w:firstLine="521"/>
        <w:spacing w:after="0" w:line="239" w:lineRule="auto"/>
        <w:rPr>
          <w:sz w:val="20"/>
          <w:szCs w:val="20"/>
          <w:color w:val="auto"/>
        </w:rPr>
      </w:pPr>
      <w:r>
        <w:rPr>
          <w:rFonts w:ascii="Arial" w:cs="Arial" w:eastAsia="Arial" w:hAnsi="Arial"/>
          <w:sz w:val="17"/>
          <w:szCs w:val="17"/>
          <w:color w:val="auto"/>
        </w:rPr>
        <w:t>As our operations and business grow, we may become subject to or affected by new or additional data protection laws and regulations and face increased scrutiny or attention from regulatory authorities. In the United States, numerous federal and state laws and regulations, including health information privacy laws, data breach notification laws, and consumer protection laws, that govern the collection, use, storage, transfer, disclosure, protection, and other processing of health-related and other personal information could apply to our operations or the operations of our collaborators and third-party providers. In addition, we may obtain health information from third parties (including research institutions from which we obtain clinical trial data) that are subject to privacy and security requirements under HIPAA. Consequently, depending on the facts and circumstances, we could be subject to significant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139" w:lineRule="exact"/>
        <w:rPr>
          <w:sz w:val="20"/>
          <w:szCs w:val="20"/>
          <w:color w:val="auto"/>
        </w:rPr>
      </w:pPr>
    </w:p>
    <w:p>
      <w:pPr>
        <w:ind w:left="420" w:firstLine="521"/>
        <w:spacing w:after="0" w:line="238" w:lineRule="auto"/>
        <w:rPr>
          <w:sz w:val="20"/>
          <w:szCs w:val="20"/>
          <w:color w:val="auto"/>
        </w:rPr>
      </w:pPr>
      <w:r>
        <w:rPr>
          <w:rFonts w:ascii="Arial" w:cs="Arial" w:eastAsia="Arial" w:hAnsi="Arial"/>
          <w:sz w:val="17"/>
          <w:szCs w:val="17"/>
          <w:color w:val="auto"/>
        </w:rPr>
        <w:t>In addition, certain state laws govern the privacy and security of health-related and other personal information, many of which may differ from each other and from HIPAA, thus, complicating compliance efforts. Failure to comply with these laws, where applicable, can result in the imposition of significant civil and/or criminal penalties and private litigation. By way of example, the California Consumer Privacy Act, as amended by the California Privacy Rights Act (collectively, the CCPA), gives California residents a number of individual privacy rights related to how their personal information is used. The CCPA provides for civil penalties for violations, as well as a private right of action for data breaches that has increased the likelihood of, and risks associated with data breach litigation. It also imposes additional data protection obligations on covered businesses, such as additional consumer rights processes, limitations on data uses, new audit requirements for higher risk data, and opt outs for certain uses of sensitive data. The CCPA also creates a new California data protection agency authorized to issue substantive regulations and could result in increased privacy and information security enforcement. Additional compliance investment and potential business process changes may be required. Similar laws have been passed in other states and are continuing to be proposed at the state and federal level, reflecting a trend toward more stringent privacy legislation in the United States. In the event that we are subject to or affected by HIPAA, the CCPA, or other domestic privacy and data protection laws, any liability from failure to comply with the requirements of these laws could adversely affect our financial condition.</w:t>
      </w:r>
    </w:p>
    <w:p>
      <w:pPr>
        <w:spacing w:after="0" w:line="138" w:lineRule="exact"/>
        <w:rPr>
          <w:sz w:val="20"/>
          <w:szCs w:val="20"/>
          <w:color w:val="auto"/>
        </w:rPr>
      </w:pPr>
    </w:p>
    <w:p>
      <w:pPr>
        <w:jc w:val="both"/>
        <w:ind w:left="420" w:right="220" w:firstLine="521"/>
        <w:spacing w:after="0" w:line="241" w:lineRule="auto"/>
        <w:rPr>
          <w:sz w:val="20"/>
          <w:szCs w:val="20"/>
          <w:color w:val="auto"/>
        </w:rPr>
      </w:pPr>
      <w:r>
        <w:rPr>
          <w:rFonts w:ascii="Arial" w:cs="Arial" w:eastAsia="Arial" w:hAnsi="Arial"/>
          <w:sz w:val="17"/>
          <w:szCs w:val="17"/>
          <w:color w:val="auto"/>
        </w:rPr>
        <w:t>There are also privacy laws in other countries that may impact our operations, now or in the future. For example, in Europe, the General Data Protection Regulation (GDPR) went into effect in May 2018, and imposes stringent requirements regarding the collection, use, disclosure, storage, transfer, or other processing of personal data of individuals within the European Economic Area (EEA).</w:t>
      </w:r>
    </w:p>
    <w:p>
      <w:pPr>
        <w:spacing w:after="0" w:line="2" w:lineRule="exact"/>
        <w:rPr>
          <w:sz w:val="20"/>
          <w:szCs w:val="20"/>
          <w:color w:val="auto"/>
        </w:rPr>
      </w:pPr>
    </w:p>
    <w:p>
      <w:pPr>
        <w:ind w:left="420" w:right="20"/>
        <w:spacing w:after="0"/>
        <w:rPr>
          <w:sz w:val="20"/>
          <w:szCs w:val="20"/>
          <w:color w:val="auto"/>
        </w:rPr>
      </w:pPr>
      <w:r>
        <w:rPr>
          <w:rFonts w:ascii="Arial" w:cs="Arial" w:eastAsia="Arial" w:hAnsi="Arial"/>
          <w:sz w:val="17"/>
          <w:szCs w:val="17"/>
          <w:color w:val="auto"/>
        </w:rPr>
        <w:t xml:space="preserve">Companies that must comply with the GDPR face increased compliance obligations and risk, including more robust regulatory enforcement of data protection requirements and potential fines for noncompliance of up to </w:t>
      </w:r>
      <w:r>
        <w:rPr>
          <w:rFonts w:ascii="Times New Roman" w:cs="Times New Roman" w:eastAsia="Times New Roman" w:hAnsi="Times New Roman"/>
          <w:sz w:val="17"/>
          <w:szCs w:val="17"/>
          <w:color w:val="auto"/>
        </w:rPr>
        <w:t>€</w:t>
      </w:r>
      <w:r>
        <w:rPr>
          <w:rFonts w:ascii="Arial" w:cs="Arial" w:eastAsia="Arial" w:hAnsi="Arial"/>
          <w:sz w:val="17"/>
          <w:szCs w:val="17"/>
          <w:color w:val="auto"/>
        </w:rPr>
        <w:t>20 million or 4% of the annual global revenue of the noncompliant company, whichever is greater. The GDPR also confers a private right of action in some circumstances on data subjects and consumer associations to lodge complaints with supervisory authorities, seek judicial remedies, and obtain compensation for damages resulting from violations of the GDPR. In addition to fines, a breach of the GDPR may result in regulatory investigations, reputational damage, orders to cease or change our data processing activities, enforcement notices, assessment notices (for a compulsory audit), and/or civil claims (including class actions).</w:t>
      </w:r>
    </w:p>
    <w:p>
      <w:pPr>
        <w:spacing w:after="0" w:line="11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0800"/>
          </w:cols>
          <w:pgMar w:left="320" w:top="439" w:right="7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20" w:firstLine="521"/>
        <w:spacing w:after="0" w:line="238" w:lineRule="auto"/>
        <w:rPr>
          <w:sz w:val="20"/>
          <w:szCs w:val="20"/>
          <w:color w:val="auto"/>
        </w:rPr>
      </w:pPr>
      <w:r>
        <w:rPr>
          <w:rFonts w:ascii="Arial" w:cs="Arial" w:eastAsia="Arial" w:hAnsi="Arial"/>
          <w:sz w:val="17"/>
          <w:szCs w:val="17"/>
          <w:color w:val="auto"/>
        </w:rPr>
        <w:t>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European Economic Area (EEA), and the United States remains uncertain. Case law from the Court of Justice of the European Union (CJEU) states that reliance on the standard contractual clauses—a standard form of contract approved by the European Commission as an adequate personal data transfer mechanism alone may not necessarily be sufficient in all circumstances and that transfers must be assessed on a case-by-case basis. On July 10, 2023, the European Commission adopted its Adequacy Decision in relation to the new EU-US Data Privacy Framework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w:t>
      </w:r>
    </w:p>
    <w:p>
      <w:pPr>
        <w:spacing w:after="0" w:line="153" w:lineRule="exact"/>
        <w:rPr>
          <w:sz w:val="20"/>
          <w:szCs w:val="20"/>
          <w:color w:val="auto"/>
        </w:rPr>
      </w:pPr>
    </w:p>
    <w:p>
      <w:pPr>
        <w:ind w:left="420" w:right="200" w:firstLine="521"/>
        <w:spacing w:after="0" w:line="245" w:lineRule="auto"/>
        <w:rPr>
          <w:sz w:val="20"/>
          <w:szCs w:val="20"/>
          <w:color w:val="auto"/>
        </w:rPr>
      </w:pPr>
      <w:r>
        <w:rPr>
          <w:rFonts w:ascii="Arial" w:cs="Arial" w:eastAsia="Arial" w:hAnsi="Arial"/>
          <w:sz w:val="17"/>
          <w:szCs w:val="17"/>
          <w:color w:val="auto"/>
        </w:rPr>
        <w:t xml:space="preserve">Further, following the withdrawal of the United Kingdom from the European Union and the end of the transition period, from January 1, 2021, companies could also be subject to the United Kingdom General Data Protection Regulation and Data Protection Act 2018 (collectively, the UK GDPR). The UK GDPR mirrors the fines under the GDPR and has the ability to fine up to the greater of </w:t>
      </w:r>
      <w:r>
        <w:rPr>
          <w:rFonts w:ascii="Times New Roman" w:cs="Times New Roman" w:eastAsia="Times New Roman" w:hAnsi="Times New Roman"/>
          <w:sz w:val="17"/>
          <w:szCs w:val="17"/>
          <w:color w:val="auto"/>
        </w:rPr>
        <w:t>€</w:t>
      </w:r>
      <w:r>
        <w:rPr>
          <w:rFonts w:ascii="Arial" w:cs="Arial" w:eastAsia="Arial" w:hAnsi="Arial"/>
          <w:sz w:val="17"/>
          <w:szCs w:val="17"/>
          <w:color w:val="auto"/>
        </w:rPr>
        <w:t>20 million/£17 million or 4% of global turnover. On October 12, 2023, the UK Extension to the DPF came into effect (as approved by the UK Government), as a data transfer mechanism from the UK to U.S. entities self-certified under the DPF. As we expand into other foreign countries and jurisdictions, we may be subject to additional laws and regulations that may affect how we conduct business.</w:t>
      </w:r>
    </w:p>
    <w:p>
      <w:pPr>
        <w:spacing w:after="0" w:line="131" w:lineRule="exact"/>
        <w:rPr>
          <w:sz w:val="20"/>
          <w:szCs w:val="20"/>
          <w:color w:val="auto"/>
        </w:rPr>
      </w:pPr>
    </w:p>
    <w:p>
      <w:pPr>
        <w:ind w:left="420" w:firstLine="521"/>
        <w:spacing w:after="0" w:line="239" w:lineRule="auto"/>
        <w:rPr>
          <w:sz w:val="20"/>
          <w:szCs w:val="20"/>
          <w:color w:val="auto"/>
        </w:rPr>
      </w:pPr>
      <w:r>
        <w:rPr>
          <w:rFonts w:ascii="Arial" w:cs="Arial" w:eastAsia="Arial" w:hAnsi="Arial"/>
          <w:sz w:val="17"/>
          <w:szCs w:val="17"/>
          <w:color w:val="auto"/>
        </w:rPr>
        <w:t>Compliance with U.S. and international data protection laws and regulations could require us to take on more onerous obligations in our contracts, restrict our ability to collect, store, use, transfer, disclose, and otherwise process data, update our data privacy and security policies and procedures, or in some cases, impact our ability to operate in certain jurisdictions. Failure by us or our collaborators and our service providers to comply with U.S. and international data protection laws and regulations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such information. Claims that we have violated individuals’ privacy rights, failed to comply with data protection laws, or breached our contractual obligations, even if we are not found liable, could be expensive and time consuming to defend, could result in adverse publicity, and adversely affect our business, financial condition, results of operations, and prospects.</w:t>
      </w:r>
    </w:p>
    <w:p>
      <w:pPr>
        <w:spacing w:after="0" w:line="277" w:lineRule="exact"/>
        <w:rPr>
          <w:sz w:val="20"/>
          <w:szCs w:val="20"/>
          <w:color w:val="auto"/>
        </w:rPr>
      </w:pPr>
    </w:p>
    <w:p>
      <w:pPr>
        <w:ind w:left="420" w:right="100"/>
        <w:spacing w:after="0" w:line="250" w:lineRule="auto"/>
        <w:rPr>
          <w:sz w:val="20"/>
          <w:szCs w:val="20"/>
          <w:color w:val="auto"/>
        </w:rPr>
      </w:pPr>
      <w:r>
        <w:rPr>
          <w:rFonts w:ascii="Arial" w:cs="Arial" w:eastAsia="Arial" w:hAnsi="Arial"/>
          <w:sz w:val="17"/>
          <w:szCs w:val="17"/>
          <w:b w:val="1"/>
          <w:bCs w:val="1"/>
          <w:i w:val="1"/>
          <w:iCs w:val="1"/>
          <w:color w:val="auto"/>
        </w:rPr>
        <w:t>Our information technology systems, or those of any of our service providers, may fail or suffer security incidents and other disruptions, which could result in a material disruption of our ecDTx development programs, compromise sensitive information related to our business, or prevent us from accessing critical information, potentially exposing us to liability or otherwise adversely affecting our business.</w:t>
      </w:r>
    </w:p>
    <w:p>
      <w:pPr>
        <w:spacing w:after="0" w:line="54" w:lineRule="exact"/>
        <w:rPr>
          <w:sz w:val="20"/>
          <w:szCs w:val="20"/>
          <w:color w:val="auto"/>
        </w:rPr>
      </w:pPr>
    </w:p>
    <w:p>
      <w:pPr>
        <w:ind w:left="420" w:right="40" w:firstLine="521"/>
        <w:spacing w:after="0" w:line="244" w:lineRule="auto"/>
        <w:rPr>
          <w:sz w:val="20"/>
          <w:szCs w:val="20"/>
          <w:color w:val="auto"/>
        </w:rPr>
      </w:pPr>
      <w:r>
        <w:rPr>
          <w:rFonts w:ascii="Arial" w:cs="Arial" w:eastAsia="Arial" w:hAnsi="Arial"/>
          <w:sz w:val="17"/>
          <w:szCs w:val="17"/>
          <w:color w:val="auto"/>
        </w:rPr>
        <w:t>In the ordinary course of business, we collect, store, and transmit confidential information including but not limited to intellectual property, clinical trial data, proprietary and confidential business information, and personal information of our employees and contractors (collectively, Confidential Information). Our information technology systems and those of our third-party service providers, strategic partners, and other contractors or consultants are vulnerable to attack, damage, and interruption from computer viruses and malware (e.g. ransomware), malicious code, misconfigurations,</w:t>
      </w:r>
    </w:p>
    <w:p>
      <w:pPr>
        <w:spacing w:after="0" w:line="105"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0840"/>
          </w:cols>
          <w:pgMar w:left="320" w:top="439" w:right="7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40"/>
        <w:spacing w:after="0" w:line="238" w:lineRule="auto"/>
        <w:rPr>
          <w:sz w:val="20"/>
          <w:szCs w:val="20"/>
          <w:color w:val="auto"/>
        </w:rPr>
      </w:pPr>
      <w:r>
        <w:rPr>
          <w:rFonts w:ascii="Arial" w:cs="Arial" w:eastAsia="Arial" w:hAnsi="Arial"/>
          <w:sz w:val="17"/>
          <w:szCs w:val="17"/>
          <w:color w:val="auto"/>
        </w:rPr>
        <w:t>“bugs” or other vulnerabilities, natural disasters, terrorism, war, telecommunication and electrical failures, hacking, cyberattacks, phishing attacks and other social engineering schemes, employee theft or misuse, human error, fraud, denial or degradation of service attacks, and sophisticated nation-state and nation-state-supported actors. In addition,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incidents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There can also be no assurance that our and our third-party service providers’, strategic partners’, contractors’, or consultants’ cybersecurity risk management program and processes, including policies, controls or procedures, will be fully implemented, complied with or effective in protecting our systems, networks and Confidential Information.</w:t>
      </w:r>
    </w:p>
    <w:p>
      <w:pPr>
        <w:spacing w:after="0" w:line="153" w:lineRule="exact"/>
        <w:rPr>
          <w:sz w:val="20"/>
          <w:szCs w:val="20"/>
          <w:color w:val="auto"/>
        </w:rPr>
      </w:pPr>
    </w:p>
    <w:p>
      <w:pPr>
        <w:ind w:left="420" w:right="40" w:firstLine="521"/>
        <w:spacing w:after="0" w:line="239" w:lineRule="auto"/>
        <w:rPr>
          <w:sz w:val="20"/>
          <w:szCs w:val="20"/>
          <w:color w:val="auto"/>
        </w:rPr>
      </w:pPr>
      <w:r>
        <w:rPr>
          <w:rFonts w:ascii="Arial" w:cs="Arial" w:eastAsia="Arial" w:hAnsi="Arial"/>
          <w:sz w:val="17"/>
          <w:szCs w:val="17"/>
          <w:color w:val="auto"/>
        </w:rPr>
        <w:t>We and certain of our service providers are from time to time subject to cyberattacks and security incidents. If any such event, whether actual or perceived, were to occur, it could impact our reputation and/or operations, cause us to incur significant costs, including legal expenses, harm customer confidence, hurt our expansion into new markets, cause us to incur remediation costs, or cause us to lose existing customers. For example, the loss of clinical trial data from clinical trials could result in delays in our regulatory approval efforts and significantly increase our costs to recover or reproduce the data. We also rely on a third party to manufacture our ecDTx, and similar events relating to their computer systems could also have a material adverse effect on our business. To the extent that any actual or perceived disruption or security incident affects our systems (or those of our third-party collaborators, service providers, contractors or consultants) or were to result in a loss of or accidental, unlawful, or unauthorized access to, use of, release of, or other processing of Confidential Information, we could incur liability, the further development and commercialization of our ecDTx could be delayed, and we could be subject to significant fines, penalties or liabilities for any noncompliance to certain privacy and security laws.</w:t>
      </w:r>
    </w:p>
    <w:p>
      <w:pPr>
        <w:spacing w:after="0" w:line="136" w:lineRule="exact"/>
        <w:rPr>
          <w:sz w:val="20"/>
          <w:szCs w:val="20"/>
          <w:color w:val="auto"/>
        </w:rPr>
      </w:pPr>
    </w:p>
    <w:p>
      <w:pPr>
        <w:ind w:left="420" w:firstLine="521"/>
        <w:spacing w:after="0"/>
        <w:rPr>
          <w:sz w:val="20"/>
          <w:szCs w:val="20"/>
          <w:color w:val="auto"/>
        </w:rPr>
      </w:pPr>
      <w:r>
        <w:rPr>
          <w:rFonts w:ascii="Arial" w:cs="Arial" w:eastAsia="Arial" w:hAnsi="Arial"/>
          <w:sz w:val="17"/>
          <w:szCs w:val="17"/>
          <w:color w:val="auto"/>
        </w:rPr>
        <w:t>We have also outsourced elements of our information technology infrastructure, and as a result a number of third-party vendors may or could have access to our Confidential Information. If our third-party vendors fail to protect their information technology systems and our Confidential Information, we may be vulnerable to disruptions in service and unauthorized access to our Confidential Information and we could incur liability and reputational damage.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Some of the federal, state, and foreign government requirements include obligations of companies to notify individuals of security breaches involving particular categories of personally identifiable information, which could result from incidents experienced by us or by our vendors, contractors, or organizations with which we have formed strategic relationships. Any adverse impact to the availability, integrity or confidentiality of our or third-party systems or Confidential Information can result in legal claims or proceedings (such as class actions), regulatory investigations and enforcement actions, fines and penalties. Our contracts may not contain limitations of liability, and even where they do, there can be no assurance that limitations of liability in our contracts are sufficient to protect us from liabilities, damages, or claims related to our data privacy and security obligations. Although we currently hold cybersecurity</w:t>
      </w:r>
    </w:p>
    <w:p>
      <w:pPr>
        <w:spacing w:after="0" w:line="283"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0840"/>
          </w:cols>
          <w:pgMar w:left="320" w:top="439" w:right="7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insurance, the costs related to significant security breaches or disruptions could be material and cause us to incur significant expenses.</w:t>
      </w:r>
    </w:p>
    <w:p>
      <w:pPr>
        <w:spacing w:after="0" w:line="303"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Our business is subject to risks arising from pandemic and epidemic diseases.</w:t>
      </w:r>
    </w:p>
    <w:p>
      <w:pPr>
        <w:spacing w:after="0" w:line="98" w:lineRule="exact"/>
        <w:rPr>
          <w:sz w:val="20"/>
          <w:szCs w:val="20"/>
          <w:color w:val="auto"/>
        </w:rPr>
      </w:pPr>
    </w:p>
    <w:p>
      <w:pPr>
        <w:ind w:left="420" w:firstLine="521"/>
        <w:spacing w:after="0" w:line="238" w:lineRule="auto"/>
        <w:rPr>
          <w:sz w:val="20"/>
          <w:szCs w:val="20"/>
          <w:color w:val="auto"/>
        </w:rPr>
      </w:pPr>
      <w:r>
        <w:rPr>
          <w:rFonts w:ascii="Arial" w:cs="Arial" w:eastAsia="Arial" w:hAnsi="Arial"/>
          <w:sz w:val="17"/>
          <w:szCs w:val="17"/>
          <w:color w:val="auto"/>
        </w:rPr>
        <w:t>The COVID-19 worldwide pandemic presented substantial public health and economic challenges and affected our employees, patients, physicians and other healthcare providers, communities, and business operations, as well as the U.S. and global economies and financial markets. Any future pandemic or epidemic disease outbreaks could disrupt the supply chain and the manufacture or shipment of drug substances and finished drug products for our ecDTx for use in our clinical trials and research and preclinical studies and, delay, limit or prevent our employees and CROs from continuing research and development activities, impede our clinical trial initiation and recruitment and the ability of patients to continue in clinical trials, alter the results of the clinical trial based on participants contracting the disease or otherwise increasing the number of observed adverse events, impede testing, monitoring, data collection and analysis and other related activities, any of which could delay our preclinical studies and clinical trials and increase our development costs, and have a material adverse effect on our business, financial condition, and results of operations. Any future pandemic or epidemic disease outbreak could also potentially further affect the business of the FDA, EMA, or other regulatory authorities, which could result in delays in meetings related to our planned clinical trials, as well have an adverse impact on global economic conditions, which could have an adverse effect on our business and financial condition, including impairing our ability to raise capital when needed.</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Our business could be affected by litigation, government investigations, and enforcement actions.</w:t>
      </w:r>
    </w:p>
    <w:p>
      <w:pPr>
        <w:spacing w:after="0" w:line="98" w:lineRule="exact"/>
        <w:rPr>
          <w:sz w:val="20"/>
          <w:szCs w:val="20"/>
          <w:color w:val="auto"/>
        </w:rPr>
      </w:pPr>
    </w:p>
    <w:p>
      <w:pPr>
        <w:ind w:left="420" w:right="140" w:firstLine="521"/>
        <w:spacing w:after="0" w:line="241" w:lineRule="auto"/>
        <w:rPr>
          <w:sz w:val="20"/>
          <w:szCs w:val="20"/>
          <w:color w:val="auto"/>
        </w:rPr>
      </w:pPr>
      <w:r>
        <w:rPr>
          <w:rFonts w:ascii="Arial" w:cs="Arial" w:eastAsia="Arial" w:hAnsi="Arial"/>
          <w:sz w:val="17"/>
          <w:szCs w:val="17"/>
          <w:color w:val="auto"/>
        </w:rPr>
        <w:t>We currently operate in a number of jurisdictions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claims and legal proceedings that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w:t>
      </w:r>
    </w:p>
    <w:p>
      <w:pPr>
        <w:spacing w:after="0" w:line="146" w:lineRule="exact"/>
        <w:rPr>
          <w:sz w:val="20"/>
          <w:szCs w:val="20"/>
          <w:color w:val="auto"/>
        </w:rPr>
      </w:pPr>
    </w:p>
    <w:p>
      <w:pPr>
        <w:ind w:left="420" w:right="60" w:firstLine="521"/>
        <w:spacing w:after="0" w:line="242" w:lineRule="auto"/>
        <w:rPr>
          <w:sz w:val="20"/>
          <w:szCs w:val="20"/>
          <w:color w:val="auto"/>
        </w:rPr>
      </w:pPr>
      <w:r>
        <w:rPr>
          <w:rFonts w:ascii="Arial" w:cs="Arial" w:eastAsia="Arial" w:hAnsi="Arial"/>
          <w:sz w:val="17"/>
          <w:szCs w:val="17"/>
          <w:color w:val="auto"/>
        </w:rPr>
        <w:t>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and results of operations. Even if such a proceeding, investigation, or enforcement action is ultimately decided in our favor, the investigation and defense thereof could require substantial financial and management resources.</w:t>
      </w:r>
    </w:p>
    <w:p>
      <w:pPr>
        <w:spacing w:after="0" w:line="274" w:lineRule="exact"/>
        <w:rPr>
          <w:sz w:val="20"/>
          <w:szCs w:val="20"/>
          <w:color w:val="auto"/>
        </w:rPr>
      </w:pPr>
    </w:p>
    <w:p>
      <w:pPr>
        <w:ind w:left="420" w:right="60"/>
        <w:spacing w:after="0" w:line="280" w:lineRule="auto"/>
        <w:rPr>
          <w:sz w:val="20"/>
          <w:szCs w:val="20"/>
          <w:color w:val="auto"/>
        </w:rPr>
      </w:pPr>
      <w:r>
        <w:rPr>
          <w:rFonts w:ascii="Arial" w:cs="Arial" w:eastAsia="Arial" w:hAnsi="Arial"/>
          <w:sz w:val="17"/>
          <w:szCs w:val="17"/>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29" w:lineRule="exact"/>
        <w:rPr>
          <w:sz w:val="20"/>
          <w:szCs w:val="20"/>
          <w:color w:val="auto"/>
        </w:rPr>
      </w:pPr>
    </w:p>
    <w:p>
      <w:pPr>
        <w:ind w:left="420" w:right="160" w:firstLine="521"/>
        <w:spacing w:after="0" w:line="276" w:lineRule="auto"/>
        <w:rPr>
          <w:sz w:val="20"/>
          <w:szCs w:val="20"/>
          <w:color w:val="auto"/>
        </w:rPr>
      </w:pPr>
      <w:r>
        <w:rPr>
          <w:rFonts w:ascii="Arial" w:cs="Arial" w:eastAsia="Arial" w:hAnsi="Arial"/>
          <w:sz w:val="16"/>
          <w:szCs w:val="16"/>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(i) the laws and regulations of the FDA and other similar</w:t>
      </w:r>
    </w:p>
    <w:p>
      <w:pPr>
        <w:spacing w:after="0" w:line="8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0820"/>
          </w:cols>
          <w:pgMar w:left="320" w:top="439" w:right="7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regulatory requirements, including those laws that require the reporting of true, complete, and accurate information to such authorities,</w:t>
      </w:r>
    </w:p>
    <w:p>
      <w:pPr>
        <w:spacing w:after="0" w:line="12" w:lineRule="exact"/>
        <w:rPr>
          <w:sz w:val="20"/>
          <w:szCs w:val="20"/>
          <w:color w:val="auto"/>
        </w:rPr>
      </w:pPr>
    </w:p>
    <w:p>
      <w:pPr>
        <w:ind w:left="420" w:right="40" w:hanging="9"/>
        <w:spacing w:after="0" w:line="236" w:lineRule="auto"/>
        <w:tabs>
          <w:tab w:leader="none" w:pos="656" w:val="left"/>
        </w:tabs>
        <w:numPr>
          <w:ilvl w:val="0"/>
          <w:numId w:val="34"/>
        </w:numPr>
        <w:rPr>
          <w:rFonts w:ascii="Arial" w:cs="Arial" w:eastAsia="Arial" w:hAnsi="Arial"/>
          <w:sz w:val="17"/>
          <w:szCs w:val="17"/>
          <w:color w:val="auto"/>
        </w:rPr>
      </w:pPr>
      <w:r>
        <w:rPr>
          <w:rFonts w:ascii="Arial" w:cs="Arial" w:eastAsia="Arial" w:hAnsi="Arial"/>
          <w:sz w:val="17"/>
          <w:szCs w:val="17"/>
          <w:color w:val="auto"/>
        </w:rPr>
        <w:t>manufacturing standards, including cGMP requirements, (iii) federal and state data privacy, security, fraud, and abuse and other healthcare laws and regulations in the United States and abroad (iv) laws that require the true, complete, and accurate reporting of financial information or data, or (v) laws that prohibit insider trading.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282" w:lineRule="exact"/>
        <w:rPr>
          <w:sz w:val="20"/>
          <w:szCs w:val="20"/>
          <w:color w:val="auto"/>
        </w:rPr>
      </w:pPr>
    </w:p>
    <w:p>
      <w:pPr>
        <w:ind w:left="420" w:right="760"/>
        <w:spacing w:after="0" w:line="280" w:lineRule="auto"/>
        <w:rPr>
          <w:sz w:val="20"/>
          <w:szCs w:val="20"/>
          <w:color w:val="auto"/>
        </w:rPr>
      </w:pPr>
      <w:r>
        <w:rPr>
          <w:rFonts w:ascii="Arial" w:cs="Arial" w:eastAsia="Arial" w:hAnsi="Arial"/>
          <w:sz w:val="17"/>
          <w:szCs w:val="17"/>
          <w:b w:val="1"/>
          <w:bCs w:val="1"/>
          <w:i w:val="1"/>
          <w:iCs w:val="1"/>
          <w:color w:val="auto"/>
        </w:rPr>
        <w:t>We may engage in strategic transactions that could impact our liquidity, increase our expenses, and present significant distractions to our management.</w:t>
      </w:r>
    </w:p>
    <w:p>
      <w:pPr>
        <w:spacing w:after="0" w:line="29" w:lineRule="exact"/>
        <w:rPr>
          <w:sz w:val="20"/>
          <w:szCs w:val="20"/>
          <w:color w:val="auto"/>
        </w:rPr>
      </w:pPr>
    </w:p>
    <w:p>
      <w:pPr>
        <w:ind w:left="420" w:firstLine="521"/>
        <w:spacing w:after="0" w:line="238" w:lineRule="auto"/>
        <w:rPr>
          <w:sz w:val="20"/>
          <w:szCs w:val="20"/>
          <w:color w:val="auto"/>
        </w:rPr>
      </w:pPr>
      <w:r>
        <w:rPr>
          <w:rFonts w:ascii="Arial" w:cs="Arial" w:eastAsia="Arial" w:hAnsi="Arial"/>
          <w:sz w:val="17"/>
          <w:szCs w:val="17"/>
          <w:color w:val="auto"/>
        </w:rPr>
        <w:t>From time to time, we may consider strategic transactions, such as acquisitions of companies, asset purchases, and out-licensing or in-licensing of intellectual property, products, or technologies. Additional potential transactions that we may consider in the future include a variety of business arrangements, including spin-offs, strategic partnerships, joint ventures, restructurings, divestitures, business combinations, and investments.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business that we may acquire in the future may disrupt our existing business and may be a complex, risky, and costly endeavor for which we may never realize the full benefits. Furthermore, we may experience losses related to investments in other companies, including as a result of failure to realize expected benefits or the materialization of unexpected liabilities or risks, which could have a material negative effect on our results of operations and financial condition.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276" w:lineRule="exact"/>
        <w:rPr>
          <w:sz w:val="20"/>
          <w:szCs w:val="20"/>
          <w:color w:val="auto"/>
        </w:rPr>
      </w:pPr>
    </w:p>
    <w:p>
      <w:pPr>
        <w:ind w:left="420" w:right="380"/>
        <w:spacing w:after="0" w:line="280" w:lineRule="auto"/>
        <w:rPr>
          <w:sz w:val="20"/>
          <w:szCs w:val="20"/>
          <w:color w:val="auto"/>
        </w:rPr>
      </w:pPr>
      <w:r>
        <w:rPr>
          <w:rFonts w:ascii="Arial" w:cs="Arial" w:eastAsia="Arial" w:hAnsi="Arial"/>
          <w:sz w:val="17"/>
          <w:szCs w:val="17"/>
          <w:b w:val="1"/>
          <w:bCs w:val="1"/>
          <w:i w:val="1"/>
          <w:iCs w:val="1"/>
          <w:color w:val="auto"/>
        </w:rPr>
        <w:t>Our ability to use net operating loss carryforwards and other tax attributes may be limited in connection with this offering or other ownership changes.</w:t>
      </w:r>
    </w:p>
    <w:p>
      <w:pPr>
        <w:spacing w:after="0" w:line="29" w:lineRule="exact"/>
        <w:rPr>
          <w:sz w:val="20"/>
          <w:szCs w:val="20"/>
          <w:color w:val="auto"/>
        </w:rPr>
      </w:pPr>
    </w:p>
    <w:p>
      <w:pPr>
        <w:ind w:left="420" w:right="220" w:firstLine="521"/>
        <w:spacing w:after="0" w:line="252" w:lineRule="auto"/>
        <w:rPr>
          <w:sz w:val="20"/>
          <w:szCs w:val="20"/>
          <w:color w:val="auto"/>
        </w:rPr>
      </w:pPr>
      <w:r>
        <w:rPr>
          <w:rFonts w:ascii="Arial" w:cs="Arial" w:eastAsia="Arial" w:hAnsi="Arial"/>
          <w:sz w:val="17"/>
          <w:szCs w:val="17"/>
          <w:color w:val="auto"/>
        </w:rPr>
        <w:t>We have incurred substantial losses during our history, do not expect to become profitable in the near future, and may never achieve profitability. As of December 31, 2023, we had net operating loss (NOL) carryforwards of approximately $66.4 million for federal income tax purposes and $127.0 million</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0840"/>
          </w:cols>
          <w:pgMar w:left="320" w:top="439" w:right="7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both"/>
        <w:ind w:left="420" w:right="160"/>
        <w:spacing w:after="0" w:line="241" w:lineRule="auto"/>
        <w:rPr>
          <w:sz w:val="20"/>
          <w:szCs w:val="20"/>
          <w:color w:val="auto"/>
        </w:rPr>
      </w:pPr>
      <w:r>
        <w:rPr>
          <w:rFonts w:ascii="Arial" w:cs="Arial" w:eastAsia="Arial" w:hAnsi="Arial"/>
          <w:sz w:val="17"/>
          <w:szCs w:val="17"/>
          <w:color w:val="auto"/>
        </w:rPr>
        <w:t>for state income tax purposes, which may be available to offset our future taxable income, if any. Our federal NOL carryforwards will not expire but may generally be used to offset only 80% of taxable income, which may require us to pay federal income taxes in future years despite having additional federal NOL carryforwards to utilize. Our state NOL carryforwards begin to expire in various amounts in 2040.</w:t>
      </w:r>
    </w:p>
    <w:p>
      <w:pPr>
        <w:spacing w:after="0" w:line="2" w:lineRule="exact"/>
        <w:rPr>
          <w:sz w:val="20"/>
          <w:szCs w:val="20"/>
          <w:color w:val="auto"/>
        </w:rPr>
      </w:pPr>
    </w:p>
    <w:p>
      <w:pPr>
        <w:ind w:left="420" w:right="120"/>
        <w:spacing w:after="0" w:line="250" w:lineRule="auto"/>
        <w:rPr>
          <w:sz w:val="20"/>
          <w:szCs w:val="20"/>
          <w:color w:val="auto"/>
        </w:rPr>
      </w:pPr>
      <w:r>
        <w:rPr>
          <w:rFonts w:ascii="Arial" w:cs="Arial" w:eastAsia="Arial" w:hAnsi="Arial"/>
          <w:sz w:val="17"/>
          <w:szCs w:val="17"/>
          <w:color w:val="auto"/>
        </w:rPr>
        <w:t>Our NOL carryforwards and other tax attributes are subject to review and possible adjustment by the Internal Revenue Service (IRS) and state tax authorities.</w:t>
      </w:r>
    </w:p>
    <w:p>
      <w:pPr>
        <w:spacing w:after="0" w:line="139" w:lineRule="exact"/>
        <w:rPr>
          <w:sz w:val="20"/>
          <w:szCs w:val="20"/>
          <w:color w:val="auto"/>
        </w:rPr>
      </w:pPr>
    </w:p>
    <w:p>
      <w:pPr>
        <w:ind w:left="420" w:right="20" w:firstLine="521"/>
        <w:spacing w:after="0" w:line="238" w:lineRule="auto"/>
        <w:rPr>
          <w:sz w:val="20"/>
          <w:szCs w:val="20"/>
          <w:color w:val="auto"/>
        </w:rPr>
      </w:pPr>
      <w:r>
        <w:rPr>
          <w:rFonts w:ascii="Arial" w:cs="Arial" w:eastAsia="Arial" w:hAnsi="Arial"/>
          <w:sz w:val="17"/>
          <w:szCs w:val="17"/>
          <w:color w:val="auto"/>
        </w:rPr>
        <w:t>In addition, under Section 382 of the U.S. Internal Revenue Code of 1986, as amended (the Code), our federal NOL carryforwards may be or become subject to an annual limitation in the event we have had or have in the future an “ownership change.” For these purposes, an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determined the amount of the cumulative change in our ownership resulting from this offering or other transactions, or any resulting limitations on our ability to utilize our NOL carryforwards and other tax attributes. However, we believe that our ability to utilize our NOL carryforwards and other tax attributes to offset future taxable income or tax liabilities may be limited as a result of ownership changes, including potential changes in connection with this offering. If we earn taxable income, such limitations could result in increased future income tax liability to us, and our future cash flows could be adversely affected. We have recorded a full valuation allowance related to our NOL carryforwards and other deferred tax assets due to the uncertainty of the ultimate realization of the future benefits of those assets.</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98" w:lineRule="exact"/>
        <w:rPr>
          <w:sz w:val="20"/>
          <w:szCs w:val="20"/>
          <w:color w:val="auto"/>
        </w:rPr>
      </w:pPr>
    </w:p>
    <w:p>
      <w:pPr>
        <w:ind w:left="420"/>
        <w:spacing w:after="0" w:line="250" w:lineRule="auto"/>
        <w:rPr>
          <w:sz w:val="20"/>
          <w:szCs w:val="20"/>
          <w:color w:val="auto"/>
        </w:rPr>
      </w:pPr>
      <w:r>
        <w:rPr>
          <w:rFonts w:ascii="Arial" w:cs="Arial" w:eastAsia="Arial" w:hAnsi="Arial"/>
          <w:sz w:val="17"/>
          <w:szCs w:val="17"/>
          <w:b w:val="1"/>
          <w:bCs w:val="1"/>
          <w:i w:val="1"/>
          <w:iCs w:val="1"/>
          <w:color w:val="auto"/>
        </w:rPr>
        <w:t>If we are unable to obtain, maintain, defend, and enforce patent or other intellectual property protection for our ecDTx, ecDNA diagnostic, or technology, or if the scope of the patent or other intellectual property protection obtained is not sufficiently broad, our competitors or other third parties could develop and commercialize products similar or identical to ours, and our ability to successfully commercialize our ecDTx may be adversely affected.</w:t>
      </w:r>
    </w:p>
    <w:p>
      <w:pPr>
        <w:spacing w:after="0" w:line="118" w:lineRule="exact"/>
        <w:rPr>
          <w:sz w:val="20"/>
          <w:szCs w:val="20"/>
          <w:color w:val="auto"/>
        </w:rPr>
      </w:pPr>
    </w:p>
    <w:p>
      <w:pPr>
        <w:ind w:left="420" w:right="20" w:firstLine="521"/>
        <w:spacing w:after="0" w:line="239" w:lineRule="auto"/>
        <w:rPr>
          <w:sz w:val="20"/>
          <w:szCs w:val="20"/>
          <w:color w:val="auto"/>
        </w:rPr>
      </w:pPr>
      <w:r>
        <w:rPr>
          <w:rFonts w:ascii="Arial" w:cs="Arial" w:eastAsia="Arial" w:hAnsi="Arial"/>
          <w:sz w:val="17"/>
          <w:szCs w:val="17"/>
          <w:color w:val="auto"/>
        </w:rPr>
        <w:t>We rely upon a combination of patent, trade secret, and trademark protection for our ecDTx, our ecDNA diagnostic, and proprietary technologies to prevent third parties from exploiting our achievements, thus eroding our competitive position in our market. These legal measures afford only limited protection, and competitors or others may gain access to or use our intellectual property and proprietary information. Our success depends in large part on our ability to obtain, maintain, expand, enforce, and defend the scope of our intellectual property protection in the United States and other countries with respect to our ecDTx, our ecDNA diagnostic, and other proprietary technologies we may develop. We generally seek to protect our proprietary position, in part, by filing patent applications in the United States and abroad relating to our ecDTx and diagnostics, manufacturing processes, and methods of use. We may also seek to protect our proprietary position by acquiring or in-licensing relevant issued patents or pending patent applications from third parties. If we are unable to obtain, maintain, expand, enforce, and defend the scope of our intellectual property protection, our business, financial condition, results of operations, and prospects could be materially harmed.</w:t>
      </w:r>
    </w:p>
    <w:p>
      <w:pPr>
        <w:spacing w:after="0" w:line="136" w:lineRule="exact"/>
        <w:rPr>
          <w:sz w:val="20"/>
          <w:szCs w:val="20"/>
          <w:color w:val="auto"/>
        </w:rPr>
      </w:pPr>
    </w:p>
    <w:p>
      <w:pPr>
        <w:ind w:left="420" w:right="120" w:firstLine="521"/>
        <w:spacing w:after="0" w:line="242" w:lineRule="auto"/>
        <w:rPr>
          <w:sz w:val="20"/>
          <w:szCs w:val="20"/>
          <w:color w:val="auto"/>
        </w:rPr>
      </w:pPr>
      <w:r>
        <w:rPr>
          <w:rFonts w:ascii="Arial" w:cs="Arial" w:eastAsia="Arial" w:hAnsi="Arial"/>
          <w:sz w:val="17"/>
          <w:szCs w:val="17"/>
          <w:color w:val="auto"/>
        </w:rPr>
        <w:t>Changes in either the patent laws or their interpretation in the United States and other jurisdictions may diminish our ability to protect our intellectual property, obtain, maintain, expand, enforce, and defend our intellectual property rights and, more generally, could affect the value of our intellectual property or narrow the scope of our protection. We cannot predict whether the patent applications we currently or may in the future pursue or may in-license will issue as patents in any particular jurisdiction, whether the claims of any issued patents will provide sufficient protection against competitors or other third parties, or if these patents are challenged by our competitors, whether the patents will be found to be invalid, unenforceable, or not infringed.</w:t>
      </w:r>
    </w:p>
    <w:p>
      <w:pPr>
        <w:spacing w:after="0" w:line="10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0820"/>
          </w:cols>
          <w:pgMar w:left="320" w:top="439" w:right="7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40" w:firstLine="521"/>
        <w:spacing w:after="0" w:line="237" w:lineRule="auto"/>
        <w:rPr>
          <w:sz w:val="20"/>
          <w:szCs w:val="20"/>
          <w:color w:val="auto"/>
        </w:rPr>
      </w:pPr>
      <w:r>
        <w:rPr>
          <w:rFonts w:ascii="Arial" w:cs="Arial" w:eastAsia="Arial" w:hAnsi="Arial"/>
          <w:sz w:val="17"/>
          <w:szCs w:val="17"/>
          <w:color w:val="auto"/>
        </w:rPr>
        <w:t>The patent prosecution process is expensive, time-consuming, and complex, and we may not be able to file, prosecute, maintain, enforce, defend, or license all necessary or desirable patent applications or patents at a reasonable cost or in a timely manner or in all jurisdictions.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third-party collaborators, CROs, contract manufacturers, consultants, advisors. and other third parties, any of these parties may breach the agreements and disclose such output before a patent application is filed, thereby jeopardizing our ability to seek patent protection. Consequently, we may not be able to prevent any third party from using any of our technology that is in the public domain to compete with our ecDTx or technologies. In addition, our ability to obtain and maintain valid and enforceable patents depends on whether the differences between our inventions and the prior art allow our inventions to be patentable in light of the prior art. Furthermore, publications of discoveries in the scientific literature often lag behind the actual discoveries, and patent applications in the United States and other jurisdictions are typically not published until</w:t>
      </w:r>
    </w:p>
    <w:p>
      <w:pPr>
        <w:spacing w:after="0" w:line="1" w:lineRule="exact"/>
        <w:rPr>
          <w:sz w:val="20"/>
          <w:szCs w:val="20"/>
          <w:color w:val="auto"/>
        </w:rPr>
      </w:pPr>
    </w:p>
    <w:p>
      <w:pPr>
        <w:ind w:left="420" w:right="20"/>
        <w:spacing w:after="0" w:line="239" w:lineRule="auto"/>
        <w:rPr>
          <w:sz w:val="20"/>
          <w:szCs w:val="20"/>
          <w:color w:val="auto"/>
        </w:rPr>
      </w:pPr>
      <w:r>
        <w:rPr>
          <w:rFonts w:ascii="Arial" w:cs="Arial" w:eastAsia="Arial" w:hAnsi="Arial"/>
          <w:sz w:val="17"/>
          <w:szCs w:val="17"/>
          <w:color w:val="auto"/>
        </w:rPr>
        <w:t>18 months after filing, or in some cases not at all. Therefore, we cannot be certain that we were the first to invent the inventions claimed in any of our owned patents or pending patent applications, or that we or any future licensors were the first to file for patent protection of such inventions. If a third party can establish that we were not the first to make or the first to file for patent protection of such inventions, our patents and patent applications may not issue as patents and even if issued, may be challenged and invalidated or rendered unenforceable.</w:t>
      </w:r>
    </w:p>
    <w:p>
      <w:pPr>
        <w:spacing w:after="0" w:line="148" w:lineRule="exact"/>
        <w:rPr>
          <w:sz w:val="20"/>
          <w:szCs w:val="20"/>
          <w:color w:val="auto"/>
        </w:rPr>
      </w:pPr>
    </w:p>
    <w:p>
      <w:pPr>
        <w:ind w:left="420" w:right="60" w:firstLine="521"/>
        <w:spacing w:after="0" w:line="252" w:lineRule="auto"/>
        <w:rPr>
          <w:sz w:val="20"/>
          <w:szCs w:val="20"/>
          <w:color w:val="auto"/>
        </w:rPr>
      </w:pPr>
      <w:r>
        <w:rPr>
          <w:rFonts w:ascii="Arial" w:cs="Arial" w:eastAsia="Arial" w:hAnsi="Arial"/>
          <w:sz w:val="17"/>
          <w:szCs w:val="17"/>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current and future patent applications may not result in patents being issued.</w:t>
      </w:r>
    </w:p>
    <w:p>
      <w:pPr>
        <w:spacing w:after="0" w:line="125" w:lineRule="exact"/>
        <w:rPr>
          <w:sz w:val="20"/>
          <w:szCs w:val="20"/>
          <w:color w:val="auto"/>
        </w:rPr>
      </w:pPr>
    </w:p>
    <w:p>
      <w:pPr>
        <w:ind w:left="420" w:firstLine="521"/>
        <w:spacing w:after="0" w:line="237" w:lineRule="auto"/>
        <w:rPr>
          <w:sz w:val="20"/>
          <w:szCs w:val="20"/>
          <w:color w:val="auto"/>
        </w:rPr>
      </w:pPr>
      <w:r>
        <w:rPr>
          <w:rFonts w:ascii="Arial" w:cs="Arial" w:eastAsia="Arial" w:hAnsi="Arial"/>
          <w:sz w:val="17"/>
          <w:szCs w:val="17"/>
          <w:color w:val="auto"/>
        </w:rPr>
        <w:t>Any issued patents may not afford sufficient protection of our ecDTx or their intended uses against competitors, nor can there be any assurance that the patents issued will not be infringed, designed around, invalidated by third parties, or effectively prevent others from commercializing competitive technologies or products. Further, even if these patents are granted, they may be difficult to enforce. 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 In the event we experience noncompliance events that cannot be corrected and we lose our patent rights, competitors could enter the market, which would have a material adverse effect on our business. Further, any issued patents that we own or may license in the future covering our ecDTx could be narrowed or found invalid or unenforceable if challenged in court or before administrative bodies in the United States or other countries, including the U.S. Patent and Trademark Office (USPTO). Also, patent terms, including any extensions or adjustments that may or may not be available to us, may be inadequate to protect our competitive position on our ecDTx for an adequate amount of time, and we may be subject to claims challenging the inventorship, validity, or enforceability of our patents and/or other intellectual property. Changes in United States patent law, or laws in other countries, could diminish the value of patents in general, thereby impairing our ability to protect our ecDTx. Further, if we encounter delays in our development and testing of our ecDTx, clinical trials, or regulatory review and approval of our ecDTx, the period of time during which we could market our ecDTx under patent protection may be reduced (i.e., patents protecting the ecDTx might expire before or shortly after such ecDTx are commercialized). Thus, our patents may not provide us with sufficient rights to exclude others from commercializing products similar or identical to ours or afford us any meaningful competitive advantage.</w:t>
      </w:r>
    </w:p>
    <w:p>
      <w:pPr>
        <w:spacing w:after="0" w:line="143" w:lineRule="exact"/>
        <w:rPr>
          <w:sz w:val="20"/>
          <w:szCs w:val="20"/>
          <w:color w:val="auto"/>
        </w:rPr>
      </w:pPr>
    </w:p>
    <w:p>
      <w:pPr>
        <w:ind w:left="420" w:right="40" w:firstLine="521"/>
        <w:spacing w:after="0" w:line="270" w:lineRule="auto"/>
        <w:rPr>
          <w:sz w:val="20"/>
          <w:szCs w:val="20"/>
          <w:color w:val="auto"/>
        </w:rPr>
      </w:pPr>
      <w:r>
        <w:rPr>
          <w:rFonts w:ascii="Arial" w:cs="Arial" w:eastAsia="Arial" w:hAnsi="Arial"/>
          <w:sz w:val="17"/>
          <w:szCs w:val="17"/>
          <w:color w:val="auto"/>
        </w:rPr>
        <w:t>Moreover, the claim coverage in a patent application can be significantly reduced before the corresponding patent is granted. Even if patent applications issue as patents, they may not issue in a</w:t>
      </w:r>
    </w:p>
    <w:p>
      <w:pPr>
        <w:spacing w:after="0" w:line="8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0800"/>
          </w:cols>
          <w:pgMar w:left="320" w:top="439" w:right="7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240"/>
        <w:spacing w:after="0"/>
        <w:rPr>
          <w:sz w:val="20"/>
          <w:szCs w:val="20"/>
          <w:color w:val="auto"/>
        </w:rPr>
      </w:pPr>
      <w:r>
        <w:rPr>
          <w:rFonts w:ascii="Arial" w:cs="Arial" w:eastAsia="Arial" w:hAnsi="Arial"/>
          <w:sz w:val="17"/>
          <w:szCs w:val="17"/>
          <w:color w:val="auto"/>
        </w:rPr>
        <w:t>form that will provide us with any meaningful protection, prevent competitors or other third parties from competing with us, or otherwise provide us with any competitive advantage. Any patents issuing from our owned and any future in-licensed patent applications may be challenged, narrowed, circumvented, or invalidated by third parties. Consequently, we do not know whether our ecDTx and other proprietary technology will be protectable or remain protected by valid and enforceable patents. Even if a patent is granted, our competitors or other third parties may be able to circumvent the patent by developing similar or alternative technologies or products in a non-infringing manner, which could materially adversely affect our business, financial condition, results of operations, and prospects. Furthermore, our competitors or other third parties may avail themselves of safe harbors under the Drug Price Competition and Patent Term Restoration Act of 1984 (Hatch-Waxman Amendments) to conduct research and clinical trials.</w:t>
      </w:r>
    </w:p>
    <w:p>
      <w:pPr>
        <w:spacing w:after="0" w:line="148" w:lineRule="exact"/>
        <w:rPr>
          <w:sz w:val="20"/>
          <w:szCs w:val="20"/>
          <w:color w:val="auto"/>
        </w:rPr>
      </w:pPr>
    </w:p>
    <w:p>
      <w:pPr>
        <w:ind w:left="420" w:firstLine="521"/>
        <w:spacing w:after="0" w:line="238"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 rights may be challenged in the courts or patent offices in the United States and abroad. We may be subject to a third-party post-issuance submission of prior art to the USPTO challenging the validity of one or more claims of our patents or patents we may license in the future. Third-party submissions may also be made prior to a patent’s issuance, precluding the granting of a patent based on our pending patent application or patent application we may license in the future. A third party may also claim that our patent rights are invalid or unenforceable in a litigation. The outcome following legal assertions of invalidity and unenforceability is unpredictable. In addition, we may become involved in opposition, derivation, revocation, reexamination, reissue, post-grant, proceedings, inter partes review, interference proceedings, or other similar proceedings in the United States and/or foreign jurisdictions challenging our patent rights. An adverse determination in any such submission, proceeding, or litigation could reduce the scope of, or invalidate or render unenforceable, our patent rights, and may allow third parties, including generic drug companies, to commercialize our ecDTx and other proprietary technologies we may develop and compete directly with us.</w:t>
      </w:r>
    </w:p>
    <w:p>
      <w:pPr>
        <w:spacing w:after="0" w:line="142" w:lineRule="exact"/>
        <w:rPr>
          <w:sz w:val="20"/>
          <w:szCs w:val="20"/>
          <w:color w:val="auto"/>
        </w:rPr>
      </w:pPr>
    </w:p>
    <w:p>
      <w:pPr>
        <w:ind w:left="420" w:right="20" w:firstLine="521"/>
        <w:spacing w:after="0" w:line="242" w:lineRule="auto"/>
        <w:rPr>
          <w:sz w:val="20"/>
          <w:szCs w:val="20"/>
          <w:color w:val="auto"/>
        </w:rPr>
      </w:pPr>
      <w:r>
        <w:rPr>
          <w:rFonts w:ascii="Arial" w:cs="Arial" w:eastAsia="Arial" w:hAnsi="Arial"/>
          <w:sz w:val="17"/>
          <w:szCs w:val="17"/>
          <w:color w:val="auto"/>
        </w:rPr>
        <w:t>Moreover, some of our patent rights may in the future be co-owned with third parties. In the United States, each co-owner has the freedom to license and exploit the technology. If we are unable to obtain an exclusive license to any such third-party co-owners’ interest in such patent rights, such co-owners may be able to license their rights to other third parties, including our competitors, and our competitors could market competing products and technology. In addition, we may need the cooperation of any such co-owners of such patent rights in order to enforce such patent rights against third parties, and such cooperation may not be provided to us. Any of the foregoing could have a material adverse effect on our competitive position, business, financial conditions, results of operations, and prospects.</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and proprietary rights throughout the world.</w:t>
      </w:r>
    </w:p>
    <w:p>
      <w:pPr>
        <w:spacing w:after="0" w:line="98" w:lineRule="exact"/>
        <w:rPr>
          <w:sz w:val="20"/>
          <w:szCs w:val="20"/>
          <w:color w:val="auto"/>
        </w:rPr>
      </w:pPr>
    </w:p>
    <w:p>
      <w:pPr>
        <w:ind w:left="420" w:right="40" w:firstLine="521"/>
        <w:spacing w:after="0" w:line="239" w:lineRule="auto"/>
        <w:rPr>
          <w:sz w:val="20"/>
          <w:szCs w:val="20"/>
          <w:color w:val="auto"/>
        </w:rPr>
      </w:pPr>
      <w:r>
        <w:rPr>
          <w:rFonts w:ascii="Arial" w:cs="Arial" w:eastAsia="Arial" w:hAnsi="Arial"/>
          <w:sz w:val="17"/>
          <w:szCs w:val="17"/>
          <w:color w:val="auto"/>
        </w:rPr>
        <w:t>Filing, prosecuting, maintaining, enforcing, and defending patents on our ecDTx in all countries throughout the world is expensive, and the laws of foreign countries may not protect our intellectual property rights to the same extent as the laws of the United States. Prosecution of foreign patent applications is often a longer process and patents may grant at a later date, and with a shorter term, than in the United States. The requirements for patentability differ in certain jurisdictions and countries. Additionally, the patent laws of some countries do not afford intellectual property protection to the same extent as the laws of the United States. For example, other countries may impose substantial restrictions on the scope of claims, limiting patent protection to specifically disclosed embodiments. Consequently, we may not be able to prevent third parties from practicing our inventions in all countries outside the United States, or from selling or importing products made using our intellectual property in and into the United States or other jurisdictions. Competitors may use our intellectual property in jurisdictions where we have not pursued and obtained patent protection to develop their own products</w:t>
      </w:r>
    </w:p>
    <w:p>
      <w:pPr>
        <w:spacing w:after="0" w:line="113"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0840"/>
          </w:cols>
          <w:pgMar w:left="320" w:top="439" w:right="7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40"/>
        <w:spacing w:after="0" w:line="238" w:lineRule="auto"/>
        <w:rPr>
          <w:sz w:val="20"/>
          <w:szCs w:val="20"/>
          <w:color w:val="auto"/>
        </w:rPr>
      </w:pPr>
      <w:r>
        <w:rPr>
          <w:rFonts w:ascii="Arial" w:cs="Arial" w:eastAsia="Arial" w:hAnsi="Arial"/>
          <w:sz w:val="17"/>
          <w:szCs w:val="17"/>
          <w:color w:val="auto"/>
        </w:rPr>
        <w:t>and, further, may export otherwise infringing products to territories where we have patent protection, but enforcement is not as strong as that in the United States. These products may compete with our products, and our patents or patents we may license in the future or other intellectual property rights may not be effective or sufficient to prevent them from competing.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intellectual property and proprietary rights generally. In addition, some jurisdictions, such as Europe, Japan, and China, may have a higher standard for patentability than in the United States, including, for example, the requirement of claims having literal support in the original patent filing and the limitation on using supporting data that is not in the original patent filing. Under those heightened patentability requirements, we may not be able to obtain sufficient patent protection in certain jurisdictions even though the same or similar patent protection can be secured in the United States and other jurisdictions.</w:t>
      </w:r>
    </w:p>
    <w:p>
      <w:pPr>
        <w:spacing w:after="0" w:line="155" w:lineRule="exact"/>
        <w:rPr>
          <w:sz w:val="20"/>
          <w:szCs w:val="20"/>
          <w:color w:val="auto"/>
        </w:rPr>
      </w:pPr>
    </w:p>
    <w:p>
      <w:pPr>
        <w:ind w:left="420" w:right="60" w:firstLine="521"/>
        <w:spacing w:after="0" w:line="241" w:lineRule="auto"/>
        <w:rPr>
          <w:sz w:val="20"/>
          <w:szCs w:val="20"/>
          <w:color w:val="auto"/>
        </w:rPr>
      </w:pPr>
      <w:r>
        <w:rPr>
          <w:rFonts w:ascii="Arial" w:cs="Arial" w:eastAsia="Arial" w:hAnsi="Arial"/>
          <w:sz w:val="17"/>
          <w:szCs w:val="17"/>
          <w:color w:val="auto"/>
        </w:rPr>
        <w:t>Proceedings to enforce our intellectual property and proprietary rights in foreign jurisdictions could result in substantial costs and divert our efforts and attention from other aspects of our business, could put our patents and any patents we may license in the future at risk of being invalidated or interpreted narrowly, could put our patent applications and any patent applications we may license in the future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w:t>
      </w:r>
    </w:p>
    <w:p>
      <w:pPr>
        <w:spacing w:after="0" w:line="134" w:lineRule="exact"/>
        <w:rPr>
          <w:sz w:val="20"/>
          <w:szCs w:val="20"/>
          <w:color w:val="auto"/>
        </w:rPr>
      </w:pPr>
    </w:p>
    <w:p>
      <w:pPr>
        <w:ind w:left="420" w:firstLine="521"/>
        <w:spacing w:after="0"/>
        <w:rPr>
          <w:sz w:val="20"/>
          <w:szCs w:val="20"/>
          <w:color w:val="auto"/>
        </w:rPr>
      </w:pPr>
      <w:r>
        <w:rPr>
          <w:rFonts w:ascii="Arial" w:cs="Arial" w:eastAsia="Arial" w:hAnsi="Arial"/>
          <w:sz w:val="17"/>
          <w:szCs w:val="17"/>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In addition, geopolitical actions in the United States and in foreign countries (such as the wars between Russia and Ukraine and Israel and Hamas) could increase the uncertainties and costs surrounding the prosecution or maintenance of our patent applications or those of any future licensors and the maintenance, enforcement, or defense of our issued patents, which could impair our competitive intellectual property position.</w:t>
      </w:r>
    </w:p>
    <w:p>
      <w:pPr>
        <w:spacing w:after="0" w:line="276" w:lineRule="exact"/>
        <w:rPr>
          <w:sz w:val="20"/>
          <w:szCs w:val="20"/>
          <w:color w:val="auto"/>
        </w:rPr>
      </w:pPr>
    </w:p>
    <w:p>
      <w:pPr>
        <w:ind w:left="420" w:right="300"/>
        <w:spacing w:after="0" w:line="257"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49" w:lineRule="exact"/>
        <w:rPr>
          <w:sz w:val="20"/>
          <w:szCs w:val="20"/>
          <w:color w:val="auto"/>
        </w:rPr>
      </w:pPr>
    </w:p>
    <w:p>
      <w:pPr>
        <w:ind w:left="420" w:right="20" w:firstLine="521"/>
        <w:spacing w:after="0" w:line="241" w:lineRule="auto"/>
        <w:rPr>
          <w:sz w:val="20"/>
          <w:szCs w:val="20"/>
          <w:color w:val="auto"/>
        </w:rPr>
      </w:pPr>
      <w:r>
        <w:rPr>
          <w:rFonts w:ascii="Arial" w:cs="Arial" w:eastAsia="Arial" w:hAnsi="Arial"/>
          <w:sz w:val="17"/>
          <w:szCs w:val="17"/>
          <w:color w:val="auto"/>
        </w:rPr>
        <w:t>The USPTO and various non-U.S. government agencies require compliance with several procedural, documentary, fee payment, and other similar provisions during the patent application process. In some circumstances, we may be dependent on any future licensors to take the necessary action to comply with these requirements with respect to any licensed intellectual property. For example, periodic maintenance fees, renewal fees, annuity fees, and various other government fees on patents and applications will be due to be paid to the USPTO and various government patent agencies outside of the United States over the lifetime of our patents and applications. In certain circumstances, we may rely on licensing partners to pay these fees due to the U.S. and non-U.S. patent agencies. In some cases, an inadvertent lapse can be cured by payment of a late fee or by other means in</w:t>
      </w:r>
    </w:p>
    <w:p>
      <w:pPr>
        <w:spacing w:after="0" w:line="10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0820"/>
          </w:cols>
          <w:pgMar w:left="320" w:top="439" w:right="7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140"/>
        <w:spacing w:after="0" w:line="247" w:lineRule="auto"/>
        <w:rPr>
          <w:sz w:val="20"/>
          <w:szCs w:val="20"/>
          <w:color w:val="auto"/>
        </w:rPr>
      </w:pPr>
      <w:r>
        <w:rPr>
          <w:rFonts w:ascii="Arial" w:cs="Arial" w:eastAsia="Arial" w:hAnsi="Arial"/>
          <w:sz w:val="17"/>
          <w:szCs w:val="17"/>
          <w:color w:val="auto"/>
        </w:rPr>
        <w:t>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w:t>
      </w:r>
    </w:p>
    <w:p>
      <w:pPr>
        <w:spacing w:after="0" w:line="141" w:lineRule="exact"/>
        <w:rPr>
          <w:sz w:val="20"/>
          <w:szCs w:val="20"/>
          <w:color w:val="auto"/>
        </w:rPr>
      </w:pPr>
    </w:p>
    <w:p>
      <w:pPr>
        <w:ind w:left="420" w:firstLine="521"/>
        <w:spacing w:after="0" w:line="238" w:lineRule="auto"/>
        <w:rPr>
          <w:sz w:val="20"/>
          <w:szCs w:val="20"/>
          <w:color w:val="auto"/>
        </w:rPr>
      </w:pPr>
      <w:r>
        <w:rPr>
          <w:rFonts w:ascii="Arial" w:cs="Arial" w:eastAsia="Arial" w:hAnsi="Arial"/>
          <w:sz w:val="17"/>
          <w:szCs w:val="17"/>
          <w:color w:val="auto"/>
        </w:rPr>
        <w:t>The USPTO and various non-U.S. government agencies require compliance with certain foreign filing requirements during the patent application process. For example, in some countries, including the United States, China, India,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(e.g., items related to national security or national defense). In some cases, a foreign filing license may be obtained retroactively in accordance with the applicable rules. There are situations, however, in which non-compliance can result in abandonment of a pending patent application or can be grounds for revoking or invalidating an issued patent, resulting in the loss of patent rights in the relevant jurisdiction. In such an event, potential competitors might be able to enter the relevant markets with similar or identical products or technology, which could have a material adverse effect on our business, financial condition, results of operations, and prospects. We would also be dependent on any future licensors to take the necessary actions to comply with these requirements with respect to any intellectual property we may license in the future.</w:t>
      </w:r>
    </w:p>
    <w:p>
      <w:pPr>
        <w:spacing w:after="0" w:line="140" w:lineRule="exact"/>
        <w:rPr>
          <w:sz w:val="20"/>
          <w:szCs w:val="20"/>
          <w:color w:val="auto"/>
        </w:rPr>
      </w:pPr>
    </w:p>
    <w:p>
      <w:pPr>
        <w:ind w:left="420" w:right="60" w:firstLine="521"/>
        <w:spacing w:after="0" w:line="247" w:lineRule="auto"/>
        <w:rPr>
          <w:sz w:val="20"/>
          <w:szCs w:val="20"/>
          <w:color w:val="auto"/>
        </w:rPr>
      </w:pPr>
      <w:r>
        <w:rPr>
          <w:rFonts w:ascii="Arial" w:cs="Arial" w:eastAsia="Arial" w:hAnsi="Arial"/>
          <w:sz w:val="17"/>
          <w:szCs w:val="17"/>
          <w:color w:val="auto"/>
        </w:rPr>
        <w:t>Public health pandemics (such as the COVID-19 pandemic), geopolitical instability (war and terrorism), natural disasters, or similar events may impair our and our licensors’ ability to comply with these procedural, document submission, fee payment, and other requirements imposed by government patent agencies, which may materially and adversely affect our ability to obtain or maintain patent protection for our products and ecDTx.</w:t>
      </w:r>
    </w:p>
    <w:p>
      <w:pPr>
        <w:spacing w:after="0" w:line="269" w:lineRule="exact"/>
        <w:rPr>
          <w:sz w:val="20"/>
          <w:szCs w:val="20"/>
          <w:color w:val="auto"/>
        </w:rPr>
      </w:pPr>
    </w:p>
    <w:p>
      <w:pPr>
        <w:ind w:left="420" w:right="280"/>
        <w:spacing w:after="0" w:line="280" w:lineRule="auto"/>
        <w:rPr>
          <w:sz w:val="20"/>
          <w:szCs w:val="20"/>
          <w:color w:val="auto"/>
        </w:rPr>
      </w:pPr>
      <w:r>
        <w:rPr>
          <w:rFonts w:ascii="Arial" w:cs="Arial" w:eastAsia="Arial" w:hAnsi="Arial"/>
          <w:sz w:val="17"/>
          <w:szCs w:val="17"/>
          <w:b w:val="1"/>
          <w:bCs w:val="1"/>
          <w:i w:val="1"/>
          <w:iCs w:val="1"/>
          <w:color w:val="auto"/>
        </w:rPr>
        <w:t>Changes in patent laws or their interpretations could diminish the value of patents in general, thereby impairing our ability to protect our products.</w:t>
      </w:r>
    </w:p>
    <w:p>
      <w:pPr>
        <w:spacing w:after="0" w:line="29" w:lineRule="exact"/>
        <w:rPr>
          <w:sz w:val="20"/>
          <w:szCs w:val="20"/>
          <w:color w:val="auto"/>
        </w:rPr>
      </w:pPr>
    </w:p>
    <w:p>
      <w:pPr>
        <w:ind w:left="420" w:right="40" w:firstLine="521"/>
        <w:spacing w:after="0" w:line="238" w:lineRule="auto"/>
        <w:rPr>
          <w:sz w:val="20"/>
          <w:szCs w:val="20"/>
          <w:color w:val="auto"/>
        </w:rPr>
      </w:pPr>
      <w:r>
        <w:rPr>
          <w:rFonts w:ascii="Arial" w:cs="Arial" w:eastAsia="Arial" w:hAnsi="Arial"/>
          <w:sz w:val="17"/>
          <w:szCs w:val="17"/>
          <w:color w:val="auto"/>
        </w:rPr>
        <w:t>Changes in either the patent laws or interpretation of the patent laws in the United States or in other countries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or our licensors could therefore be awarded a patent covering an invention of ours or our licensors even if we or our licensors had made the invention before it was made by such third party. This requires us to be cognizant of the time from invention to filing of a patent application. Since patent applications in the United States and most other countries are confidential for a period of time after filing or until issuance, we cannot be certain that we or our licensors are the first to either (i) file any patent application related to our ecDTx and other proprietary technologies we may develop or (ii) invent any of the inventions claimed in our patents or patent applications.</w:t>
      </w:r>
    </w:p>
    <w:p>
      <w:pPr>
        <w:spacing w:after="0" w:line="138" w:lineRule="exact"/>
        <w:rPr>
          <w:sz w:val="20"/>
          <w:szCs w:val="20"/>
          <w:color w:val="auto"/>
        </w:rPr>
      </w:pPr>
    </w:p>
    <w:p>
      <w:pPr>
        <w:jc w:val="both"/>
        <w:ind w:left="420" w:right="20" w:firstLine="521"/>
        <w:spacing w:after="0" w:line="252" w:lineRule="auto"/>
        <w:rPr>
          <w:sz w:val="20"/>
          <w:szCs w:val="20"/>
          <w:color w:val="auto"/>
        </w:rPr>
      </w:pPr>
      <w:r>
        <w:rPr>
          <w:rFonts w:ascii="Arial" w:cs="Arial" w:eastAsia="Arial" w:hAnsi="Arial"/>
          <w:sz w:val="17"/>
          <w:szCs w:val="17"/>
          <w:color w:val="auto"/>
        </w:rPr>
        <w:t>The America Invents Act also included a number of significant changes that affect the way patent applications are prosecuted and also affect patent litigation. These include allowing third party protests and submission of prior art to the USPTO during patent prosecution and additional procedures to</w:t>
      </w:r>
    </w:p>
    <w:p>
      <w:pPr>
        <w:spacing w:after="0" w:line="10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0800"/>
          </w:cols>
          <w:pgMar w:left="320" w:top="439" w:right="7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120"/>
        <w:spacing w:after="0" w:line="241" w:lineRule="auto"/>
        <w:rPr>
          <w:sz w:val="20"/>
          <w:szCs w:val="20"/>
          <w:color w:val="auto"/>
        </w:rPr>
      </w:pPr>
      <w:r>
        <w:rPr>
          <w:rFonts w:ascii="Arial" w:cs="Arial" w:eastAsia="Arial" w:hAnsi="Arial"/>
          <w:sz w:val="17"/>
          <w:szCs w:val="17"/>
          <w:color w:val="auto"/>
        </w:rPr>
        <w:t>attack the validity of a patent by USPTO-administered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or any patent claims we may license in the future that would not have been invalidated if first challenged by the third party as a defendant in a district court action.</w:t>
      </w:r>
    </w:p>
    <w:p>
      <w:pPr>
        <w:spacing w:after="0" w:line="146" w:lineRule="exact"/>
        <w:rPr>
          <w:sz w:val="20"/>
          <w:szCs w:val="20"/>
          <w:color w:val="auto"/>
        </w:rPr>
      </w:pPr>
    </w:p>
    <w:p>
      <w:pPr>
        <w:ind w:left="420" w:firstLine="521"/>
        <w:spacing w:after="0" w:line="238" w:lineRule="auto"/>
        <w:rPr>
          <w:sz w:val="20"/>
          <w:szCs w:val="20"/>
          <w:color w:val="auto"/>
        </w:rPr>
      </w:pPr>
      <w:r>
        <w:rPr>
          <w:rFonts w:ascii="Arial" w:cs="Arial" w:eastAsia="Arial" w:hAnsi="Arial"/>
          <w:sz w:val="17"/>
          <w:szCs w:val="17"/>
          <w:color w:val="auto"/>
        </w:rPr>
        <w:t xml:space="preserve">In addition, the patent positions of companies in the development and commercialization of pharmaceuticals are particularly uncertain. Recent U.S. Supreme Court rulings have narrowed the scope of patent protection available in certain circumstances and weakened the rights of patent owners in certain situations. We cannot predict how decisions by the courts, the U.S. Congress or the USPTO may impact the value of our patent rights. For example, the U.S. Supreme Court held in </w:t>
      </w:r>
      <w:r>
        <w:rPr>
          <w:rFonts w:ascii="Arial" w:cs="Arial" w:eastAsia="Arial" w:hAnsi="Arial"/>
          <w:sz w:val="17"/>
          <w:szCs w:val="17"/>
          <w:i w:val="1"/>
          <w:iCs w:val="1"/>
          <w:color w:val="auto"/>
        </w:rPr>
        <w:t>Amgen v. Sanofi (2023)</w:t>
      </w:r>
      <w:r>
        <w:rPr>
          <w:rFonts w:ascii="Arial" w:cs="Arial" w:eastAsia="Arial" w:hAnsi="Arial"/>
          <w:sz w:val="17"/>
          <w:szCs w:val="17"/>
          <w:color w:val="auto"/>
        </w:rPr>
        <w:t xml:space="preserve"> that a functionally claimed genus was invalid for failing to comply with the enablement requirement of the Patent Act. As such, our patent rights with functional claims may be vulnerable to third party challenges seeking to invalidate these claims for lacking enablement or adequate support in the specification.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or may obtain or license in the future.</w:t>
      </w:r>
    </w:p>
    <w:p>
      <w:pPr>
        <w:spacing w:after="0" w:line="140" w:lineRule="exact"/>
        <w:rPr>
          <w:sz w:val="20"/>
          <w:szCs w:val="20"/>
          <w:color w:val="auto"/>
        </w:rPr>
      </w:pPr>
    </w:p>
    <w:p>
      <w:pPr>
        <w:ind w:left="420" w:right="40" w:firstLine="521"/>
        <w:spacing w:after="0" w:line="238" w:lineRule="auto"/>
        <w:rPr>
          <w:sz w:val="20"/>
          <w:szCs w:val="20"/>
          <w:color w:val="auto"/>
        </w:rPr>
      </w:pPr>
      <w:r>
        <w:rPr>
          <w:rFonts w:ascii="Arial" w:cs="Arial" w:eastAsia="Arial" w:hAnsi="Arial"/>
          <w:sz w:val="17"/>
          <w:szCs w:val="17"/>
          <w:color w:val="auto"/>
        </w:rPr>
        <w:t>In 2012, the European Union Patent Package (EU Patent Package) regulations were passed with the goal of providing a single pan-European Unitary Patent and a new European Unified Patent Court (UPC) for litigation involving European patents. The EU Patent Package was implemented on June 1, 2023. As a result, all European patents, including those issued prior to ratification of the EU Patent Package, now by default automatically fall under the jurisdiction of the UPC, unless otherwise opted out.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future European patents could remain under the jurisdiction of the UPC. The UPC will provide our competitors with a new forum to centrally revoke our European patent, and allow for the possibility of a competitor to obtain pan-European injunction. Such a loss of patent protection could have a material adverse impact on our business and our ability to commercialize our technology and ecDTx dues to increased competition and, resultantly, on our business, financial condition, results of operations, and prospects. The UPC and Unitary Patent are significant changes in European patent practice. As the UPC is a new court system, there is no precedent for the court, increasing the uncertainty of any litigation in the UPC.</w:t>
      </w:r>
    </w:p>
    <w:p>
      <w:pPr>
        <w:spacing w:after="0" w:line="276" w:lineRule="exact"/>
        <w:rPr>
          <w:sz w:val="20"/>
          <w:szCs w:val="20"/>
          <w:color w:val="auto"/>
        </w:rPr>
      </w:pPr>
    </w:p>
    <w:p>
      <w:pPr>
        <w:ind w:left="420" w:right="560"/>
        <w:spacing w:after="0" w:line="280" w:lineRule="auto"/>
        <w:rPr>
          <w:sz w:val="20"/>
          <w:szCs w:val="20"/>
          <w:color w:val="auto"/>
        </w:rPr>
      </w:pPr>
      <w:r>
        <w:rPr>
          <w:rFonts w:ascii="Arial" w:cs="Arial" w:eastAsia="Arial" w:hAnsi="Arial"/>
          <w:sz w:val="17"/>
          <w:szCs w:val="17"/>
          <w:b w:val="1"/>
          <w:bCs w:val="1"/>
          <w:i w:val="1"/>
          <w:iCs w:val="1"/>
          <w:color w:val="auto"/>
        </w:rPr>
        <w:t>Issued patents covering our ecDTx could be found invalid or unenforceable if challenged in court or before administrative bodies in the United States or abroad.</w:t>
      </w:r>
    </w:p>
    <w:p>
      <w:pPr>
        <w:spacing w:after="0" w:line="29" w:lineRule="exact"/>
        <w:rPr>
          <w:sz w:val="20"/>
          <w:szCs w:val="20"/>
          <w:color w:val="auto"/>
        </w:rPr>
      </w:pPr>
    </w:p>
    <w:p>
      <w:pPr>
        <w:ind w:left="420" w:right="20" w:firstLine="521"/>
        <w:spacing w:after="0" w:line="252" w:lineRule="auto"/>
        <w:rPr>
          <w:sz w:val="20"/>
          <w:szCs w:val="20"/>
          <w:color w:val="auto"/>
        </w:rPr>
      </w:pPr>
      <w:r>
        <w:rPr>
          <w:rFonts w:ascii="Arial" w:cs="Arial" w:eastAsia="Arial" w:hAnsi="Arial"/>
          <w:sz w:val="17"/>
          <w:szCs w:val="17"/>
          <w:color w:val="auto"/>
        </w:rPr>
        <w:t>Our patent rights may be subject to priority, validity, inventorship, ownership, and enforceability disputes. Legal proceedings relating to intellectual property claims, with or without merit, are unpredictable and generally expensive and time-consuming and likely to divert significant resources</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0840"/>
          </w:cols>
          <w:pgMar w:left="320" w:top="439" w:right="7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140"/>
        <w:spacing w:after="0" w:line="247" w:lineRule="auto"/>
        <w:rPr>
          <w:sz w:val="20"/>
          <w:szCs w:val="20"/>
          <w:color w:val="auto"/>
        </w:rPr>
      </w:pPr>
      <w:r>
        <w:rPr>
          <w:rFonts w:ascii="Arial" w:cs="Arial" w:eastAsia="Arial" w:hAnsi="Arial"/>
          <w:sz w:val="17"/>
          <w:szCs w:val="17"/>
          <w:color w:val="auto"/>
        </w:rPr>
        <w:t>from our core business, including distracting our management and scientific personnel from their normal responsibilities and generally harm our business. If we or any future licensors are unsuccessful in any of these proceedings, such patents and patent applications may be narrowed, invalidated, or held unenforceable. Any of the foregoing could have a material adverse effect on our business, financial condition, results of operations, and prospects.</w:t>
      </w:r>
    </w:p>
    <w:p>
      <w:pPr>
        <w:spacing w:after="0" w:line="141" w:lineRule="exact"/>
        <w:rPr>
          <w:sz w:val="20"/>
          <w:szCs w:val="20"/>
          <w:color w:val="auto"/>
        </w:rPr>
      </w:pPr>
    </w:p>
    <w:p>
      <w:pPr>
        <w:ind w:left="420" w:firstLine="521"/>
        <w:spacing w:after="0" w:line="237" w:lineRule="auto"/>
        <w:rPr>
          <w:sz w:val="20"/>
          <w:szCs w:val="20"/>
          <w:color w:val="auto"/>
        </w:rPr>
      </w:pPr>
      <w:r>
        <w:rPr>
          <w:rFonts w:ascii="Arial" w:cs="Arial" w:eastAsia="Arial" w:hAnsi="Arial"/>
          <w:sz w:val="17"/>
          <w:szCs w:val="17"/>
          <w:color w:val="auto"/>
        </w:rPr>
        <w:t>If we initiate legal proceedings against a third party to enforce a patent covering our ecDTx, the defendant could counterclaim that such patent is invalid or unenforceable. In patent litigation in the United States, defendant counterclaims alleging invalidity or unenforceability are commonplace. Grounds for a validity challenge could include an alleged failure to meet any of several statutory requirements, including lack of novelty, obviousness, non-enablement, lack of sufficient written description, failure to claim patent-eligible subject matter, or obviousness-type double patenting. Grounds for an unenforceability assertion could be an allegation that someone connected with prosecution of the patent withheld relevant information from the USPTO, or made a misleading or inconsistent statement, during prosecution. Third parties may raise claims challenging the validity or enforceability of a patent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 rights or any patent rights we may obtain or license in the future in such a way that they no longer cover our ecDTx or prevent third parties from competing with our ecDTx.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for our ecDTx. Such a loss of patent protection would have a material adverse impact on our business, financial condition, results of operations, and prospects.</w:t>
      </w:r>
    </w:p>
    <w:p>
      <w:pPr>
        <w:spacing w:after="0" w:line="285"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Patent terms may be inadequate to protect the competitive position of our ecDTx for an adequate amount of time.</w:t>
      </w:r>
    </w:p>
    <w:p>
      <w:pPr>
        <w:spacing w:after="0" w:line="98" w:lineRule="exact"/>
        <w:rPr>
          <w:sz w:val="20"/>
          <w:szCs w:val="20"/>
          <w:color w:val="auto"/>
        </w:rPr>
      </w:pPr>
    </w:p>
    <w:p>
      <w:pPr>
        <w:ind w:left="420" w:firstLine="521"/>
        <w:spacing w:after="0"/>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our ecDTx are obtained, once the patent has expired, we may be vulnerable to competition from competitive products, including generics. Given the amount of time required for the development, testing, and regulatory review of new ecDTx, patents protecting such ecDTx might expire before or shortly after such ecDTx are commercialized. As a result, our intellectual property may not provide us with sufficient rights to exclude others from commercializing products similar or identical to ours. If we do not have sufficient patent life to protect our products, our business, financial condition, results of operations, and prospects will be adversely affected.</w:t>
      </w:r>
    </w:p>
    <w:p>
      <w:pPr>
        <w:spacing w:after="0" w:line="276" w:lineRule="exact"/>
        <w:rPr>
          <w:sz w:val="20"/>
          <w:szCs w:val="20"/>
          <w:color w:val="auto"/>
        </w:rPr>
      </w:pPr>
    </w:p>
    <w:p>
      <w:pPr>
        <w:ind w:left="420" w:right="300"/>
        <w:spacing w:after="0" w:line="280" w:lineRule="auto"/>
        <w:rPr>
          <w:sz w:val="20"/>
          <w:szCs w:val="20"/>
          <w:color w:val="auto"/>
        </w:rPr>
      </w:pPr>
      <w:r>
        <w:rPr>
          <w:rFonts w:ascii="Arial" w:cs="Arial" w:eastAsia="Arial" w:hAnsi="Arial"/>
          <w:sz w:val="17"/>
          <w:szCs w:val="17"/>
          <w:b w:val="1"/>
          <w:bCs w:val="1"/>
          <w:i w:val="1"/>
          <w:iCs w:val="1"/>
          <w:color w:val="auto"/>
        </w:rPr>
        <w:t>If we do not obtain patent term extension and equivalent extensions outside of the United States for our ecDTx, our business may be materially harmed.</w:t>
      </w:r>
    </w:p>
    <w:p>
      <w:pPr>
        <w:spacing w:after="0" w:line="29" w:lineRule="exact"/>
        <w:rPr>
          <w:sz w:val="20"/>
          <w:szCs w:val="20"/>
          <w:color w:val="auto"/>
        </w:rPr>
      </w:pPr>
    </w:p>
    <w:p>
      <w:pPr>
        <w:ind w:left="420" w:firstLine="521"/>
        <w:spacing w:after="0" w:line="244" w:lineRule="auto"/>
        <w:rPr>
          <w:sz w:val="20"/>
          <w:szCs w:val="20"/>
          <w:color w:val="auto"/>
        </w:rPr>
      </w:pPr>
      <w:r>
        <w:rPr>
          <w:rFonts w:ascii="Arial" w:cs="Arial" w:eastAsia="Arial" w:hAnsi="Arial"/>
          <w:sz w:val="17"/>
          <w:szCs w:val="17"/>
          <w:color w:val="auto"/>
        </w:rPr>
        <w:t>Depending upon the timing, duration, and specifics of any FDA regulatory approval of any of our ecDTx, one or more of our U.S. patents may be eligible for limited patent term extension under the Hatch-Waxman Amendments. The Hatch-Waxman Amendments permit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w:t>
      </w:r>
    </w:p>
    <w:p>
      <w:pPr>
        <w:spacing w:after="0" w:line="105"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0820"/>
          </w:cols>
          <w:pgMar w:left="320" w:top="439" w:right="7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40"/>
        <w:spacing w:after="0" w:line="239" w:lineRule="auto"/>
        <w:rPr>
          <w:sz w:val="20"/>
          <w:szCs w:val="20"/>
          <w:color w:val="auto"/>
        </w:rPr>
      </w:pPr>
      <w:r>
        <w:rPr>
          <w:rFonts w:ascii="Arial" w:cs="Arial" w:eastAsia="Arial" w:hAnsi="Arial"/>
          <w:sz w:val="17"/>
          <w:szCs w:val="17"/>
          <w:color w:val="auto"/>
        </w:rPr>
        <w:t>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However, we may not be granted an extension for various reasons, including failing to exercise due diligence during the testing phase or regulatory review process, failing to apply within applicable deadlines, failing to apply prior to expiration of relevant patents, or failing to satisfy other applicable requirements. Moreover, the applicable time period or the scope of patent protection afforded could be less than we request. In addition, to the extent we wish to pursue patent term extension based on a patent that we may license from a third party in the future, we may need the cooperation of that third party. If we are unable to obtain patent term extension, or the foreign equivalent, or if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277"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We may be subject to claims challenging the inventorship of our patents and other intellectual property.</w:t>
      </w:r>
    </w:p>
    <w:p>
      <w:pPr>
        <w:spacing w:after="0" w:line="98" w:lineRule="exact"/>
        <w:rPr>
          <w:sz w:val="20"/>
          <w:szCs w:val="20"/>
          <w:color w:val="auto"/>
        </w:rPr>
      </w:pPr>
    </w:p>
    <w:p>
      <w:pPr>
        <w:ind w:left="420" w:firstLine="521"/>
        <w:spacing w:after="0" w:line="239" w:lineRule="auto"/>
        <w:rPr>
          <w:sz w:val="20"/>
          <w:szCs w:val="20"/>
          <w:color w:val="auto"/>
        </w:rPr>
      </w:pPr>
      <w:r>
        <w:rPr>
          <w:rFonts w:ascii="Arial" w:cs="Arial" w:eastAsia="Arial" w:hAnsi="Arial"/>
          <w:sz w:val="17"/>
          <w:szCs w:val="17"/>
          <w:color w:val="auto"/>
        </w:rPr>
        <w:t>We may be subject to claims that former employees, consultants, collaborators, or other third parties have an interest in our patent rights, trade secrets, or other intellectual property as an inventor, co-inventor, or owner of trade secrets. For example, we may have inventorship disputes arise from conflicting obligations of consultants or others who are involved in developing our ecDTx and other proprietary technologies we may develop. Litigation may be necessary to defend against these and other claims challenging inventorship or our patent rights, trade secrets, or other intellectual property. If we fail in defending any such claims, in addition to paying monetary damages, we may lose valuable intellectual property rights, such as exclusive ownership of, or the right to use intellectual property that is important to our ecDTx and other proprietary technologies we may develop.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98" w:lineRule="exact"/>
        <w:rPr>
          <w:sz w:val="20"/>
          <w:szCs w:val="20"/>
          <w:color w:val="auto"/>
        </w:rPr>
      </w:pPr>
    </w:p>
    <w:p>
      <w:pPr>
        <w:ind w:left="420" w:firstLine="521"/>
        <w:spacing w:after="0" w:line="237" w:lineRule="auto"/>
        <w:rPr>
          <w:sz w:val="20"/>
          <w:szCs w:val="20"/>
          <w:color w:val="auto"/>
        </w:rPr>
      </w:pPr>
      <w:r>
        <w:rPr>
          <w:rFonts w:ascii="Arial" w:cs="Arial" w:eastAsia="Arial" w:hAnsi="Arial"/>
          <w:sz w:val="17"/>
          <w:szCs w:val="17"/>
          <w:color w:val="auto"/>
        </w:rPr>
        <w:t>In addition to seeking patent protection for our ecDTx and proprietary technologies, we may rely on trade secret protection and confidentiality agreements to protect our unpatented know-how, technology, and other proprietary information and to maintain our competitive position. We seek to protect these trade secrets and other proprietary technology, in part, by entering into non-disclosure and confidentiality agreements with parties who have access to them, such as our employees, third-party collaborators, CROs, contract manufacturers, consultants, advisors, and other third parties. We also enter into confidentiality and invention or patent assignment agreements with our employees and consultants. Trade secrets and know-how can be difficult to protect. We cannot guarantee that we have entered into applicable 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We cannot guarantee that any potential trade secrets and other proprietary and confidential information will not be disclosed or that competitors will not otherwise gain access to trade secrets.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w:t>
      </w:r>
    </w:p>
    <w:p>
      <w:pPr>
        <w:spacing w:after="0" w:line="12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0760"/>
          </w:cols>
          <w:pgMar w:left="320" w:top="439" w:right="8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20"/>
        <w:spacing w:after="0" w:line="247" w:lineRule="auto"/>
        <w:rPr>
          <w:sz w:val="20"/>
          <w:szCs w:val="20"/>
          <w:color w:val="auto"/>
        </w:rPr>
      </w:pPr>
      <w:r>
        <w:rPr>
          <w:rFonts w:ascii="Arial" w:cs="Arial" w:eastAsia="Arial" w:hAnsi="Arial"/>
          <w:sz w:val="17"/>
          <w:szCs w:val="17"/>
          <w:color w:val="auto"/>
        </w:rPr>
        <w:t>third party, we would have no right to prevent them from using that technology or information to compete with us. Furthermore, others may independently discover similar trade secrets and proprietary information. If any of our trade secrets were to be disclosed or misappropriated or if any such information were to be independently developed by a competitor or other third party, our competitive position would be materially and adversely harmed.</w:t>
      </w:r>
    </w:p>
    <w:p>
      <w:pPr>
        <w:spacing w:after="0" w:line="141" w:lineRule="exact"/>
        <w:rPr>
          <w:sz w:val="20"/>
          <w:szCs w:val="20"/>
          <w:color w:val="auto"/>
        </w:rPr>
      </w:pPr>
    </w:p>
    <w:p>
      <w:pPr>
        <w:ind w:left="420" w:right="40" w:firstLine="521"/>
        <w:spacing w:after="0"/>
        <w:rPr>
          <w:sz w:val="20"/>
          <w:szCs w:val="20"/>
          <w:color w:val="auto"/>
        </w:rPr>
      </w:pPr>
      <w:r>
        <w:rPr>
          <w:rFonts w:ascii="Arial" w:cs="Arial" w:eastAsia="Arial" w:hAnsi="Arial"/>
          <w:sz w:val="17"/>
          <w:szCs w:val="17"/>
          <w:color w:val="auto"/>
        </w:rPr>
        <w:t>We may be subject to claims that third parties have an ownership interest in our trade secrets. For example, we may have disputes arise from conflicting obligations of our employees, consultants, or others who are involved in developing our ecDTx.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ecDTx and other proprietary technologies we may develop. Such an outcome could have a material adverse effect on our business.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spacing w:after="0" w:line="276" w:lineRule="exact"/>
        <w:rPr>
          <w:sz w:val="20"/>
          <w:szCs w:val="20"/>
          <w:color w:val="auto"/>
        </w:rPr>
      </w:pPr>
    </w:p>
    <w:p>
      <w:pPr>
        <w:ind w:left="420" w:right="200"/>
        <w:spacing w:after="0" w:line="312" w:lineRule="auto"/>
        <w:rPr>
          <w:sz w:val="20"/>
          <w:szCs w:val="20"/>
          <w:color w:val="auto"/>
        </w:rPr>
      </w:pPr>
      <w:r>
        <w:rPr>
          <w:rFonts w:ascii="Arial" w:cs="Arial" w:eastAsia="Arial" w:hAnsi="Arial"/>
          <w:sz w:val="16"/>
          <w:szCs w:val="16"/>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7" w:lineRule="exact"/>
        <w:rPr>
          <w:sz w:val="20"/>
          <w:szCs w:val="20"/>
          <w:color w:val="auto"/>
        </w:rPr>
      </w:pPr>
    </w:p>
    <w:p>
      <w:pPr>
        <w:ind w:left="420" w:right="40" w:firstLine="521"/>
        <w:spacing w:after="0" w:line="241" w:lineRule="auto"/>
        <w:rPr>
          <w:sz w:val="20"/>
          <w:szCs w:val="20"/>
          <w:color w:val="auto"/>
        </w:rPr>
      </w:pPr>
      <w:r>
        <w:rPr>
          <w:rFonts w:ascii="Arial" w:cs="Arial" w:eastAsia="Arial" w:hAnsi="Arial"/>
          <w:sz w:val="17"/>
          <w:szCs w:val="17"/>
          <w:color w:val="auto"/>
        </w:rPr>
        <w:t>Some of our employees, consultants, and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management.</w:t>
      </w:r>
    </w:p>
    <w:p>
      <w:pPr>
        <w:spacing w:after="0" w:line="134" w:lineRule="exact"/>
        <w:rPr>
          <w:sz w:val="20"/>
          <w:szCs w:val="20"/>
          <w:color w:val="auto"/>
        </w:rPr>
      </w:pPr>
    </w:p>
    <w:p>
      <w:pPr>
        <w:ind w:left="420" w:firstLine="521"/>
        <w:spacing w:after="0" w:line="241"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74" w:lineRule="exact"/>
        <w:rPr>
          <w:sz w:val="20"/>
          <w:szCs w:val="20"/>
          <w:color w:val="auto"/>
        </w:rPr>
      </w:pPr>
    </w:p>
    <w:p>
      <w:pPr>
        <w:ind w:left="420" w:right="200"/>
        <w:spacing w:after="0" w:line="280" w:lineRule="auto"/>
        <w:rPr>
          <w:sz w:val="20"/>
          <w:szCs w:val="20"/>
          <w:color w:val="auto"/>
        </w:rPr>
      </w:pPr>
      <w:r>
        <w:rPr>
          <w:rFonts w:ascii="Arial" w:cs="Arial" w:eastAsia="Arial" w:hAnsi="Arial"/>
          <w:sz w:val="17"/>
          <w:szCs w:val="17"/>
          <w:b w:val="1"/>
          <w:bCs w:val="1"/>
          <w:i w:val="1"/>
          <w:iCs w:val="1"/>
          <w:color w:val="auto"/>
        </w:rPr>
        <w:t>We may not identify relevant third-party patents or may incorrectly interpret the relevance, scope, or expiration of a third-party patent, which might adversely affect our ability to develop and market our products and ecDTx.</w:t>
      </w:r>
    </w:p>
    <w:p>
      <w:pPr>
        <w:spacing w:after="0" w:line="29" w:lineRule="exact"/>
        <w:rPr>
          <w:sz w:val="20"/>
          <w:szCs w:val="20"/>
          <w:color w:val="auto"/>
        </w:rPr>
      </w:pPr>
    </w:p>
    <w:p>
      <w:pPr>
        <w:ind w:left="420" w:right="260" w:firstLine="521"/>
        <w:spacing w:after="0" w:line="244" w:lineRule="auto"/>
        <w:rPr>
          <w:sz w:val="20"/>
          <w:szCs w:val="20"/>
          <w:color w:val="auto"/>
        </w:rPr>
      </w:pPr>
      <w:r>
        <w:rPr>
          <w:rFonts w:ascii="Arial" w:cs="Arial" w:eastAsia="Arial" w:hAnsi="Arial"/>
          <w:sz w:val="17"/>
          <w:szCs w:val="17"/>
          <w:color w:val="auto"/>
        </w:rPr>
        <w:t>We cannot guarantee that any of our patent searches or analyses, including the identification of relevant patents, the scope of patent claims, or the expiration of relevant patents, are or will be complete or thorough, nor can we be certain that we have identified or will identify each and every third-party patent and pending patent application in the United States and abroad that is relevant to or necessary for the commercialization of our current and future ecDTx in any jurisdiction. Patent applications in the United States and elsewhere are not published until approximately 18 months after</w:t>
      </w:r>
    </w:p>
    <w:p>
      <w:pPr>
        <w:spacing w:after="0" w:line="10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0820"/>
          </w:cols>
          <w:pgMar w:left="320" w:top="439" w:right="7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line="237" w:lineRule="auto"/>
        <w:rPr>
          <w:sz w:val="20"/>
          <w:szCs w:val="20"/>
          <w:color w:val="auto"/>
        </w:rPr>
      </w:pPr>
      <w:r>
        <w:rPr>
          <w:rFonts w:ascii="Arial" w:cs="Arial" w:eastAsia="Arial" w:hAnsi="Arial"/>
          <w:sz w:val="17"/>
          <w:szCs w:val="17"/>
          <w:color w:val="auto"/>
        </w:rPr>
        <w:t>the earliest filing for which priority is claimed, with such earliest filing date being commonly referred to as the priority date. Therefore, patent applications covering our ecDTx could have been filed by others without our knowledge. The scope of a patent claim is determined by the interpretation of the law, the words of a patent claim, the written disclosure in a patent, and the patent’s prosecution history. Our interpretation of the relevance or the scope of a patent or a pending patent application may be incorrect, which may negatively impact our ability to market our products. We may incorrectly determine that our products or ecDTx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and we may incorrectly conclude that a third -party patent is invalid and unenforceable or not infringed. Our failure to identify and correctly interpret relevant patents may negatively impact our ability to develop and market our ecDTx. If we fail to identify and correctly interpret relevant patents, we may be subject to infringement claims. Also, because the claims of published patent applications can change between publication and patent grant, there may be published patent applications that may ultimately issue with claims that we infringe. As the number of competitors in the market grows and the number of patents issued in this area increases, the possibility of patent infringement claims escalates.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cannot guarantee that we will be able to successfully settle or otherwise resolve such infringement claims. If we fail in any such dispute, in addition to being forced to pay damages, we may be temporarily or permanently prohibited from commercializing any of our ecDTx that are held to be infringing. We might, if possible, also be forced to redesign ecDTx or services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78" w:lineRule="exact"/>
        <w:rPr>
          <w:sz w:val="20"/>
          <w:szCs w:val="20"/>
          <w:color w:val="auto"/>
        </w:rPr>
      </w:pPr>
    </w:p>
    <w:p>
      <w:pPr>
        <w:ind w:left="420" w:right="360"/>
        <w:spacing w:after="0" w:line="312" w:lineRule="auto"/>
        <w:rPr>
          <w:sz w:val="20"/>
          <w:szCs w:val="20"/>
          <w:color w:val="auto"/>
        </w:rPr>
      </w:pPr>
      <w:r>
        <w:rPr>
          <w:rFonts w:ascii="Arial" w:cs="Arial" w:eastAsia="Arial" w:hAnsi="Arial"/>
          <w:sz w:val="16"/>
          <w:szCs w:val="16"/>
          <w:b w:val="1"/>
          <w:bCs w:val="1"/>
          <w:i w:val="1"/>
          <w:iCs w:val="1"/>
          <w:color w:val="auto"/>
        </w:rPr>
        <w:t>Third-party claims of intellectual property infringement, misappropriation, or other violations against us or our collaborators could be expensive and time consuming and may prevent or delay the development and commercialization of our ecDTx.</w:t>
      </w:r>
    </w:p>
    <w:p>
      <w:pPr>
        <w:spacing w:after="0" w:line="7" w:lineRule="exact"/>
        <w:rPr>
          <w:sz w:val="20"/>
          <w:szCs w:val="20"/>
          <w:color w:val="auto"/>
        </w:rPr>
      </w:pPr>
    </w:p>
    <w:p>
      <w:pPr>
        <w:ind w:left="420" w:firstLine="521"/>
        <w:spacing w:after="0" w:line="244" w:lineRule="auto"/>
        <w:rPr>
          <w:sz w:val="20"/>
          <w:szCs w:val="20"/>
          <w:color w:val="auto"/>
        </w:rPr>
      </w:pPr>
      <w:r>
        <w:rPr>
          <w:rFonts w:ascii="Arial" w:cs="Arial" w:eastAsia="Arial" w:hAnsi="Arial"/>
          <w:sz w:val="17"/>
          <w:szCs w:val="17"/>
          <w:color w:val="auto"/>
        </w:rPr>
        <w:t>Our commercial success depends in part on our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and reexamination proceedings before the USPTO or oppositions and other comparable proceedings in foreign jurisdictions.</w:t>
      </w:r>
    </w:p>
    <w:p>
      <w:pPr>
        <w:spacing w:after="0" w:line="143" w:lineRule="exact"/>
        <w:rPr>
          <w:sz w:val="20"/>
          <w:szCs w:val="20"/>
          <w:color w:val="auto"/>
        </w:rPr>
      </w:pPr>
    </w:p>
    <w:p>
      <w:pPr>
        <w:ind w:left="420" w:right="120" w:firstLine="521"/>
        <w:spacing w:after="0" w:line="239" w:lineRule="auto"/>
        <w:rPr>
          <w:sz w:val="20"/>
          <w:szCs w:val="20"/>
          <w:color w:val="auto"/>
        </w:rPr>
      </w:pPr>
      <w:r>
        <w:rPr>
          <w:rFonts w:ascii="Arial" w:cs="Arial" w:eastAsia="Arial" w:hAnsi="Arial"/>
          <w:sz w:val="17"/>
          <w:szCs w:val="17"/>
          <w:color w:val="auto"/>
        </w:rPr>
        <w:t>Numerous U.S. and foreign-issued patents and pending patent applications owned by third parties exist in the fields in which we plan to commercialize our therapeutic and diagnostic programs and in which we are developing other proprietary technologies. As the biotechnology and pharmaceutical industries expand and more patents are issued, and as we gain greater visibility and market exposure as a public company, the risk increases that our ecDTx and diagnostic programs and commercializing activities may give rise to claims of infringement of the patent rights of others. We cannot assure that our ecDTx and diagnostic programs and other proprietary technologies we develop will not infringe existing or future patents owned by third parties. We may not be aware of patents that have already been issued for which a third party, such as a competitor in the fields in which we are developing our ecDTx and diagnostic programs, might assert as infringed by us. It is also possible that patents owned by third parties of which we are aware, but which we do not believe we infringe or that we believe we have valid defenses to any claims of patent infringement, could be found to be infringed</w:t>
      </w:r>
    </w:p>
    <w:p>
      <w:pPr>
        <w:spacing w:after="0" w:line="113"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0820"/>
          </w:cols>
          <w:pgMar w:left="320" w:top="439" w:right="7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20"/>
        <w:spacing w:after="0" w:line="239" w:lineRule="auto"/>
        <w:rPr>
          <w:sz w:val="20"/>
          <w:szCs w:val="20"/>
          <w:color w:val="auto"/>
        </w:rPr>
      </w:pPr>
      <w:r>
        <w:rPr>
          <w:rFonts w:ascii="Arial" w:cs="Arial" w:eastAsia="Arial" w:hAnsi="Arial"/>
          <w:sz w:val="17"/>
          <w:szCs w:val="17"/>
          <w:color w:val="auto"/>
        </w:rPr>
        <w:t>by us. It is not unusual that corresponding patents issued in different countries have different scopes of coverage, such that in one country a third-party patent does not pose a material risk, but in another country, the corresponding third-party patent may pose a material risk to our ecDTx. As such, we monitor third-party patents in the relevant pharmaceutical markets. In addition, because patent applications can take many years to issue, there may be currently pending patent applications that may later result in issued patents that we may infringe. For example, pending patent applications that have been published can, subject to certain limitations, be later amended in a manner that could cover ecDTx or the use of our ecDTx. We are aware of certain patent applications in the United States and elsewhere that contain claims that, if issued in their present form, may cover one of our ecDTx. While we believe we would have valid defenses to claims of patent infringement, we cannot be certain that we would prevail in any dispute, and we cannot be certain how an adverse determination would affect our business.</w:t>
      </w:r>
    </w:p>
    <w:p>
      <w:pPr>
        <w:spacing w:after="0" w:line="152" w:lineRule="exact"/>
        <w:rPr>
          <w:sz w:val="20"/>
          <w:szCs w:val="20"/>
          <w:color w:val="auto"/>
        </w:rPr>
      </w:pPr>
    </w:p>
    <w:p>
      <w:pPr>
        <w:ind w:left="420" w:firstLine="521"/>
        <w:spacing w:after="0" w:line="237" w:lineRule="auto"/>
        <w:rPr>
          <w:sz w:val="20"/>
          <w:szCs w:val="20"/>
          <w:color w:val="auto"/>
        </w:rPr>
      </w:pPr>
      <w:r>
        <w:rPr>
          <w:rFonts w:ascii="Arial" w:cs="Arial" w:eastAsia="Arial" w:hAnsi="Arial"/>
          <w:sz w:val="17"/>
          <w:szCs w:val="17"/>
          <w:color w:val="auto"/>
        </w:rPr>
        <w:t>In the event that any third-party claims that we infringe their patents or that we are otherwise employing their proprietary technology without authorization and initiates litigation against us, even if we believe such claims are without merit, a court of competent jurisdiction could hold that such patents are valid, enforceable, and infringed by us. 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or technologies. In addition, we may be required to pay substantial damages, including treble damages and attorneys’ fees for willful infringement, obtain one or more licenses from third parties, pay royalties and/or redesign our infringing products or technologies, which may be impossible or require substantial time and monetary expenditure. Such licenses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 a necessary license to a third-party patent on commercially reasonable terms or at all, we may be unable to commercialize the infringing products or technologies or such commercialization efforts may be significantly delayed, which could in turn significantly harm our business. In addition, we may in the future pursue patent challenges with respect to third-party patents, including as a defense against the foregoing infringement claims. The outcome of such challenges is unpredictable.</w:t>
      </w:r>
    </w:p>
    <w:p>
      <w:pPr>
        <w:spacing w:after="0" w:line="145" w:lineRule="exact"/>
        <w:rPr>
          <w:sz w:val="20"/>
          <w:szCs w:val="20"/>
          <w:color w:val="auto"/>
        </w:rPr>
      </w:pPr>
    </w:p>
    <w:p>
      <w:pPr>
        <w:ind w:left="420" w:right="100" w:firstLine="521"/>
        <w:spacing w:after="0" w:line="239" w:lineRule="auto"/>
        <w:rPr>
          <w:sz w:val="20"/>
          <w:szCs w:val="20"/>
          <w:color w:val="auto"/>
        </w:rPr>
      </w:pPr>
      <w:r>
        <w:rPr>
          <w:rFonts w:ascii="Arial" w:cs="Arial" w:eastAsia="Arial" w:hAnsi="Arial"/>
          <w:sz w:val="17"/>
          <w:szCs w:val="17"/>
          <w:color w:val="auto"/>
        </w:rPr>
        <w:t>Even if resolved in our favor, the foregoing proceedings could be very expensive, particularly for a company of our size, and time-consuming.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our competitors may be able to sustain the costs of litigation or administrative proceedings more effectively than we can because of greater financial resources. Such proceedings may also absorb significant time of our technical and management personnel and distract them from their normal responsibilities. Uncertainties resulting from such proceedings could impair our ability to compete in the marketplace.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The occurrence of any of the foregoing could have a material adverse effect on our business, financial condition, or results of operations.</w:t>
      </w:r>
    </w:p>
    <w:p>
      <w:pPr>
        <w:spacing w:after="0" w:line="136" w:lineRule="exact"/>
        <w:rPr>
          <w:sz w:val="20"/>
          <w:szCs w:val="20"/>
          <w:color w:val="auto"/>
        </w:rPr>
      </w:pPr>
    </w:p>
    <w:p>
      <w:pPr>
        <w:jc w:val="both"/>
        <w:ind w:left="420" w:right="280" w:firstLine="521"/>
        <w:spacing w:after="0" w:line="252" w:lineRule="auto"/>
        <w:rPr>
          <w:sz w:val="20"/>
          <w:szCs w:val="20"/>
          <w:color w:val="auto"/>
        </w:rPr>
      </w:pPr>
      <w:r>
        <w:rPr>
          <w:rFonts w:ascii="Arial" w:cs="Arial" w:eastAsia="Arial" w:hAnsi="Arial"/>
          <w:sz w:val="17"/>
          <w:szCs w:val="17"/>
          <w:color w:val="auto"/>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w:t>
      </w:r>
    </w:p>
    <w:p>
      <w:pPr>
        <w:spacing w:after="0" w:line="10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0800"/>
          </w:cols>
          <w:pgMar w:left="320" w:top="439" w:right="7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ecDTx.</w:t>
      </w:r>
    </w:p>
    <w:p>
      <w:pPr>
        <w:spacing w:after="0" w:line="276" w:lineRule="exact"/>
        <w:rPr>
          <w:sz w:val="20"/>
          <w:szCs w:val="20"/>
          <w:color w:val="auto"/>
        </w:rPr>
      </w:pPr>
    </w:p>
    <w:p>
      <w:pPr>
        <w:ind w:left="420" w:right="420"/>
        <w:spacing w:after="0" w:line="280"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patents and other intellectual property rights, which could be expensive, time-consuming, and unsuccessful.</w:t>
      </w:r>
    </w:p>
    <w:p>
      <w:pPr>
        <w:spacing w:after="0" w:line="29" w:lineRule="exact"/>
        <w:rPr>
          <w:sz w:val="20"/>
          <w:szCs w:val="20"/>
          <w:color w:val="auto"/>
        </w:rPr>
      </w:pPr>
    </w:p>
    <w:p>
      <w:pPr>
        <w:ind w:left="420" w:right="100" w:firstLine="521"/>
        <w:spacing w:after="0" w:line="241" w:lineRule="auto"/>
        <w:rPr>
          <w:sz w:val="20"/>
          <w:szCs w:val="20"/>
          <w:color w:val="auto"/>
        </w:rPr>
      </w:pPr>
      <w:r>
        <w:rPr>
          <w:rFonts w:ascii="Arial" w:cs="Arial" w:eastAsia="Arial" w:hAnsi="Arial"/>
          <w:sz w:val="17"/>
          <w:szCs w:val="17"/>
          <w:color w:val="auto"/>
        </w:rPr>
        <w:t>Third parties, such as a competitor, may infringe our patent rights. In an infringement proceeding, a court may decide that a patent we own or a patent we may license in the future is invalid or unenforceable or may refuse to stop the other party from using the invention at issue. In addition, our patent rights may become involved in inventorship, ownership, priority, enforceability, or validity disputes. To counter or defend against such claims can be expensive and time-consuming. An adverse result in any litigation proceeding could put our patent rights at risk of being invalidated, held unenforceable or interpreted narrowly. Furthermore, because of the substantial amount of discovery required in connection with intellectual property litigation and proceedings, there is a risk that some of our confidential information could be compromised by disclosure during such litigation and proceedings.</w:t>
      </w:r>
    </w:p>
    <w:p>
      <w:pPr>
        <w:spacing w:after="0" w:line="146" w:lineRule="exact"/>
        <w:rPr>
          <w:sz w:val="20"/>
          <w:szCs w:val="20"/>
          <w:color w:val="auto"/>
        </w:rPr>
      </w:pPr>
    </w:p>
    <w:p>
      <w:pPr>
        <w:ind w:left="420" w:right="20" w:firstLine="521"/>
        <w:spacing w:after="0" w:line="239"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280" w:lineRule="exact"/>
        <w:rPr>
          <w:sz w:val="20"/>
          <w:szCs w:val="20"/>
          <w:color w:val="auto"/>
        </w:rPr>
      </w:pPr>
    </w:p>
    <w:p>
      <w:pPr>
        <w:ind w:left="420" w:right="560"/>
        <w:spacing w:after="0" w:line="280"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29" w:lineRule="exact"/>
        <w:rPr>
          <w:sz w:val="20"/>
          <w:szCs w:val="20"/>
          <w:color w:val="auto"/>
        </w:rPr>
      </w:pPr>
    </w:p>
    <w:p>
      <w:pPr>
        <w:ind w:left="420" w:right="60" w:firstLine="521"/>
        <w:spacing w:after="0"/>
        <w:rPr>
          <w:sz w:val="20"/>
          <w:szCs w:val="20"/>
          <w:color w:val="auto"/>
        </w:rPr>
      </w:pPr>
      <w:r>
        <w:rPr>
          <w:rFonts w:ascii="Arial" w:cs="Arial" w:eastAsia="Arial" w:hAnsi="Arial"/>
          <w:sz w:val="17"/>
          <w:szCs w:val="17"/>
          <w:color w:val="auto"/>
        </w:rPr>
        <w:t>Our registered or unregistered trademarks or trade names may be challenged, infringed, diluted, circumvented, or declared generic or determined to be infringing, misappropriating, or violating other marks. We may not be able to protect our rights to these trademarks and trade names, which we need to build name recognition among potential partners or customers in the markets of interest. During trademark registration proceedings, we may receive rejections of our applications by the USPTO or in other foreign jurisdictions. Although we are given an opportunity to respond to such rejections, we may be unable to overcome them. In the event that our trademarks are successfully challenged or determined to be infringing, misappropriating, or violating other marks, we could be forced to rebrand our products, which could result in loss of brand recognition, and could require us to devote resources to advertising and marketing new brands. In addition, in the USPTO and in comparable agencies in</w:t>
      </w:r>
    </w:p>
    <w:p>
      <w:pPr>
        <w:spacing w:after="0" w:line="11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0840"/>
          </w:cols>
          <w:pgMar w:left="320" w:top="439" w:right="7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line="239" w:lineRule="auto"/>
        <w:rPr>
          <w:sz w:val="20"/>
          <w:szCs w:val="20"/>
          <w:color w:val="auto"/>
        </w:rPr>
      </w:pPr>
      <w:r>
        <w:rPr>
          <w:rFonts w:ascii="Arial" w:cs="Arial" w:eastAsia="Arial" w:hAnsi="Arial"/>
          <w:sz w:val="17"/>
          <w:szCs w:val="17"/>
          <w:color w:val="auto"/>
        </w:rPr>
        <w:t>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may propose to use with our ecDTx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misappropriate, or otherwise violate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49" w:lineRule="exact"/>
        <w:rPr>
          <w:sz w:val="20"/>
          <w:szCs w:val="20"/>
          <w:color w:val="auto"/>
        </w:rPr>
      </w:pPr>
    </w:p>
    <w:p>
      <w:pPr>
        <w:ind w:left="420" w:right="100" w:firstLine="521"/>
        <w:spacing w:after="0" w:line="239" w:lineRule="auto"/>
        <w:rPr>
          <w:sz w:val="20"/>
          <w:szCs w:val="20"/>
          <w:color w:val="auto"/>
        </w:rPr>
      </w:pPr>
      <w:r>
        <w:rPr>
          <w:rFonts w:ascii="Arial" w:cs="Arial" w:eastAsia="Arial" w:hAnsi="Arial"/>
          <w:sz w:val="17"/>
          <w:szCs w:val="17"/>
          <w:color w:val="auto"/>
        </w:rPr>
        <w:t>We may not be able to obtain, protect, or enforce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misappropriation, dilution, or other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obtain,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Intellectual property rights do not necessarily address all potential threats.</w:t>
      </w:r>
    </w:p>
    <w:p>
      <w:pPr>
        <w:spacing w:after="0" w:line="98" w:lineRule="exact"/>
        <w:rPr>
          <w:sz w:val="20"/>
          <w:szCs w:val="20"/>
          <w:color w:val="auto"/>
        </w:rPr>
      </w:pPr>
    </w:p>
    <w:p>
      <w:pPr>
        <w:ind w:left="420" w:right="360" w:firstLine="521"/>
        <w:spacing w:after="0" w:line="270"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8" w:lineRule="exact"/>
        <w:rPr>
          <w:sz w:val="20"/>
          <w:szCs w:val="20"/>
          <w:color w:val="auto"/>
        </w:rPr>
      </w:pPr>
    </w:p>
    <w:p>
      <w:pPr>
        <w:ind w:left="1660" w:right="20" w:hanging="418"/>
        <w:spacing w:after="0" w:line="270" w:lineRule="auto"/>
        <w:tabs>
          <w:tab w:leader="none" w:pos="1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others may be able to make products that are similar to our ecDTx or utilize similar technology but that are not covered by the claims of the patents that we own or may license in the future;</w:t>
      </w:r>
    </w:p>
    <w:p>
      <w:pPr>
        <w:spacing w:after="0" w:line="58" w:lineRule="exact"/>
        <w:rPr>
          <w:rFonts w:ascii="Arial" w:cs="Arial" w:eastAsia="Arial" w:hAnsi="Arial"/>
          <w:sz w:val="17"/>
          <w:szCs w:val="17"/>
          <w:color w:val="auto"/>
        </w:rPr>
      </w:pPr>
    </w:p>
    <w:p>
      <w:pPr>
        <w:ind w:left="1660" w:right="140" w:hanging="418"/>
        <w:spacing w:after="0" w:line="270" w:lineRule="auto"/>
        <w:tabs>
          <w:tab w:leader="none" w:pos="1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or our licensors or collaborators might not have been the first to make the inventions covered by our current or future patent applications;</w:t>
      </w:r>
    </w:p>
    <w:p>
      <w:pPr>
        <w:spacing w:after="0" w:line="58" w:lineRule="exact"/>
        <w:rPr>
          <w:rFonts w:ascii="Arial" w:cs="Arial" w:eastAsia="Arial" w:hAnsi="Arial"/>
          <w:sz w:val="17"/>
          <w:szCs w:val="17"/>
          <w:color w:val="auto"/>
        </w:rPr>
      </w:pPr>
    </w:p>
    <w:p>
      <w:pPr>
        <w:ind w:left="1660" w:right="840" w:hanging="418"/>
        <w:spacing w:after="0" w:line="270" w:lineRule="auto"/>
        <w:tabs>
          <w:tab w:leader="none" w:pos="1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or our licensors or collaborators might not have been the first to file patent applications covering our or their inventions;</w:t>
      </w:r>
    </w:p>
    <w:p>
      <w:pPr>
        <w:spacing w:after="0" w:line="58" w:lineRule="exact"/>
        <w:rPr>
          <w:rFonts w:ascii="Arial" w:cs="Arial" w:eastAsia="Arial" w:hAnsi="Arial"/>
          <w:sz w:val="17"/>
          <w:szCs w:val="17"/>
          <w:color w:val="auto"/>
        </w:rPr>
      </w:pPr>
    </w:p>
    <w:p>
      <w:pPr>
        <w:ind w:left="1660" w:right="680" w:hanging="418"/>
        <w:spacing w:after="0" w:line="270" w:lineRule="auto"/>
        <w:tabs>
          <w:tab w:leader="none" w:pos="1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technologies without infringing our intellectual property rights;</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it is possible that our pending and future patent applications that we own or may license will not lead to issued patents;</w:t>
      </w:r>
    </w:p>
    <w:p>
      <w:pPr>
        <w:spacing w:after="0" w:line="111" w:lineRule="exact"/>
        <w:rPr>
          <w:rFonts w:ascii="Arial" w:cs="Arial" w:eastAsia="Arial" w:hAnsi="Arial"/>
          <w:sz w:val="17"/>
          <w:szCs w:val="17"/>
          <w:color w:val="auto"/>
        </w:rPr>
      </w:pPr>
    </w:p>
    <w:p>
      <w:pPr>
        <w:ind w:left="1660" w:right="120" w:hanging="418"/>
        <w:spacing w:after="0" w:line="270" w:lineRule="auto"/>
        <w:tabs>
          <w:tab w:leader="none" w:pos="1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issued patent that we own or license in the future may be held invalid or unenforceable, including as a result of legal challenges by our competitors or other third parties;</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others may have access to the same intellectual property rights licensed to us in the future on a non-exclusive basis;</w:t>
      </w:r>
    </w:p>
    <w:p>
      <w:pPr>
        <w:spacing w:after="0" w:line="13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0820"/>
          </w:cols>
          <w:pgMar w:left="320" w:top="439" w:right="7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1660" w:right="320" w:hanging="418"/>
        <w:spacing w:after="0" w:line="252" w:lineRule="auto"/>
        <w:tabs>
          <w:tab w:leader="none" w:pos="1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competitors or other third parties might conduct research and development activities in countries where we or our licensors do not have patent rights and then use the information learned from such activities to develop competitive products for sale in our major commercial markets;</w:t>
      </w:r>
    </w:p>
    <w:p>
      <w:pPr>
        <w:spacing w:after="0" w:line="74" w:lineRule="exact"/>
        <w:rPr>
          <w:rFonts w:ascii="Arial" w:cs="Arial" w:eastAsia="Arial" w:hAnsi="Arial"/>
          <w:sz w:val="17"/>
          <w:szCs w:val="17"/>
          <w:color w:val="auto"/>
        </w:rPr>
      </w:pPr>
    </w:p>
    <w:p>
      <w:pPr>
        <w:ind w:left="1660" w:hanging="418"/>
        <w:spacing w:after="0"/>
        <w:tabs>
          <w:tab w:leader="none" w:pos="1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that are patentable;</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may fail to identify potential patentable subject matter and/or may fail to file on it;</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patents or other intellectual property rights of others may harm our business; and</w:t>
      </w:r>
    </w:p>
    <w:p>
      <w:pPr>
        <w:spacing w:after="0" w:line="111" w:lineRule="exact"/>
        <w:rPr>
          <w:rFonts w:ascii="Arial" w:cs="Arial" w:eastAsia="Arial" w:hAnsi="Arial"/>
          <w:sz w:val="17"/>
          <w:szCs w:val="17"/>
          <w:color w:val="auto"/>
        </w:rPr>
      </w:pPr>
    </w:p>
    <w:p>
      <w:pPr>
        <w:ind w:left="1660" w:right="40" w:hanging="418"/>
        <w:spacing w:after="0" w:line="252" w:lineRule="auto"/>
        <w:tabs>
          <w:tab w:leader="none" w:pos="1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may choose not to file for patent protection in order to maintain certain trade secrets or know-how, and a third party may subsequently file a patent application covering such intellectual property or disclose information resulting in a loss of protection for such trade secret.</w:t>
      </w:r>
    </w:p>
    <w:p>
      <w:pPr>
        <w:spacing w:after="0" w:line="138" w:lineRule="exact"/>
        <w:rPr>
          <w:sz w:val="20"/>
          <w:szCs w:val="20"/>
          <w:color w:val="auto"/>
        </w:rPr>
      </w:pPr>
    </w:p>
    <w:p>
      <w:pPr>
        <w:ind w:left="940"/>
        <w:spacing w:after="0"/>
        <w:rPr>
          <w:sz w:val="20"/>
          <w:szCs w:val="20"/>
          <w:color w:val="auto"/>
        </w:rPr>
      </w:pPr>
      <w:r>
        <w:rPr>
          <w:rFonts w:ascii="Arial" w:cs="Arial" w:eastAsia="Arial" w:hAnsi="Arial"/>
          <w:sz w:val="17"/>
          <w:szCs w:val="17"/>
          <w:color w:val="auto"/>
        </w:rPr>
        <w:t>Should any of the foregoing occur, it could adversely affect our business, financial condition, results of operations, and prospects.</w:t>
      </w:r>
    </w:p>
    <w:p>
      <w:pPr>
        <w:spacing w:after="0" w:line="303" w:lineRule="exact"/>
        <w:rPr>
          <w:sz w:val="20"/>
          <w:szCs w:val="20"/>
          <w:color w:val="auto"/>
        </w:rPr>
      </w:pPr>
    </w:p>
    <w:p>
      <w:pPr>
        <w:ind w:left="420" w:right="820"/>
        <w:spacing w:after="0" w:line="280" w:lineRule="auto"/>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product components and processes for our development pipeline through acquisitions and in-licenses.</w:t>
      </w:r>
    </w:p>
    <w:p>
      <w:pPr>
        <w:spacing w:after="0" w:line="29" w:lineRule="exact"/>
        <w:rPr>
          <w:sz w:val="20"/>
          <w:szCs w:val="20"/>
          <w:color w:val="auto"/>
        </w:rPr>
      </w:pPr>
    </w:p>
    <w:p>
      <w:pPr>
        <w:ind w:left="420" w:firstLine="521"/>
        <w:spacing w:after="0" w:line="238" w:lineRule="auto"/>
        <w:rPr>
          <w:sz w:val="20"/>
          <w:szCs w:val="20"/>
          <w:color w:val="auto"/>
        </w:rPr>
      </w:pPr>
      <w:r>
        <w:rPr>
          <w:rFonts w:ascii="Arial" w:cs="Arial" w:eastAsia="Arial" w:hAnsi="Arial"/>
          <w:sz w:val="17"/>
          <w:szCs w:val="17"/>
          <w:color w:val="auto"/>
        </w:rPr>
        <w:t>The growth of our business may depend in part on our ability to acquire, in-license, or use third-party intellectual property and proprietary rights. For example, our ecDTx may require specific formulations to work effectively and efficiently, we may develop ecDTx containing our compounds and pre-existing pharmaceutical compounds, or we may be required by the FDA or comparable foreign regulatory authorities to provide a companion diagnostic test or tests with our ecDTx, any of which could require us to obtain rights to use intellectual property held by third parties. In addition, with respect to any patent or other intellectual property rights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misappropriate, or otherwise violate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135" w:lineRule="exact"/>
        <w:rPr>
          <w:sz w:val="20"/>
          <w:szCs w:val="20"/>
          <w:color w:val="auto"/>
        </w:rPr>
      </w:pPr>
    </w:p>
    <w:p>
      <w:pPr>
        <w:ind w:left="420" w:firstLine="521"/>
        <w:spacing w:after="0" w:line="242" w:lineRule="auto"/>
        <w:rPr>
          <w:sz w:val="20"/>
          <w:szCs w:val="20"/>
          <w:color w:val="auto"/>
        </w:rPr>
      </w:pPr>
      <w:r>
        <w:rPr>
          <w:rFonts w:ascii="Arial" w:cs="Arial" w:eastAsia="Arial" w:hAnsi="Arial"/>
          <w:sz w:val="17"/>
          <w:szCs w:val="17"/>
          <w:color w:val="auto"/>
        </w:rPr>
        <w:t>Additionally, we may collaborate with academic institutions to accelerate our research and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 Even if we are able to obtain a license, it may be non-exclusive, and our competitors may also receive access to the same technologies licensed to us.</w:t>
      </w:r>
    </w:p>
    <w:p>
      <w:pPr>
        <w:spacing w:after="0" w:line="133" w:lineRule="exact"/>
        <w:rPr>
          <w:sz w:val="20"/>
          <w:szCs w:val="20"/>
          <w:color w:val="auto"/>
        </w:rPr>
      </w:pPr>
    </w:p>
    <w:p>
      <w:pPr>
        <w:ind w:left="420" w:right="260" w:firstLine="521"/>
        <w:spacing w:after="0" w:line="252" w:lineRule="auto"/>
        <w:rPr>
          <w:sz w:val="20"/>
          <w:szCs w:val="20"/>
          <w:color w:val="auto"/>
        </w:rPr>
      </w:pPr>
      <w:r>
        <w:rPr>
          <w:rFonts w:ascii="Arial" w:cs="Arial" w:eastAsia="Arial" w:hAnsi="Arial"/>
          <w:sz w:val="17"/>
          <w:szCs w:val="17"/>
          <w:color w:val="auto"/>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ecDTx. More established companies may have a</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0780"/>
          </w:cols>
          <w:pgMar w:left="320" w:top="439" w:right="7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20"/>
        <w:spacing w:after="0" w:line="242" w:lineRule="auto"/>
        <w:rPr>
          <w:sz w:val="20"/>
          <w:szCs w:val="20"/>
          <w:color w:val="auto"/>
        </w:rPr>
      </w:pPr>
      <w:r>
        <w:rPr>
          <w:rFonts w:ascii="Arial" w:cs="Arial" w:eastAsia="Arial" w:hAnsi="Arial"/>
          <w:sz w:val="17"/>
          <w:szCs w:val="17"/>
          <w:color w:val="auto"/>
        </w:rPr>
        <w:t>competitive advantage over us due to their size, cash resources, or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surrounding the additional ecDTx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Risks Related to This Offering and Ownership of Our Common Stock</w:t>
      </w:r>
    </w:p>
    <w:p>
      <w:pPr>
        <w:spacing w:after="0" w:line="98" w:lineRule="exact"/>
        <w:rPr>
          <w:sz w:val="20"/>
          <w:szCs w:val="20"/>
          <w:color w:val="auto"/>
        </w:rPr>
      </w:pPr>
    </w:p>
    <w:p>
      <w:pPr>
        <w:ind w:left="420" w:right="200"/>
        <w:spacing w:after="0" w:line="257" w:lineRule="auto"/>
        <w:rPr>
          <w:sz w:val="20"/>
          <w:szCs w:val="20"/>
          <w:color w:val="auto"/>
        </w:rPr>
      </w:pPr>
      <w:r>
        <w:rPr>
          <w:rFonts w:ascii="Arial" w:cs="Arial" w:eastAsia="Arial" w:hAnsi="Arial"/>
          <w:sz w:val="17"/>
          <w:szCs w:val="17"/>
          <w:b w:val="1"/>
          <w:bCs w:val="1"/>
          <w:i w:val="1"/>
          <w:iCs w:val="1"/>
          <w:color w:val="auto"/>
        </w:rPr>
        <w:t>There has been no public market for our common stock. An active, liquid, and orderly market for our common stock may not develop, or we may in the future fail to satisfy the continued listing requirements of Nasdaq, and you may not be able to resell your common stock at or above the initial public offering price or at all.</w:t>
      </w:r>
    </w:p>
    <w:p>
      <w:pPr>
        <w:spacing w:after="0" w:line="49" w:lineRule="exact"/>
        <w:rPr>
          <w:sz w:val="20"/>
          <w:szCs w:val="20"/>
          <w:color w:val="auto"/>
        </w:rPr>
      </w:pPr>
    </w:p>
    <w:p>
      <w:pPr>
        <w:ind w:left="420" w:right="20" w:firstLine="521"/>
        <w:spacing w:after="0" w:line="239" w:lineRule="auto"/>
        <w:rPr>
          <w:sz w:val="20"/>
          <w:szCs w:val="20"/>
          <w:color w:val="auto"/>
        </w:rPr>
      </w:pPr>
      <w:r>
        <w:rPr>
          <w:rFonts w:ascii="Arial" w:cs="Arial" w:eastAsia="Arial" w:hAnsi="Arial"/>
          <w:sz w:val="17"/>
          <w:szCs w:val="17"/>
          <w:color w:val="auto"/>
        </w:rPr>
        <w:t>Prior to this offering, there has been no public market for our common stock. Although we have applied to list our common stock on the Nasdaq Global Select Market (Nasdaq), an active trading market for our common stock may never develop or may not be sustained following this offering. We and the representatives of the underwriters will determine the initial public offering price of our common stock through negotiation. This price will not necessarily reflect the price at which investors in the market will be willing to buy and sell our shares following this offering. In addition, an active trading market may not develop following the consummation of this offering or, if it is developed, may not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spacing w:after="0" w:line="152" w:lineRule="exact"/>
        <w:rPr>
          <w:sz w:val="20"/>
          <w:szCs w:val="20"/>
          <w:color w:val="auto"/>
        </w:rPr>
      </w:pPr>
    </w:p>
    <w:p>
      <w:pPr>
        <w:ind w:left="420" w:firstLine="521"/>
        <w:spacing w:after="0" w:line="241" w:lineRule="auto"/>
        <w:rPr>
          <w:sz w:val="20"/>
          <w:szCs w:val="20"/>
          <w:color w:val="auto"/>
        </w:rPr>
      </w:pPr>
      <w:r>
        <w:rPr>
          <w:rFonts w:ascii="Arial" w:cs="Arial" w:eastAsia="Arial" w:hAnsi="Arial"/>
          <w:sz w:val="17"/>
          <w:szCs w:val="17"/>
          <w:color w:val="auto"/>
        </w:rPr>
        <w:t>If, after listing,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274" w:lineRule="exact"/>
        <w:rPr>
          <w:sz w:val="20"/>
          <w:szCs w:val="20"/>
          <w:color w:val="auto"/>
        </w:rPr>
      </w:pPr>
    </w:p>
    <w:p>
      <w:pPr>
        <w:ind w:left="420" w:right="80"/>
        <w:spacing w:after="0" w:line="280" w:lineRule="auto"/>
        <w:rPr>
          <w:sz w:val="20"/>
          <w:szCs w:val="20"/>
          <w:color w:val="auto"/>
        </w:rPr>
      </w:pPr>
      <w:r>
        <w:rPr>
          <w:rFonts w:ascii="Arial" w:cs="Arial" w:eastAsia="Arial" w:hAnsi="Arial"/>
          <w:sz w:val="17"/>
          <w:szCs w:val="17"/>
          <w:b w:val="1"/>
          <w:bCs w:val="1"/>
          <w:i w:val="1"/>
          <w:iCs w:val="1"/>
          <w:color w:val="auto"/>
        </w:rPr>
        <w:t>The trading price of the shares of our common stock could be highly volatile, and purchasers of our common stock could incur substantial losses.</w:t>
      </w:r>
    </w:p>
    <w:p>
      <w:pPr>
        <w:spacing w:after="0" w:line="29" w:lineRule="exact"/>
        <w:rPr>
          <w:sz w:val="20"/>
          <w:szCs w:val="20"/>
          <w:color w:val="auto"/>
        </w:rPr>
      </w:pPr>
    </w:p>
    <w:p>
      <w:pPr>
        <w:ind w:left="420" w:right="20" w:firstLine="521"/>
        <w:spacing w:after="0" w:line="247" w:lineRule="auto"/>
        <w:rPr>
          <w:sz w:val="20"/>
          <w:szCs w:val="20"/>
          <w:color w:val="auto"/>
        </w:rPr>
      </w:pPr>
      <w:r>
        <w:rPr>
          <w:rFonts w:ascii="Arial" w:cs="Arial" w:eastAsia="Arial" w:hAnsi="Arial"/>
          <w:sz w:val="17"/>
          <w:szCs w:val="17"/>
          <w:color w:val="auto"/>
        </w:rPr>
        <w:t>Our stock price is likely to be volatile. 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common stock at or above the initial public offering price. The market price for our common stock may be influenced by those factors discussed in this “Risk Factors” section and many others, including:</w:t>
      </w:r>
    </w:p>
    <w:p>
      <w:pPr>
        <w:spacing w:after="0" w:line="77" w:lineRule="exact"/>
        <w:rPr>
          <w:sz w:val="20"/>
          <w:szCs w:val="20"/>
          <w:color w:val="auto"/>
        </w:rPr>
      </w:pPr>
    </w:p>
    <w:p>
      <w:pPr>
        <w:ind w:left="1660" w:right="100" w:hanging="418"/>
        <w:spacing w:after="0" w:line="270" w:lineRule="auto"/>
        <w:tabs>
          <w:tab w:leader="none" w:pos="1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results of our clinical trials and preclinical studies, and the results of trials of our competitors or those of other companies in our market sector;</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ability to enroll patients in our future clinical trials;</w:t>
      </w:r>
    </w:p>
    <w:p>
      <w:pPr>
        <w:spacing w:after="0" w:line="13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0800"/>
          </w:cols>
          <w:pgMar w:left="320" w:top="439" w:right="7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1660" w:right="520" w:hanging="418"/>
        <w:spacing w:after="0" w:line="270" w:lineRule="auto"/>
        <w:tabs>
          <w:tab w:leader="none" w:pos="1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ability to obtain and maintain regulatory approval of our ecDTx or additional indications thereof, or limitations to specific label indications or patient populations for its use, or changes or delays in the regulatory review process;</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regulatory or legal developments in the United States and foreign countries;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success or failure of our efforts to develop, acquire, or license additional ecDTx;</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innovations, clinical trial results, product approvals and other developments regarding our competitors;</w:t>
      </w:r>
    </w:p>
    <w:p>
      <w:pPr>
        <w:spacing w:after="0" w:line="111" w:lineRule="exact"/>
        <w:rPr>
          <w:rFonts w:ascii="Arial" w:cs="Arial" w:eastAsia="Arial" w:hAnsi="Arial"/>
          <w:sz w:val="17"/>
          <w:szCs w:val="17"/>
          <w:color w:val="auto"/>
        </w:rPr>
      </w:pPr>
    </w:p>
    <w:p>
      <w:pPr>
        <w:ind w:left="1660" w:right="520" w:hanging="418"/>
        <w:spacing w:after="0" w:line="270" w:lineRule="auto"/>
        <w:tabs>
          <w:tab w:leader="none" w:pos="1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joint ventures, or capital commitments;</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manufacturing, supply, or distribution delays or shortages;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changes to our relationship with any manufacturers, suppliers, collaborators, or other strategic partners;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achievement of expected product sales and profitability;</w:t>
      </w:r>
    </w:p>
    <w:p>
      <w:pPr>
        <w:spacing w:after="0" w:line="111" w:lineRule="exact"/>
        <w:rPr>
          <w:rFonts w:ascii="Arial" w:cs="Arial" w:eastAsia="Arial" w:hAnsi="Arial"/>
          <w:sz w:val="17"/>
          <w:szCs w:val="17"/>
          <w:color w:val="auto"/>
        </w:rPr>
      </w:pPr>
    </w:p>
    <w:p>
      <w:pPr>
        <w:ind w:left="1660" w:right="220" w:hanging="418"/>
        <w:spacing w:after="0" w:line="270" w:lineRule="auto"/>
        <w:tabs>
          <w:tab w:leader="none" w:pos="1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variations in our financial results or development timelines or those of companies that are perceived to be similar to us, including variations from expectations of securities analysts or investors;</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market conditions in the biopharmaceutical sector and issuance of securities analysts’ reports or recommendations;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trading volume of our common stock;</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 inability to obtain additional funding;</w:t>
      </w:r>
    </w:p>
    <w:p>
      <w:pPr>
        <w:spacing w:after="0" w:line="111" w:lineRule="exact"/>
        <w:rPr>
          <w:rFonts w:ascii="Arial" w:cs="Arial" w:eastAsia="Arial" w:hAnsi="Arial"/>
          <w:sz w:val="17"/>
          <w:szCs w:val="17"/>
          <w:color w:val="auto"/>
        </w:rPr>
      </w:pPr>
    </w:p>
    <w:p>
      <w:pPr>
        <w:ind w:left="1660" w:right="160" w:hanging="418"/>
        <w:spacing w:after="0" w:line="270" w:lineRule="auto"/>
        <w:tabs>
          <w:tab w:leader="none" w:pos="1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sales of our stock by us, our insiders, or our stockholders, as well as the anticipation of lock-up releases or expiration of market stand-off or lock-up agreements;</w:t>
      </w:r>
    </w:p>
    <w:p>
      <w:pPr>
        <w:spacing w:after="0" w:line="58" w:lineRule="exact"/>
        <w:rPr>
          <w:rFonts w:ascii="Arial" w:cs="Arial" w:eastAsia="Arial" w:hAnsi="Arial"/>
          <w:sz w:val="17"/>
          <w:szCs w:val="17"/>
          <w:color w:val="auto"/>
        </w:rPr>
      </w:pPr>
    </w:p>
    <w:p>
      <w:pPr>
        <w:ind w:left="1660" w:right="380" w:hanging="418"/>
        <w:spacing w:after="0" w:line="270" w:lineRule="auto"/>
        <w:tabs>
          <w:tab w:leader="none" w:pos="1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general economic, industry, geopolitical, and market conditions, such as military conflict or war, inflation and financial institution instability, or pandemic or epidemic disease outbreaks, many of which are beyond our control;</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additions or departures of senior management, directors, or key personnel;</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intellectual property, product liability, or other litigation against us or our inability to enforce our intellectual property;</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changes in our capital structure, such as future issuances of securities and the incurrence of additional debt; and</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changes in accounting standards, policies, guidelines, interpretations, or principles.</w:t>
      </w:r>
    </w:p>
    <w:p>
      <w:pPr>
        <w:spacing w:after="0" w:line="175" w:lineRule="exact"/>
        <w:rPr>
          <w:sz w:val="20"/>
          <w:szCs w:val="20"/>
          <w:color w:val="auto"/>
        </w:rPr>
      </w:pPr>
    </w:p>
    <w:p>
      <w:pPr>
        <w:ind w:left="420" w:firstLine="521"/>
        <w:spacing w:after="0" w:line="247" w:lineRule="auto"/>
        <w:rPr>
          <w:sz w:val="20"/>
          <w:szCs w:val="20"/>
          <w:color w:val="auto"/>
        </w:rPr>
      </w:pPr>
      <w:r>
        <w:rPr>
          <w:rFonts w:ascii="Arial" w:cs="Arial" w:eastAsia="Arial" w:hAnsi="Arial"/>
          <w:sz w:val="17"/>
          <w:szCs w:val="17"/>
          <w:color w:val="auto"/>
        </w:rPr>
        <w:t>In addition, in the past, stockholders have initiated class action lawsuits against biopharmaceutical companies following periods of volatility in the market prices of these companies’ stock. Such litigation, if instituted against us, could cause us to incur substantial costs, divert our management’s attention and resources and damage our reputation, which could have a material adverse effect on our business, financial condition and results of operations and prospects.</w:t>
      </w:r>
    </w:p>
    <w:p>
      <w:pPr>
        <w:spacing w:after="0" w:line="26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We may allocate the net proceeds from this offering in ways that you and other stockholders may not approve.</w:t>
      </w:r>
    </w:p>
    <w:p>
      <w:pPr>
        <w:spacing w:after="0" w:line="98" w:lineRule="exact"/>
        <w:rPr>
          <w:sz w:val="20"/>
          <w:szCs w:val="20"/>
          <w:color w:val="auto"/>
        </w:rPr>
      </w:pPr>
    </w:p>
    <w:p>
      <w:pPr>
        <w:ind w:left="420" w:right="640" w:firstLine="521"/>
        <w:spacing w:after="0" w:line="270"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including for any of the purposes described in the section titled “Use of Proceeds.” Because of</w:t>
      </w:r>
    </w:p>
    <w:p>
      <w:pPr>
        <w:spacing w:after="0" w:line="8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0800"/>
          </w:cols>
          <w:pgMar w:left="320" w:top="439" w:right="7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80"/>
        <w:spacing w:after="0" w:line="241" w:lineRule="auto"/>
        <w:rPr>
          <w:sz w:val="20"/>
          <w:szCs w:val="20"/>
          <w:color w:val="auto"/>
        </w:rPr>
      </w:pPr>
      <w:r>
        <w:rPr>
          <w:rFonts w:ascii="Arial" w:cs="Arial" w:eastAsia="Arial" w:hAnsi="Arial"/>
          <w:sz w:val="17"/>
          <w:szCs w:val="17"/>
          <w:color w:val="auto"/>
        </w:rPr>
        <w:t>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short-and intermediate-term, interest-bearing obligations, investment-grade instruments, certificates of deposit, or direct or guaranteed obligations of the U.S. government. These investments may not yield a favorable return to our stockholders. If we do not invest or apply the net proceeds from this offering in ways that enhance stockholder value, we may fail to achieve expected results, which could cause our stock price to decline.</w:t>
      </w:r>
    </w:p>
    <w:p>
      <w:pPr>
        <w:spacing w:after="0" w:line="274" w:lineRule="exact"/>
        <w:rPr>
          <w:sz w:val="20"/>
          <w:szCs w:val="20"/>
          <w:color w:val="auto"/>
        </w:rPr>
      </w:pPr>
    </w:p>
    <w:p>
      <w:pPr>
        <w:ind w:left="420" w:right="500"/>
        <w:spacing w:after="0" w:line="280" w:lineRule="auto"/>
        <w:rPr>
          <w:sz w:val="20"/>
          <w:szCs w:val="20"/>
          <w:color w:val="auto"/>
        </w:rPr>
      </w:pPr>
      <w:r>
        <w:rPr>
          <w:rFonts w:ascii="Arial" w:cs="Arial" w:eastAsia="Arial" w:hAnsi="Arial"/>
          <w:sz w:val="17"/>
          <w:szCs w:val="17"/>
          <w:b w:val="1"/>
          <w:bCs w:val="1"/>
          <w:i w:val="1"/>
          <w:iCs w:val="1"/>
          <w:color w:val="auto"/>
        </w:rPr>
        <w:t>You will suffer immediate and substantial dilution in the net tangible book value of the common stock you purchase in this offering.</w:t>
      </w:r>
    </w:p>
    <w:p>
      <w:pPr>
        <w:spacing w:after="0" w:line="29" w:lineRule="exact"/>
        <w:rPr>
          <w:sz w:val="20"/>
          <w:szCs w:val="20"/>
          <w:color w:val="auto"/>
        </w:rPr>
      </w:pPr>
    </w:p>
    <w:p>
      <w:pPr>
        <w:ind w:left="420" w:right="100" w:firstLine="521"/>
        <w:spacing w:after="0" w:line="241" w:lineRule="auto"/>
        <w:rPr>
          <w:sz w:val="20"/>
          <w:szCs w:val="20"/>
          <w:color w:val="auto"/>
        </w:rPr>
      </w:pPr>
      <w:r>
        <w:rPr>
          <w:rFonts w:ascii="Arial" w:cs="Arial" w:eastAsia="Arial" w:hAnsi="Arial"/>
          <w:sz w:val="17"/>
          <w:szCs w:val="17"/>
          <w:color w:val="auto"/>
        </w:rPr>
        <w:t>The initial public offering price of our common stock is substantially higher than the pro forma as adjusted net tangible book value per share of our outstanding common stock immediately after the closing of this offering. Purchasers of common stock in this offering will experience immediate dilution of approximately $ 6.61 per share, assuming an initial public offering price of $16.00 per share, which is the midpoint of the price range set forth on the cover page of this prospectus. In the past, we issued options to acquire common stock at prices significantly below the initial public offering price. To the extent these outstanding options are ultimately exercised, investors purchasing common stock in this offering will sustain further dilution. For a further description of the dilution that you will experience immediately after this offering, see the section titled “Dilution.”</w:t>
      </w:r>
    </w:p>
    <w:p>
      <w:pPr>
        <w:spacing w:after="0" w:line="274" w:lineRule="exact"/>
        <w:rPr>
          <w:sz w:val="20"/>
          <w:szCs w:val="20"/>
          <w:color w:val="auto"/>
        </w:rPr>
      </w:pPr>
    </w:p>
    <w:p>
      <w:pPr>
        <w:ind w:left="420" w:right="260"/>
        <w:spacing w:after="0" w:line="280" w:lineRule="auto"/>
        <w:rPr>
          <w:sz w:val="20"/>
          <w:szCs w:val="20"/>
          <w:color w:val="auto"/>
        </w:rPr>
      </w:pPr>
      <w:r>
        <w:rPr>
          <w:rFonts w:ascii="Arial" w:cs="Arial" w:eastAsia="Arial" w:hAnsi="Arial"/>
          <w:sz w:val="17"/>
          <w:szCs w:val="17"/>
          <w:b w:val="1"/>
          <w:bCs w:val="1"/>
          <w:i w:val="1"/>
          <w:iCs w:val="1"/>
          <w:color w:val="auto"/>
        </w:rPr>
        <w:t>After this offering, our executive officers, directors, and principal stockholders, if they choose to act together, will continue to have the ability to significantly influence all matters submitted to stockholders for approval.</w:t>
      </w:r>
    </w:p>
    <w:p>
      <w:pPr>
        <w:spacing w:after="0" w:line="29" w:lineRule="exact"/>
        <w:rPr>
          <w:sz w:val="20"/>
          <w:szCs w:val="20"/>
          <w:color w:val="auto"/>
        </w:rPr>
      </w:pPr>
    </w:p>
    <w:p>
      <w:pPr>
        <w:ind w:left="420" w:right="80" w:firstLine="521"/>
        <w:spacing w:after="0" w:line="239" w:lineRule="auto"/>
        <w:rPr>
          <w:sz w:val="20"/>
          <w:szCs w:val="20"/>
          <w:color w:val="auto"/>
        </w:rPr>
      </w:pPr>
      <w:r>
        <w:rPr>
          <w:rFonts w:ascii="Arial" w:cs="Arial" w:eastAsia="Arial" w:hAnsi="Arial"/>
          <w:sz w:val="17"/>
          <w:szCs w:val="17"/>
          <w:color w:val="auto"/>
        </w:rPr>
        <w:t>Following the completion of this offering, our executive officers, directors and greater than 5% stockholders, in the aggregate, will own approximately 38.7% of our outstanding common stock (assuming no exercise of the underwriters’ option to purchase additional shares and no exercise of outstanding options and without giving effect to any potential purchases by such persons in this offering). As a result, such persons, acting together, will have the ability to significantly influence all matters submitted to our board of directors or stockholders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spacing w:after="0" w:line="280" w:lineRule="exact"/>
        <w:rPr>
          <w:sz w:val="20"/>
          <w:szCs w:val="20"/>
          <w:color w:val="auto"/>
        </w:rPr>
      </w:pPr>
    </w:p>
    <w:p>
      <w:pPr>
        <w:ind w:left="420"/>
        <w:spacing w:after="0" w:line="280" w:lineRule="auto"/>
        <w:rPr>
          <w:sz w:val="20"/>
          <w:szCs w:val="20"/>
          <w:color w:val="auto"/>
        </w:rPr>
      </w:pPr>
      <w:r>
        <w:rPr>
          <w:rFonts w:ascii="Arial" w:cs="Arial" w:eastAsia="Arial" w:hAnsi="Arial"/>
          <w:sz w:val="17"/>
          <w:szCs w:val="17"/>
          <w:b w:val="1"/>
          <w:bCs w:val="1"/>
          <w:i w:val="1"/>
          <w:iCs w:val="1"/>
          <w:color w:val="auto"/>
        </w:rPr>
        <w:t>We do not currently intend to pay dividends on our common stock, so any returns on your investment will be limited to the value of our common stock.</w:t>
      </w:r>
    </w:p>
    <w:p>
      <w:pPr>
        <w:spacing w:after="0" w:line="29" w:lineRule="exact"/>
        <w:rPr>
          <w:sz w:val="20"/>
          <w:szCs w:val="20"/>
          <w:color w:val="auto"/>
        </w:rPr>
      </w:pPr>
    </w:p>
    <w:p>
      <w:pPr>
        <w:ind w:left="420" w:right="40" w:firstLine="521"/>
        <w:spacing w:after="0" w:line="244" w:lineRule="auto"/>
        <w:rPr>
          <w:sz w:val="20"/>
          <w:szCs w:val="20"/>
          <w:color w:val="auto"/>
        </w:rPr>
      </w:pPr>
      <w:r>
        <w:rPr>
          <w:rFonts w:ascii="Arial" w:cs="Arial" w:eastAsia="Arial" w:hAnsi="Arial"/>
          <w:sz w:val="17"/>
          <w:szCs w:val="17"/>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any future debt agreements may preclude us from paying dividends. Any return to stockholders will therefore be limited to the appreciation of their stock. There is no guarantee that shares of our common stock will appreciate in value or even maintain the price at which stockholders have purchased their shares.</w:t>
      </w:r>
    </w:p>
    <w:p>
      <w:pPr>
        <w:spacing w:after="0" w:line="271" w:lineRule="exact"/>
        <w:rPr>
          <w:sz w:val="20"/>
          <w:szCs w:val="20"/>
          <w:color w:val="auto"/>
        </w:rPr>
      </w:pPr>
    </w:p>
    <w:p>
      <w:pPr>
        <w:ind w:left="420" w:right="40"/>
        <w:spacing w:after="0" w:line="280" w:lineRule="auto"/>
        <w:rPr>
          <w:sz w:val="20"/>
          <w:szCs w:val="20"/>
          <w:color w:val="auto"/>
        </w:rPr>
      </w:pPr>
      <w:r>
        <w:rPr>
          <w:rFonts w:ascii="Arial" w:cs="Arial" w:eastAsia="Arial" w:hAnsi="Arial"/>
          <w:sz w:val="17"/>
          <w:szCs w:val="17"/>
          <w:b w:val="1"/>
          <w:bCs w:val="1"/>
          <w:i w:val="1"/>
          <w:iCs w:val="1"/>
          <w:color w:val="auto"/>
        </w:rPr>
        <w:t>Sales of a substantial number of shares of our common stock by our existing stockholders in the public market could cause our stock price to fall.</w:t>
      </w:r>
    </w:p>
    <w:p>
      <w:pPr>
        <w:spacing w:after="0" w:line="29" w:lineRule="exact"/>
        <w:rPr>
          <w:sz w:val="20"/>
          <w:szCs w:val="20"/>
          <w:color w:val="auto"/>
        </w:rPr>
      </w:pPr>
    </w:p>
    <w:p>
      <w:pPr>
        <w:ind w:left="420" w:right="260" w:firstLine="521"/>
        <w:spacing w:after="0" w:line="270"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these sales might occur could significantly reduce the market price of our common</w:t>
      </w:r>
    </w:p>
    <w:p>
      <w:pPr>
        <w:spacing w:after="0" w:line="8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0820"/>
          </w:cols>
          <w:pgMar w:left="320" w:top="439" w:right="7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stock and impair our ability to raise adequate capital through the sale of additional equity or equity-linked securities.</w:t>
      </w:r>
    </w:p>
    <w:p>
      <w:pPr>
        <w:spacing w:after="0" w:line="175" w:lineRule="exact"/>
        <w:rPr>
          <w:sz w:val="20"/>
          <w:szCs w:val="20"/>
          <w:color w:val="auto"/>
        </w:rPr>
      </w:pPr>
    </w:p>
    <w:p>
      <w:pPr>
        <w:ind w:left="420" w:firstLine="521"/>
        <w:spacing w:after="0" w:line="244" w:lineRule="auto"/>
        <w:rPr>
          <w:sz w:val="20"/>
          <w:szCs w:val="20"/>
          <w:color w:val="auto"/>
        </w:rPr>
      </w:pPr>
      <w:r>
        <w:rPr>
          <w:rFonts w:ascii="Arial" w:cs="Arial" w:eastAsia="Arial" w:hAnsi="Arial"/>
          <w:sz w:val="17"/>
          <w:szCs w:val="17"/>
          <w:color w:val="auto"/>
        </w:rPr>
        <w:t>Based on shares of common stock outstanding as of December 31, 2023, upon the closing of this offering, we will have a total of 22,239,333 shares of common stock outstanding, assuming no exercise of the underwriters’ option to purchase additional shares and no exercise of outstanding options. Of these shares, only the 6,250,000 shares of common stock sold in this offering by us, plus any shares sold upon exercise of the underwriters’ option to purchase additional shares, will be freely tradable, without restriction, in the public market immediately following this offering, unless they are purchased by one of our affiliates.</w:t>
      </w:r>
    </w:p>
    <w:p>
      <w:pPr>
        <w:spacing w:after="0" w:line="131" w:lineRule="exact"/>
        <w:rPr>
          <w:sz w:val="20"/>
          <w:szCs w:val="20"/>
          <w:color w:val="auto"/>
        </w:rPr>
      </w:pPr>
    </w:p>
    <w:p>
      <w:pPr>
        <w:ind w:left="420" w:firstLine="521"/>
        <w:spacing w:after="0" w:line="239" w:lineRule="auto"/>
        <w:rPr>
          <w:sz w:val="20"/>
          <w:szCs w:val="20"/>
          <w:color w:val="auto"/>
        </w:rPr>
      </w:pPr>
      <w:r>
        <w:rPr>
          <w:rFonts w:ascii="Arial" w:cs="Arial" w:eastAsia="Arial" w:hAnsi="Arial"/>
          <w:sz w:val="17"/>
          <w:szCs w:val="17"/>
          <w:color w:val="auto"/>
        </w:rPr>
        <w:t>Our directors and executive officers and substantially all of our securityholders have entered into lock-up agreements with the representatives pursuant to which they may not, with limited exceptions and among other things, for a period of 180 days from the date of this prospectus, offer, sell or otherwise transfer or dispose of any of our securities, without the prior written consent of Goldman Sachs &amp; Co. LLC, Leerink Partners LLC, Piper Sandler &amp; Co., and Guggenheim Securities, LLC. The underwriters may permit our officers, directors, and other securityholders who are subject to the lock-up agreements to sell shares prior to the expiration of the lock-up agreements at any time in their sole discretion. See the section titled “Underwriting.” Sales of these shares, or perceptions that they will be sold, could cause the trading price of our common stock to decline. After the lock-up agreements expire, up to an additional 15,989,333 shares of common stock will be eligible for sale in the public market, of which 8,604,336 shares will be held by directors, executive officers and other affiliates and will be subject to volume limitations under Rule 144 under the Securities Act, in each without giving effect to any potential purchases by such persons in this offering.</w:t>
      </w:r>
    </w:p>
    <w:p>
      <w:pPr>
        <w:spacing w:after="0" w:line="136" w:lineRule="exact"/>
        <w:rPr>
          <w:sz w:val="20"/>
          <w:szCs w:val="20"/>
          <w:color w:val="auto"/>
        </w:rPr>
      </w:pPr>
    </w:p>
    <w:p>
      <w:pPr>
        <w:ind w:left="420" w:right="100" w:firstLine="521"/>
        <w:spacing w:after="0" w:line="247" w:lineRule="auto"/>
        <w:rPr>
          <w:sz w:val="20"/>
          <w:szCs w:val="20"/>
          <w:color w:val="auto"/>
        </w:rPr>
      </w:pPr>
      <w:r>
        <w:rPr>
          <w:rFonts w:ascii="Arial" w:cs="Arial" w:eastAsia="Arial" w:hAnsi="Arial"/>
          <w:sz w:val="17"/>
          <w:szCs w:val="17"/>
          <w:color w:val="auto"/>
        </w:rPr>
        <w:t>In addition, as of December 31, 2023, 2,813,937 shares of common stock that are subject to outstanding options under our employee benefit plans will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trading price of our common stock could decline.</w:t>
      </w:r>
    </w:p>
    <w:p>
      <w:pPr>
        <w:spacing w:after="0" w:line="141" w:lineRule="exact"/>
        <w:rPr>
          <w:sz w:val="20"/>
          <w:szCs w:val="20"/>
          <w:color w:val="auto"/>
        </w:rPr>
      </w:pPr>
    </w:p>
    <w:p>
      <w:pPr>
        <w:ind w:left="420" w:right="40" w:firstLine="521"/>
        <w:spacing w:after="0" w:line="241" w:lineRule="auto"/>
        <w:rPr>
          <w:sz w:val="20"/>
          <w:szCs w:val="20"/>
          <w:color w:val="auto"/>
        </w:rPr>
      </w:pPr>
      <w:r>
        <w:rPr>
          <w:rFonts w:ascii="Arial" w:cs="Arial" w:eastAsia="Arial" w:hAnsi="Arial"/>
          <w:sz w:val="17"/>
          <w:szCs w:val="17"/>
          <w:color w:val="auto"/>
        </w:rPr>
        <w:t>After this offering, the holders of 14,740,840 shares of our outstanding common stock, or approximately 66.3% of our total outstanding common stock based on shares outstanding as of December 31, 2023, will be entitled to rights with respect to the registration of their shares under the Securities Act, subject to vesting and the 180-day lock-up agreements described above. See the section titled “Description of Capital Stock—Registration Rights.”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274" w:lineRule="exact"/>
        <w:rPr>
          <w:sz w:val="20"/>
          <w:szCs w:val="20"/>
          <w:color w:val="auto"/>
        </w:rPr>
      </w:pPr>
    </w:p>
    <w:p>
      <w:pPr>
        <w:ind w:left="420" w:right="120"/>
        <w:spacing w:after="0" w:line="280"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29" w:lineRule="exact"/>
        <w:rPr>
          <w:sz w:val="20"/>
          <w:szCs w:val="20"/>
          <w:color w:val="auto"/>
        </w:rPr>
      </w:pPr>
    </w:p>
    <w:p>
      <w:pPr>
        <w:ind w:left="420" w:firstLine="521"/>
        <w:spacing w:after="0" w:line="242" w:lineRule="auto"/>
        <w:rPr>
          <w:sz w:val="20"/>
          <w:szCs w:val="20"/>
          <w:color w:val="auto"/>
        </w:rPr>
      </w:pPr>
      <w:r>
        <w:rPr>
          <w:rFonts w:ascii="Arial" w:cs="Arial" w:eastAsia="Arial" w:hAnsi="Arial"/>
          <w:sz w:val="17"/>
          <w:szCs w:val="17"/>
          <w:color w:val="auto"/>
        </w:rPr>
        <w:t>We are an emerging growth company, as defined in the JOBS Act, and may remain an emerging growth company until the last day of the fiscal year following the fifth anniversary of the completion of this offering. However, if certain events occur prior to the end of such five-year period, including if we become a “large accelerated filer”, as defined under the Exchange Act, our annual gross revenue exceeds $1.235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w:t>
      </w:r>
    </w:p>
    <w:p>
      <w:pPr>
        <w:spacing w:after="0" w:line="10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0800"/>
          </w:cols>
          <w:pgMar w:left="320" w:top="439" w:right="7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600"/>
        <w:spacing w:after="0" w:line="270" w:lineRule="auto"/>
        <w:rPr>
          <w:sz w:val="20"/>
          <w:szCs w:val="20"/>
          <w:color w:val="auto"/>
        </w:rPr>
      </w:pPr>
      <w:r>
        <w:rPr>
          <w:rFonts w:ascii="Arial" w:cs="Arial" w:eastAsia="Arial" w:hAnsi="Arial"/>
          <w:sz w:val="17"/>
          <w:szCs w:val="17"/>
          <w:color w:val="auto"/>
        </w:rPr>
        <w:t>disclosure requirements that are applicable to other public companies that are not emerging growth companies. These exemptions include:</w:t>
      </w:r>
    </w:p>
    <w:p>
      <w:pPr>
        <w:spacing w:after="0" w:line="58" w:lineRule="exact"/>
        <w:rPr>
          <w:sz w:val="20"/>
          <w:szCs w:val="20"/>
          <w:color w:val="auto"/>
        </w:rPr>
      </w:pPr>
    </w:p>
    <w:p>
      <w:pPr>
        <w:ind w:left="1660" w:right="300" w:hanging="418"/>
        <w:spacing w:after="0" w:line="252" w:lineRule="auto"/>
        <w:tabs>
          <w:tab w:leader="none" w:pos="1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74" w:lineRule="exact"/>
        <w:rPr>
          <w:rFonts w:ascii="Arial" w:cs="Arial" w:eastAsia="Arial" w:hAnsi="Arial"/>
          <w:sz w:val="17"/>
          <w:szCs w:val="17"/>
          <w:color w:val="auto"/>
        </w:rPr>
      </w:pPr>
    </w:p>
    <w:p>
      <w:pPr>
        <w:ind w:left="1660" w:right="500" w:hanging="418"/>
        <w:spacing w:after="0" w:line="270" w:lineRule="auto"/>
        <w:tabs>
          <w:tab w:leader="none" w:pos="1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 pursuant to the Sarbanes-Oxley Act of 2002 (Sarbanes-Oxley);</w:t>
      </w:r>
    </w:p>
    <w:p>
      <w:pPr>
        <w:spacing w:after="0" w:line="58" w:lineRule="exact"/>
        <w:rPr>
          <w:rFonts w:ascii="Arial" w:cs="Arial" w:eastAsia="Arial" w:hAnsi="Arial"/>
          <w:sz w:val="17"/>
          <w:szCs w:val="17"/>
          <w:color w:val="auto"/>
        </w:rPr>
      </w:pPr>
    </w:p>
    <w:p>
      <w:pPr>
        <w:ind w:left="1660" w:right="20" w:hanging="418"/>
        <w:spacing w:after="0" w:line="247" w:lineRule="auto"/>
        <w:tabs>
          <w:tab w:leader="none" w:pos="1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unless the U.S. Securities and Exchange Commission (SEC) determines the new rules are necessary for protecting the public;</w:t>
      </w:r>
    </w:p>
    <w:p>
      <w:pPr>
        <w:spacing w:after="0" w:line="76" w:lineRule="exact"/>
        <w:rPr>
          <w:rFonts w:ascii="Arial" w:cs="Arial" w:eastAsia="Arial" w:hAnsi="Arial"/>
          <w:sz w:val="17"/>
          <w:szCs w:val="17"/>
          <w:color w:val="auto"/>
        </w:rPr>
      </w:pPr>
    </w:p>
    <w:p>
      <w:pPr>
        <w:ind w:left="1660" w:hanging="418"/>
        <w:spacing w:after="0"/>
        <w:tabs>
          <w:tab w:leader="none" w:pos="1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and</w:t>
      </w:r>
    </w:p>
    <w:p>
      <w:pPr>
        <w:spacing w:after="0" w:line="111" w:lineRule="exact"/>
        <w:rPr>
          <w:rFonts w:ascii="Arial" w:cs="Arial" w:eastAsia="Arial" w:hAnsi="Arial"/>
          <w:sz w:val="17"/>
          <w:szCs w:val="17"/>
          <w:color w:val="auto"/>
        </w:rPr>
      </w:pPr>
    </w:p>
    <w:p>
      <w:pPr>
        <w:ind w:left="1660" w:right="340" w:hanging="418"/>
        <w:spacing w:after="0" w:line="270" w:lineRule="auto"/>
        <w:tabs>
          <w:tab w:leader="none" w:pos="1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on executive compensation and shareholder approval of any golden parachute payments not previously approved.</w:t>
      </w:r>
    </w:p>
    <w:p>
      <w:pPr>
        <w:spacing w:after="0" w:line="122" w:lineRule="exact"/>
        <w:rPr>
          <w:sz w:val="20"/>
          <w:szCs w:val="20"/>
          <w:color w:val="auto"/>
        </w:rPr>
      </w:pPr>
    </w:p>
    <w:p>
      <w:pPr>
        <w:ind w:left="420" w:firstLine="521"/>
        <w:spacing w:after="0" w:line="238" w:lineRule="auto"/>
        <w:rPr>
          <w:sz w:val="20"/>
          <w:szCs w:val="20"/>
          <w:color w:val="auto"/>
        </w:rPr>
      </w:pPr>
      <w:r>
        <w:rPr>
          <w:rFonts w:ascii="Arial" w:cs="Arial" w:eastAsia="Arial" w:hAnsi="Arial"/>
          <w:sz w:val="17"/>
          <w:szCs w:val="17"/>
          <w:color w:val="auto"/>
        </w:rPr>
        <w:t>We have taken advantage of reduced reporting burdens in this prospectus. In particular, in this prospectus, we have provided only two years of audited financial statements and have not included all of the executive compensation-related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to avail ourselves of this exemption and, therefore, we may not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Sarbanes-Oxley.</w:t>
      </w:r>
    </w:p>
    <w:p>
      <w:pPr>
        <w:spacing w:after="0" w:line="142" w:lineRule="exact"/>
        <w:rPr>
          <w:sz w:val="20"/>
          <w:szCs w:val="20"/>
          <w:color w:val="auto"/>
        </w:rPr>
      </w:pPr>
    </w:p>
    <w:p>
      <w:pPr>
        <w:ind w:left="420" w:right="240" w:firstLine="521"/>
        <w:spacing w:after="0" w:line="242" w:lineRule="auto"/>
        <w:rPr>
          <w:sz w:val="20"/>
          <w:szCs w:val="20"/>
          <w:color w:val="auto"/>
        </w:rPr>
      </w:pPr>
      <w:r>
        <w:rPr>
          <w:rFonts w:ascii="Arial" w:cs="Arial" w:eastAsia="Arial" w:hAnsi="Arial"/>
          <w:sz w:val="17"/>
          <w:szCs w:val="17"/>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74" w:lineRule="exact"/>
        <w:rPr>
          <w:sz w:val="20"/>
          <w:szCs w:val="20"/>
          <w:color w:val="auto"/>
        </w:rPr>
      </w:pPr>
    </w:p>
    <w:p>
      <w:pPr>
        <w:ind w:left="420" w:right="500"/>
        <w:spacing w:after="0" w:line="280" w:lineRule="auto"/>
        <w:rPr>
          <w:sz w:val="20"/>
          <w:szCs w:val="20"/>
          <w:color w:val="auto"/>
        </w:rPr>
      </w:pPr>
      <w:r>
        <w:rPr>
          <w:rFonts w:ascii="Arial" w:cs="Arial" w:eastAsia="Arial" w:hAnsi="Arial"/>
          <w:sz w:val="17"/>
          <w:szCs w:val="17"/>
          <w:b w:val="1"/>
          <w:bCs w:val="1"/>
          <w:i w:val="1"/>
          <w:iCs w:val="1"/>
          <w:color w:val="auto"/>
        </w:rPr>
        <w:t>Provisions in our charter documents and under Delaware law could discourage a takeover that stockholders may consider favorable and may lead to entrenchment of management.</w:t>
      </w:r>
    </w:p>
    <w:p>
      <w:pPr>
        <w:spacing w:after="0" w:line="29" w:lineRule="exact"/>
        <w:rPr>
          <w:sz w:val="20"/>
          <w:szCs w:val="20"/>
          <w:color w:val="auto"/>
        </w:rPr>
      </w:pPr>
    </w:p>
    <w:p>
      <w:pPr>
        <w:jc w:val="both"/>
        <w:ind w:left="420" w:right="180" w:firstLine="521"/>
        <w:spacing w:after="0" w:line="252" w:lineRule="auto"/>
        <w:rPr>
          <w:sz w:val="20"/>
          <w:szCs w:val="20"/>
          <w:color w:val="auto"/>
        </w:rPr>
      </w:pPr>
      <w:r>
        <w:rPr>
          <w:rFonts w:ascii="Arial" w:cs="Arial" w:eastAsia="Arial" w:hAnsi="Arial"/>
          <w:sz w:val="17"/>
          <w:szCs w:val="17"/>
          <w:color w:val="auto"/>
        </w:rPr>
        <w:t>Our amended and restated certificate of incorporation and amended and restated bylaws that will be in effect immediately prior to the consummation of this offering will contain provisions that could significantly reduce the value of our shares to a potential acquiror or delay or prevent changes in</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0820"/>
          </w:cols>
          <w:pgMar w:left="320" w:top="439" w:right="7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120"/>
        <w:spacing w:after="0" w:line="270" w:lineRule="auto"/>
        <w:rPr>
          <w:sz w:val="20"/>
          <w:szCs w:val="20"/>
          <w:color w:val="auto"/>
        </w:rPr>
      </w:pPr>
      <w:r>
        <w:rPr>
          <w:rFonts w:ascii="Arial" w:cs="Arial" w:eastAsia="Arial" w:hAnsi="Arial"/>
          <w:sz w:val="17"/>
          <w:szCs w:val="17"/>
          <w:color w:val="auto"/>
        </w:rPr>
        <w:t>control or changes in our management without the consent of our board of directors. The provisions in our charter documents will include the following:</w:t>
      </w:r>
    </w:p>
    <w:p>
      <w:pPr>
        <w:spacing w:after="0" w:line="58" w:lineRule="exact"/>
        <w:rPr>
          <w:sz w:val="20"/>
          <w:szCs w:val="20"/>
          <w:color w:val="auto"/>
        </w:rPr>
      </w:pPr>
    </w:p>
    <w:p>
      <w:pPr>
        <w:ind w:left="1660" w:right="120" w:hanging="418"/>
        <w:spacing w:after="0" w:line="270" w:lineRule="auto"/>
        <w:tabs>
          <w:tab w:leader="none" w:pos="1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classified board of directors with three-year staggered terms, which may delay the ability of stockholders to change the membership of a majority of our board of directors;</w:t>
      </w:r>
    </w:p>
    <w:p>
      <w:pPr>
        <w:spacing w:after="0" w:line="58" w:lineRule="exact"/>
        <w:rPr>
          <w:rFonts w:ascii="Arial" w:cs="Arial" w:eastAsia="Arial" w:hAnsi="Arial"/>
          <w:sz w:val="17"/>
          <w:szCs w:val="17"/>
          <w:color w:val="auto"/>
        </w:rPr>
      </w:pPr>
    </w:p>
    <w:p>
      <w:pPr>
        <w:ind w:left="1660" w:right="840" w:hanging="418"/>
        <w:spacing w:after="0" w:line="270" w:lineRule="auto"/>
        <w:tabs>
          <w:tab w:leader="none" w:pos="1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no cumulative voting in the election of directors, which limits the ability of minority stockholders to elect director candidates;</w:t>
      </w:r>
    </w:p>
    <w:p>
      <w:pPr>
        <w:spacing w:after="0" w:line="58" w:lineRule="exact"/>
        <w:rPr>
          <w:rFonts w:ascii="Arial" w:cs="Arial" w:eastAsia="Arial" w:hAnsi="Arial"/>
          <w:sz w:val="17"/>
          <w:szCs w:val="17"/>
          <w:color w:val="auto"/>
        </w:rPr>
      </w:pPr>
    </w:p>
    <w:p>
      <w:pPr>
        <w:ind w:left="1660" w:right="140" w:hanging="418"/>
        <w:spacing w:after="0" w:line="252" w:lineRule="auto"/>
        <w:tabs>
          <w:tab w:leader="none" w:pos="1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74" w:lineRule="exact"/>
        <w:rPr>
          <w:rFonts w:ascii="Arial" w:cs="Arial" w:eastAsia="Arial" w:hAnsi="Arial"/>
          <w:sz w:val="17"/>
          <w:szCs w:val="17"/>
          <w:color w:val="auto"/>
        </w:rPr>
      </w:pPr>
    </w:p>
    <w:p>
      <w:pPr>
        <w:ind w:left="1660" w:right="100" w:hanging="418"/>
        <w:spacing w:after="0" w:line="270" w:lineRule="auto"/>
        <w:tabs>
          <w:tab w:leader="none" w:pos="1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required approval of at least 66-2/3% of the shares entitled to vote to remove a director for cause, and the prohibition on removal of directors without cause;</w:t>
      </w:r>
    </w:p>
    <w:p>
      <w:pPr>
        <w:spacing w:after="0" w:line="58" w:lineRule="exact"/>
        <w:rPr>
          <w:rFonts w:ascii="Arial" w:cs="Arial" w:eastAsia="Arial" w:hAnsi="Arial"/>
          <w:sz w:val="17"/>
          <w:szCs w:val="17"/>
          <w:color w:val="auto"/>
        </w:rPr>
      </w:pPr>
    </w:p>
    <w:p>
      <w:pPr>
        <w:ind w:left="1660" w:hanging="418"/>
        <w:spacing w:after="0" w:line="252" w:lineRule="auto"/>
        <w:tabs>
          <w:tab w:leader="none" w:pos="1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74" w:lineRule="exact"/>
        <w:rPr>
          <w:rFonts w:ascii="Arial" w:cs="Arial" w:eastAsia="Arial" w:hAnsi="Arial"/>
          <w:sz w:val="17"/>
          <w:szCs w:val="17"/>
          <w:color w:val="auto"/>
        </w:rPr>
      </w:pPr>
    </w:p>
    <w:p>
      <w:pPr>
        <w:ind w:left="1660" w:hanging="418"/>
        <w:spacing w:after="0"/>
        <w:tabs>
          <w:tab w:leader="none" w:pos="1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ability of our board of directors to alter our amended and restated bylaws without obtaining stockholder approval;</w:t>
      </w:r>
    </w:p>
    <w:p>
      <w:pPr>
        <w:spacing w:after="0" w:line="111" w:lineRule="exact"/>
        <w:rPr>
          <w:rFonts w:ascii="Arial" w:cs="Arial" w:eastAsia="Arial" w:hAnsi="Arial"/>
          <w:sz w:val="17"/>
          <w:szCs w:val="17"/>
          <w:color w:val="auto"/>
        </w:rPr>
      </w:pPr>
    </w:p>
    <w:p>
      <w:pPr>
        <w:ind w:left="1660" w:right="260" w:hanging="418"/>
        <w:spacing w:after="0" w:line="252" w:lineRule="auto"/>
        <w:tabs>
          <w:tab w:leader="none" w:pos="1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required approval of at least 66-2/3% of the shares entitled to vote to adopt, amend, or repeal our amended and restated bylaws or repeal the provisions of our amended and restated certificate of incorporation regarding the election and removal of directors;</w:t>
      </w:r>
    </w:p>
    <w:p>
      <w:pPr>
        <w:spacing w:after="0" w:line="74" w:lineRule="exact"/>
        <w:rPr>
          <w:rFonts w:ascii="Arial" w:cs="Arial" w:eastAsia="Arial" w:hAnsi="Arial"/>
          <w:sz w:val="17"/>
          <w:szCs w:val="17"/>
          <w:color w:val="auto"/>
        </w:rPr>
      </w:pPr>
    </w:p>
    <w:p>
      <w:pPr>
        <w:ind w:left="1660" w:right="60" w:hanging="418"/>
        <w:spacing w:after="0" w:line="270" w:lineRule="auto"/>
        <w:tabs>
          <w:tab w:leader="none" w:pos="1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prohibition on stockholder action by written consent, which forces stockholder action to be taken at an annual or special meeting of our stockholders;</w:t>
      </w:r>
    </w:p>
    <w:p>
      <w:pPr>
        <w:spacing w:after="0" w:line="58" w:lineRule="exact"/>
        <w:rPr>
          <w:rFonts w:ascii="Arial" w:cs="Arial" w:eastAsia="Arial" w:hAnsi="Arial"/>
          <w:sz w:val="17"/>
          <w:szCs w:val="17"/>
          <w:color w:val="auto"/>
        </w:rPr>
      </w:pPr>
    </w:p>
    <w:p>
      <w:pPr>
        <w:ind w:left="1660" w:right="80" w:hanging="418"/>
        <w:spacing w:after="0" w:line="270" w:lineRule="auto"/>
        <w:tabs>
          <w:tab w:leader="none" w:pos="1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exclusive forum provision providing that the Court of Chancery of the State of Delaware will be the exclusive forum for certain actions and proceedings;</w:t>
      </w:r>
    </w:p>
    <w:p>
      <w:pPr>
        <w:spacing w:after="0" w:line="58" w:lineRule="exact"/>
        <w:rPr>
          <w:rFonts w:ascii="Arial" w:cs="Arial" w:eastAsia="Arial" w:hAnsi="Arial"/>
          <w:sz w:val="17"/>
          <w:szCs w:val="17"/>
          <w:color w:val="auto"/>
        </w:rPr>
      </w:pPr>
    </w:p>
    <w:p>
      <w:pPr>
        <w:ind w:left="1660" w:right="100" w:hanging="418"/>
        <w:spacing w:after="0" w:line="270" w:lineRule="auto"/>
        <w:tabs>
          <w:tab w:leader="none" w:pos="1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requirement that a special meeting of stockholders may be called only by the board of directors, which may delay the ability of our stockholders to force consideration of a proposal or to take action, including the removal of directors; and</w:t>
      </w:r>
    </w:p>
    <w:p>
      <w:pPr>
        <w:spacing w:after="0" w:line="58" w:lineRule="exact"/>
        <w:rPr>
          <w:rFonts w:ascii="Arial" w:cs="Arial" w:eastAsia="Arial" w:hAnsi="Arial"/>
          <w:sz w:val="17"/>
          <w:szCs w:val="17"/>
          <w:color w:val="auto"/>
        </w:rPr>
      </w:pPr>
    </w:p>
    <w:p>
      <w:pPr>
        <w:ind w:left="1660" w:right="140" w:hanging="418"/>
        <w:spacing w:after="0" w:line="247" w:lineRule="auto"/>
        <w:tabs>
          <w:tab w:leader="none" w:pos="1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41" w:lineRule="exact"/>
        <w:rPr>
          <w:sz w:val="20"/>
          <w:szCs w:val="20"/>
          <w:color w:val="auto"/>
        </w:rPr>
      </w:pPr>
    </w:p>
    <w:p>
      <w:pPr>
        <w:jc w:val="both"/>
        <w:ind w:left="420" w:right="420" w:firstLine="521"/>
        <w:spacing w:after="0" w:line="252" w:lineRule="auto"/>
        <w:rPr>
          <w:sz w:val="20"/>
          <w:szCs w:val="20"/>
          <w:color w:val="auto"/>
        </w:rPr>
      </w:pPr>
      <w:r>
        <w:rPr>
          <w:rFonts w:ascii="Arial" w:cs="Arial" w:eastAsia="Arial" w:hAnsi="Arial"/>
          <w:sz w:val="17"/>
          <w:szCs w:val="17"/>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0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0820"/>
          </w:cols>
          <w:pgMar w:left="320" w:top="439" w:right="7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40"/>
        <w:spacing w:after="0" w:line="244" w:lineRule="auto"/>
        <w:rPr>
          <w:sz w:val="20"/>
          <w:szCs w:val="20"/>
          <w:color w:val="auto"/>
        </w:rPr>
      </w:pPr>
      <w:r>
        <w:rPr>
          <w:rFonts w:ascii="Arial" w:cs="Arial" w:eastAsia="Arial" w:hAnsi="Arial"/>
          <w:sz w:val="17"/>
          <w:szCs w:val="17"/>
          <w:b w:val="1"/>
          <w:bCs w:val="1"/>
          <w:i w:val="1"/>
          <w:iCs w:val="1"/>
          <w:color w:val="auto"/>
        </w:rPr>
        <w:t>Our current amended and restated certificate of incorporation provides, and our amended and restated certificate of incorporation will provide, that the Court of Chancery of the State of Delaware will be the exclusive forum for substantially all disputes between us and our stockholders and that the federal district courts shall be the exclusive forum for the resolution of any complaint asserting a cause of action arising under the Securities Act, which could limit our stockholders’ ability to obtain a favorable judicial forum for disputes with us or our directors, officers, or employees or the underwriters or any offering giving rise to such claim.</w:t>
      </w:r>
    </w:p>
    <w:p>
      <w:pPr>
        <w:spacing w:after="0" w:line="60" w:lineRule="exact"/>
        <w:rPr>
          <w:sz w:val="20"/>
          <w:szCs w:val="20"/>
          <w:color w:val="auto"/>
        </w:rPr>
      </w:pPr>
    </w:p>
    <w:p>
      <w:pPr>
        <w:ind w:left="420" w:firstLine="521"/>
        <w:spacing w:after="0" w:line="237" w:lineRule="auto"/>
        <w:rPr>
          <w:sz w:val="20"/>
          <w:szCs w:val="20"/>
          <w:color w:val="auto"/>
        </w:rPr>
      </w:pPr>
      <w:r>
        <w:rPr>
          <w:rFonts w:ascii="Arial" w:cs="Arial" w:eastAsia="Arial" w:hAnsi="Arial"/>
          <w:sz w:val="17"/>
          <w:szCs w:val="17"/>
          <w:color w:val="auto"/>
        </w:rPr>
        <w:t>Our current amended and restated certificate of incorporation provides, and our amended and restated certificate of incorporation that will be in effect immediately prior to the consummation of this offering will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Exchange Act or any other claim for which the federal courts have exclusive jurisdiction. Furthermore,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and result in increased costs for investors to bring a claim.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283" w:lineRule="exact"/>
        <w:rPr>
          <w:sz w:val="20"/>
          <w:szCs w:val="20"/>
          <w:color w:val="auto"/>
        </w:rPr>
      </w:pPr>
    </w:p>
    <w:p>
      <w:pPr>
        <w:ind w:left="420" w:right="580"/>
        <w:spacing w:after="0" w:line="280" w:lineRule="auto"/>
        <w:rPr>
          <w:sz w:val="20"/>
          <w:szCs w:val="20"/>
          <w:color w:val="auto"/>
        </w:rPr>
      </w:pPr>
      <w:r>
        <w:rPr>
          <w:rFonts w:ascii="Arial" w:cs="Arial" w:eastAsia="Arial" w:hAnsi="Arial"/>
          <w:sz w:val="17"/>
          <w:szCs w:val="17"/>
          <w:b w:val="1"/>
          <w:bCs w:val="1"/>
          <w:i w:val="1"/>
          <w:iCs w:val="1"/>
          <w:color w:val="auto"/>
        </w:rPr>
        <w:t>Participation in this offering by our existing stockholders and/or their affiliated entities may reduce the public float for our common stock.</w:t>
      </w:r>
    </w:p>
    <w:p>
      <w:pPr>
        <w:spacing w:after="0" w:line="29" w:lineRule="exact"/>
        <w:rPr>
          <w:sz w:val="20"/>
          <w:szCs w:val="20"/>
          <w:color w:val="auto"/>
        </w:rPr>
      </w:pPr>
    </w:p>
    <w:p>
      <w:pPr>
        <w:ind w:left="420" w:firstLine="521"/>
        <w:spacing w:after="0" w:line="244" w:lineRule="auto"/>
        <w:rPr>
          <w:sz w:val="20"/>
          <w:szCs w:val="20"/>
          <w:color w:val="auto"/>
        </w:rPr>
      </w:pPr>
      <w:r>
        <w:rPr>
          <w:rFonts w:ascii="Arial" w:cs="Arial" w:eastAsia="Arial" w:hAnsi="Arial"/>
          <w:sz w:val="17"/>
          <w:szCs w:val="17"/>
          <w:color w:val="auto"/>
        </w:rPr>
        <w:t>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271"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General Risk Factors</w:t>
      </w:r>
    </w:p>
    <w:p>
      <w:pPr>
        <w:spacing w:after="0" w:line="98" w:lineRule="exact"/>
        <w:rPr>
          <w:sz w:val="20"/>
          <w:szCs w:val="20"/>
          <w:color w:val="auto"/>
        </w:rPr>
      </w:pPr>
    </w:p>
    <w:p>
      <w:pPr>
        <w:ind w:left="420" w:right="200"/>
        <w:spacing w:after="0" w:line="280" w:lineRule="auto"/>
        <w:rPr>
          <w:sz w:val="20"/>
          <w:szCs w:val="20"/>
          <w:color w:val="auto"/>
        </w:rPr>
      </w:pPr>
      <w:r>
        <w:rPr>
          <w:rFonts w:ascii="Arial" w:cs="Arial" w:eastAsia="Arial" w:hAnsi="Arial"/>
          <w:sz w:val="17"/>
          <w:szCs w:val="17"/>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29" w:lineRule="exact"/>
        <w:rPr>
          <w:sz w:val="20"/>
          <w:szCs w:val="20"/>
          <w:color w:val="auto"/>
        </w:rPr>
      </w:pPr>
    </w:p>
    <w:p>
      <w:pPr>
        <w:ind w:left="420" w:right="40" w:firstLine="521"/>
        <w:spacing w:after="0" w:line="244" w:lineRule="auto"/>
        <w:rPr>
          <w:sz w:val="20"/>
          <w:szCs w:val="20"/>
          <w:color w:val="auto"/>
        </w:rPr>
      </w:pPr>
      <w:r>
        <w:rPr>
          <w:rFonts w:ascii="Arial" w:cs="Arial" w:eastAsia="Arial" w:hAnsi="Arial"/>
          <w:sz w:val="17"/>
          <w:szCs w:val="17"/>
          <w:color w:val="auto"/>
        </w:rPr>
        <w:t>As a public company, we will incur significant legal, accounting, and other expenses that we did not incur as a private company. We will be subject to the reporting requirements of the Exchange Act, which will require, among other things, that we file with the SEC annual, quarterly, and current reports with respect to our business and financial condition. In addition, Sarbanes-Oxley, as well as rules subsequently adopted by the SEC and Nasdaq to implement provisions of Sarbanes-Oxley, impose significant requirements on public companies, including requiring establishment and maintenance of</w:t>
      </w:r>
    </w:p>
    <w:p>
      <w:pPr>
        <w:spacing w:after="0" w:line="105"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0840"/>
          </w:cols>
          <w:pgMar w:left="320" w:top="439" w:right="7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180"/>
        <w:spacing w:after="0" w:line="242" w:lineRule="auto"/>
        <w:rPr>
          <w:sz w:val="20"/>
          <w:szCs w:val="20"/>
          <w:color w:val="auto"/>
        </w:rPr>
      </w:pPr>
      <w:r>
        <w:rPr>
          <w:rFonts w:ascii="Arial" w:cs="Arial" w:eastAsia="Arial" w:hAnsi="Arial"/>
          <w:sz w:val="17"/>
          <w:szCs w:val="17"/>
          <w:color w:val="auto"/>
        </w:rPr>
        <w:t>effective disclosure and financial controls and certain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46" w:lineRule="exact"/>
        <w:rPr>
          <w:sz w:val="20"/>
          <w:szCs w:val="20"/>
          <w:color w:val="auto"/>
        </w:rPr>
      </w:pPr>
    </w:p>
    <w:p>
      <w:pPr>
        <w:ind w:left="420" w:right="20" w:firstLine="521"/>
        <w:spacing w:after="0" w:line="239" w:lineRule="auto"/>
        <w:rPr>
          <w:sz w:val="20"/>
          <w:szCs w:val="20"/>
          <w:color w:val="auto"/>
        </w:rPr>
      </w:pPr>
      <w:r>
        <w:rPr>
          <w:rFonts w:ascii="Arial" w:cs="Arial" w:eastAsia="Arial" w:hAnsi="Arial"/>
          <w:sz w:val="17"/>
          <w:szCs w:val="17"/>
          <w:color w:val="auto"/>
        </w:rPr>
        <w:t>We expect the rules and regulations applicable to public companies to substantially increase our legal and financial compliance costs and to make some activities more time consuming and costly. The increased costs will decrease our net income or increase our net loss, and may require us to reduce expenditures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comply with these requirements. The impact of these requirements could also make it more difficult for us to attract and retain qualified persons to serve on our board of directors, our board committees, or as executive officers. If these requirements divert the attention of our management and personnel from other business concerns, they could have a material adverse effect on our business, financial condition, and results of operations.</w:t>
      </w:r>
    </w:p>
    <w:p>
      <w:pPr>
        <w:spacing w:after="0" w:line="280" w:lineRule="exact"/>
        <w:rPr>
          <w:sz w:val="20"/>
          <w:szCs w:val="20"/>
          <w:color w:val="auto"/>
        </w:rPr>
      </w:pPr>
    </w:p>
    <w:p>
      <w:pPr>
        <w:ind w:left="420" w:right="220"/>
        <w:spacing w:after="0" w:line="257" w:lineRule="auto"/>
        <w:rPr>
          <w:sz w:val="20"/>
          <w:szCs w:val="20"/>
          <w:color w:val="auto"/>
        </w:rPr>
      </w:pPr>
      <w:r>
        <w:rPr>
          <w:rFonts w:ascii="Arial" w:cs="Arial" w:eastAsia="Arial" w:hAnsi="Arial"/>
          <w:sz w:val="17"/>
          <w:szCs w:val="17"/>
          <w:b w:val="1"/>
          <w:bCs w:val="1"/>
          <w:i w:val="1"/>
          <w:iCs w:val="1"/>
          <w:color w:val="auto"/>
        </w:rPr>
        <w:t>We are subject to U.S. and certain foreign export and import controls, sanctions, embargoes, anti-corruption laws, and anti-money laundering laws and regulations. We could face criminal liability and other serious consequences for violations, which could harm our business.</w:t>
      </w:r>
    </w:p>
    <w:p>
      <w:pPr>
        <w:spacing w:after="0" w:line="49" w:lineRule="exact"/>
        <w:rPr>
          <w:sz w:val="20"/>
          <w:szCs w:val="20"/>
          <w:color w:val="auto"/>
        </w:rPr>
      </w:pPr>
    </w:p>
    <w:p>
      <w:pPr>
        <w:ind w:left="420" w:firstLine="521"/>
        <w:spacing w:after="0" w:line="238" w:lineRule="auto"/>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CROs,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abroad if and when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CROs, contractors, and other collaborators and partners, even if we do not explicitly authorize or have actual knowledge of such activities, and any training or compliance programs or other initiatives we undertake to prevent such activities may not be effective.</w:t>
      </w:r>
    </w:p>
    <w:p>
      <w:pPr>
        <w:spacing w:after="0" w:line="138" w:lineRule="exact"/>
        <w:rPr>
          <w:sz w:val="20"/>
          <w:szCs w:val="20"/>
          <w:color w:val="auto"/>
        </w:rPr>
      </w:pPr>
    </w:p>
    <w:p>
      <w:pPr>
        <w:ind w:left="420" w:right="180" w:firstLine="521"/>
        <w:spacing w:after="0" w:line="252" w:lineRule="auto"/>
        <w:rPr>
          <w:sz w:val="20"/>
          <w:szCs w:val="20"/>
          <w:color w:val="auto"/>
        </w:rPr>
      </w:pPr>
      <w:r>
        <w:rPr>
          <w:rFonts w:ascii="Arial" w:cs="Arial" w:eastAsia="Arial" w:hAnsi="Arial"/>
          <w:sz w:val="17"/>
          <w:szCs w:val="17"/>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25" w:lineRule="exact"/>
        <w:rPr>
          <w:sz w:val="20"/>
          <w:szCs w:val="20"/>
          <w:color w:val="auto"/>
        </w:rPr>
      </w:pPr>
    </w:p>
    <w:p>
      <w:pPr>
        <w:ind w:left="420" w:right="20" w:firstLine="521"/>
        <w:spacing w:after="0" w:line="252" w:lineRule="auto"/>
        <w:rPr>
          <w:sz w:val="20"/>
          <w:szCs w:val="20"/>
          <w:color w:val="auto"/>
        </w:rPr>
      </w:pPr>
      <w:r>
        <w:rPr>
          <w:rFonts w:ascii="Arial" w:cs="Arial" w:eastAsia="Arial" w:hAnsi="Arial"/>
          <w:sz w:val="17"/>
          <w:szCs w:val="17"/>
          <w:color w:val="auto"/>
        </w:rPr>
        <w:t>Furthermore, U.S. export control laws and economic sanctions prohibit the provision of certain products and services to countries, governments, and persons targeted by U.S. sanctions. U.S. sanctions that have been or may be imposed as a result of military conflicts in other countries may</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0800"/>
          </w:cols>
          <w:pgMar w:left="320" w:top="439" w:right="7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20"/>
        <w:spacing w:after="0" w:line="252" w:lineRule="auto"/>
        <w:rPr>
          <w:sz w:val="20"/>
          <w:szCs w:val="20"/>
          <w:color w:val="auto"/>
        </w:rPr>
      </w:pPr>
      <w:r>
        <w:rPr>
          <w:rFonts w:ascii="Arial" w:cs="Arial" w:eastAsia="Arial" w:hAnsi="Arial"/>
          <w:sz w:val="17"/>
          <w:szCs w:val="17"/>
          <w:color w:val="auto"/>
        </w:rPr>
        <w:t>impact our ability to continue activities at future clinical trial sites within regions covered by such sanctions. If we fail to comply with export and import regulations and such economic sanctions, penalties could be imposed, including fines and/or denial of certain export privileges. These export and import controls and economic sanctions could also adversely affect our supply chain.</w:t>
      </w:r>
    </w:p>
    <w:p>
      <w:pPr>
        <w:spacing w:after="0" w:line="266" w:lineRule="exact"/>
        <w:rPr>
          <w:sz w:val="20"/>
          <w:szCs w:val="20"/>
          <w:color w:val="auto"/>
        </w:rPr>
      </w:pPr>
    </w:p>
    <w:p>
      <w:pPr>
        <w:ind w:left="420" w:right="360"/>
        <w:spacing w:after="0" w:line="280" w:lineRule="auto"/>
        <w:rPr>
          <w:sz w:val="20"/>
          <w:szCs w:val="20"/>
          <w:color w:val="auto"/>
        </w:rPr>
      </w:pPr>
      <w:r>
        <w:rPr>
          <w:rFonts w:ascii="Arial" w:cs="Arial" w:eastAsia="Arial" w:hAnsi="Arial"/>
          <w:sz w:val="17"/>
          <w:szCs w:val="17"/>
          <w:b w:val="1"/>
          <w:bCs w:val="1"/>
          <w:i w:val="1"/>
          <w:iCs w:val="1"/>
          <w:color w:val="auto"/>
        </w:rPr>
        <w:t>We and any of our third-party manufacturers or suppliers may use potent chemical agents and hazardous materials, and any claims relating to improper handling, storage, or disposal of these materials could be time-consuming or costly.</w:t>
      </w:r>
    </w:p>
    <w:p>
      <w:pPr>
        <w:spacing w:after="0" w:line="29" w:lineRule="exact"/>
        <w:rPr>
          <w:sz w:val="20"/>
          <w:szCs w:val="20"/>
          <w:color w:val="auto"/>
        </w:rPr>
      </w:pPr>
    </w:p>
    <w:p>
      <w:pPr>
        <w:ind w:left="420" w:firstLine="521"/>
        <w:spacing w:after="0" w:line="238" w:lineRule="auto"/>
        <w:rPr>
          <w:sz w:val="20"/>
          <w:szCs w:val="20"/>
          <w:color w:val="auto"/>
        </w:rPr>
      </w:pPr>
      <w:r>
        <w:rPr>
          <w:rFonts w:ascii="Arial" w:cs="Arial" w:eastAsia="Arial" w:hAnsi="Arial"/>
          <w:sz w:val="17"/>
          <w:szCs w:val="17"/>
          <w:color w:val="auto"/>
        </w:rPr>
        <w:t>We and any of our third-party manufacturers or suppliers and current or potential future collaborators may use biological materials, potent chemical agents, and hazardous materials, including chemicals and biological agents and compounds that could be dangerous to human health and safety of the environment. Our operations and the operations of our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neither we or our third-party manufacturers and suppliers can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In the event of contamination or injury at our or our manufacturers’ or suppliers’ sites, we could be held liable for damages or be penalized with fines in an amount exceeding our resources, and our clinical trials or regulatory approvals could be suspended. Although we maintain workers’ compensation insurance for certain costs and expenses we may incur due to injuries to our employees resulting from work-related injuries, this insurance may not provide adequate coverage against potential liabilities. We do not maintain insurance for toxic tort claims that may be asserted against us in connection with the storage or disposal of biologic, hazardous, or radioactive materials.</w:t>
      </w:r>
    </w:p>
    <w:p>
      <w:pPr>
        <w:spacing w:after="0" w:line="148" w:lineRule="exact"/>
        <w:rPr>
          <w:sz w:val="20"/>
          <w:szCs w:val="20"/>
          <w:color w:val="auto"/>
        </w:rPr>
      </w:pPr>
    </w:p>
    <w:p>
      <w:pPr>
        <w:ind w:left="420" w:right="320" w:firstLine="521"/>
        <w:spacing w:after="0" w:line="244"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27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Business disruptions could seriously harm our future revenue and financial condition and increase our costs and expenses.</w:t>
      </w:r>
    </w:p>
    <w:p>
      <w:pPr>
        <w:spacing w:after="0" w:line="98" w:lineRule="exact"/>
        <w:rPr>
          <w:sz w:val="20"/>
          <w:szCs w:val="20"/>
          <w:color w:val="auto"/>
        </w:rPr>
      </w:pPr>
    </w:p>
    <w:p>
      <w:pPr>
        <w:ind w:left="420" w:right="20" w:firstLine="521"/>
        <w:spacing w:after="0" w:line="239" w:lineRule="auto"/>
        <w:rPr>
          <w:sz w:val="20"/>
          <w:szCs w:val="20"/>
          <w:color w:val="auto"/>
        </w:rPr>
      </w:pPr>
      <w:r>
        <w:rPr>
          <w:rFonts w:ascii="Arial" w:cs="Arial" w:eastAsia="Arial" w:hAnsi="Arial"/>
          <w:sz w:val="17"/>
          <w:szCs w:val="17"/>
          <w:color w:val="auto"/>
        </w:rPr>
        <w:t>Our operations and the operations of our suppliers, CROs, CMOs, and clinical sites could be subject to earthquakes, power shortages, telecommunications or infrastructure failures, cybersecurity incidents, physical security breaches, water shortages, floods, hurricanes, typhoons, blizzards and other extreme weather conditions, fires, public health pandemics or epidemics (including, for example, the COVID-19 pandemic), and other natural or manmade disasters or business interruptions, for which we are predominantly self-insured. We rely on third-party manufacturers or suppliers to produce our ecDTx and its components and on CROs and clinical sites to conduct our clinical trials, and do not have a redundant source of supply for all components of our ecDTx. Our ability to obtain clinical or, if approved, commercial, supplies of our ecDTx could be disrupted if the operations of these suppliers were affected by a man-made or natural disaster or other business interruption, and our ability to commence, conduct or complete our clinical trials in a timely manner could be similarly adversely affected by any of the foregoing. In addition, our corporate headquarters is located in San Diego, California near major earthquake faults and fire zones, and the ultimate impact on us of being located</w:t>
      </w:r>
    </w:p>
    <w:p>
      <w:pPr>
        <w:spacing w:after="0" w:line="11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0840"/>
          </w:cols>
          <w:pgMar w:left="320" w:top="439" w:right="7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160"/>
        <w:spacing w:after="0" w:line="270" w:lineRule="auto"/>
        <w:rPr>
          <w:sz w:val="20"/>
          <w:szCs w:val="20"/>
          <w:color w:val="auto"/>
        </w:rPr>
      </w:pPr>
      <w:r>
        <w:rPr>
          <w:rFonts w:ascii="Arial" w:cs="Arial" w:eastAsia="Arial" w:hAnsi="Arial"/>
          <w:sz w:val="17"/>
          <w:szCs w:val="17"/>
          <w:color w:val="auto"/>
        </w:rPr>
        <w:t>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250" w:lineRule="exact"/>
        <w:rPr>
          <w:sz w:val="20"/>
          <w:szCs w:val="20"/>
          <w:color w:val="auto"/>
        </w:rPr>
      </w:pPr>
    </w:p>
    <w:p>
      <w:pPr>
        <w:ind w:left="420" w:right="520"/>
        <w:spacing w:after="0" w:line="280" w:lineRule="auto"/>
        <w:rPr>
          <w:sz w:val="20"/>
          <w:szCs w:val="20"/>
          <w:color w:val="auto"/>
        </w:rPr>
      </w:pPr>
      <w:r>
        <w:rPr>
          <w:rFonts w:ascii="Arial" w:cs="Arial" w:eastAsia="Arial" w:hAnsi="Arial"/>
          <w:sz w:val="17"/>
          <w:szCs w:val="17"/>
          <w:b w:val="1"/>
          <w:bCs w:val="1"/>
          <w:i w:val="1"/>
          <w:iCs w:val="1"/>
          <w:color w:val="auto"/>
        </w:rPr>
        <w:t>Unstable market and economic conditions and adverse developments with respect to financial institutions and associated liquidity risk may have serious adverse consequences on our business, financial condition, and stock price.</w:t>
      </w:r>
    </w:p>
    <w:p>
      <w:pPr>
        <w:spacing w:after="0" w:line="29" w:lineRule="exact"/>
        <w:rPr>
          <w:sz w:val="20"/>
          <w:szCs w:val="20"/>
          <w:color w:val="auto"/>
        </w:rPr>
      </w:pPr>
    </w:p>
    <w:p>
      <w:pPr>
        <w:ind w:left="420" w:firstLine="521"/>
        <w:spacing w:after="0" w:line="237" w:lineRule="auto"/>
        <w:rPr>
          <w:sz w:val="20"/>
          <w:szCs w:val="20"/>
          <w:color w:val="auto"/>
        </w:rPr>
      </w:pPr>
      <w:r>
        <w:rPr>
          <w:rFonts w:ascii="Arial" w:cs="Arial" w:eastAsia="Arial" w:hAnsi="Arial"/>
          <w:sz w:val="17"/>
          <w:szCs w:val="17"/>
          <w:color w:val="auto"/>
        </w:rPr>
        <w:t>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current or anticipated impact of military conflict, including the conflict between Russia and Ukraine and Israel and Hamas, terrorism, or other geopolitical events. Sanctions imposed by the United States and other countries in response to such conflicts, including the one in Ukraine, may also adversely impact the financial markets and the global economy, and any economic countermeasures by the affected countries or others could exacerbate market and economic instability. In addition, in 2023 the closures of financial institutions and their placement into receivership with the FDIC created bank-specific and broader financial institution liquidity risk and concerns.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 Our general business strategy may be adversely affected by any such economic downturn, liquidity shortages, volatile business environment or continued unpredictable and unstable market conditions. If the equity and credit markets deteriorate, or if adverse developments are experienced by financial institutions, it may cause short-term liquidity risk and also make any necessary debt or equity financing more difficult, more costly, more onerous with respect to financial and operating covenants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financial institutions, manufacturers, and other partners may be adversely affected by the foregoing risks, which could directly affect our ability to attain our operating goals on schedule and on budget.</w:t>
      </w:r>
    </w:p>
    <w:p>
      <w:pPr>
        <w:spacing w:after="0" w:line="280" w:lineRule="exact"/>
        <w:rPr>
          <w:sz w:val="20"/>
          <w:szCs w:val="20"/>
          <w:color w:val="auto"/>
        </w:rPr>
      </w:pPr>
    </w:p>
    <w:p>
      <w:pPr>
        <w:ind w:left="420" w:right="300"/>
        <w:spacing w:after="0" w:line="280" w:lineRule="auto"/>
        <w:rPr>
          <w:sz w:val="20"/>
          <w:szCs w:val="20"/>
          <w:color w:val="auto"/>
        </w:rPr>
      </w:pPr>
      <w:r>
        <w:rPr>
          <w:rFonts w:ascii="Arial" w:cs="Arial" w:eastAsia="Arial" w:hAnsi="Arial"/>
          <w:sz w:val="17"/>
          <w:szCs w:val="17"/>
          <w:b w:val="1"/>
          <w:bCs w:val="1"/>
          <w:i w:val="1"/>
          <w:iCs w:val="1"/>
          <w:color w:val="auto"/>
        </w:rPr>
        <w:t>Changes in tax law may materially adversely affect our financial condition, results of operations and cash flows, or adversely impact the value of an investment in our common stock.</w:t>
      </w:r>
    </w:p>
    <w:p>
      <w:pPr>
        <w:spacing w:after="0" w:line="29" w:lineRule="exact"/>
        <w:rPr>
          <w:sz w:val="20"/>
          <w:szCs w:val="20"/>
          <w:color w:val="auto"/>
        </w:rPr>
      </w:pPr>
    </w:p>
    <w:p>
      <w:pPr>
        <w:ind w:left="420" w:right="200" w:firstLine="521"/>
        <w:spacing w:after="0" w:line="270" w:lineRule="auto"/>
        <w:rPr>
          <w:sz w:val="20"/>
          <w:szCs w:val="20"/>
          <w:color w:val="auto"/>
        </w:rPr>
      </w:pPr>
      <w:r>
        <w:rPr>
          <w:rFonts w:ascii="Arial" w:cs="Arial" w:eastAsia="Arial" w:hAnsi="Arial"/>
          <w:sz w:val="17"/>
          <w:szCs w:val="17"/>
          <w:color w:val="auto"/>
        </w:rPr>
        <w:t>New income, sales, use or other tax laws, statutes, rules, regulations, or ordinances could be enacted at any time, or interpreted, changed, modified, or applied adversely to us, any of which could adversely affect our business operations and financial performance.</w:t>
      </w:r>
    </w:p>
    <w:p>
      <w:pPr>
        <w:spacing w:after="0" w:line="250" w:lineRule="exact"/>
        <w:rPr>
          <w:sz w:val="20"/>
          <w:szCs w:val="20"/>
          <w:color w:val="auto"/>
        </w:rPr>
      </w:pPr>
    </w:p>
    <w:p>
      <w:pPr>
        <w:ind w:left="420" w:right="640"/>
        <w:spacing w:after="0" w:line="280"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29" w:lineRule="exact"/>
        <w:rPr>
          <w:sz w:val="20"/>
          <w:szCs w:val="20"/>
          <w:color w:val="auto"/>
        </w:rPr>
      </w:pPr>
    </w:p>
    <w:p>
      <w:pPr>
        <w:ind w:left="420" w:right="20" w:firstLine="521"/>
        <w:spacing w:after="0" w:line="242" w:lineRule="auto"/>
        <w:rPr>
          <w:sz w:val="20"/>
          <w:szCs w:val="20"/>
          <w:color w:val="auto"/>
        </w:rPr>
      </w:pPr>
      <w:r>
        <w:rPr>
          <w:rFonts w:ascii="Arial" w:cs="Arial" w:eastAsia="Arial" w:hAnsi="Arial"/>
          <w:sz w:val="17"/>
          <w:szCs w:val="17"/>
          <w:color w:val="auto"/>
        </w:rPr>
        <w:t>The trading market for our common stock will depend in part on the research and reports that securities or industry analysts publish about us, our business, our market, or our competitors. We do not currently have and may never obtain research coverage by securities and industry analysts. If no securities or industry analysts commence coverage of our company, the trading price for our stock would be negatively impacted. In the event we obtain securities or industry analyst coverage, if one or more of the analysts who covers us downgrades our stock, or if we fail to meet the expectations of one or more of these analysts, our stock price would likely decline. If one or more of these analysts ceases</w:t>
      </w:r>
    </w:p>
    <w:p>
      <w:pPr>
        <w:spacing w:after="0" w:line="10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0820"/>
          </w:cols>
          <w:pgMar w:left="320" w:top="439" w:right="7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both"/>
        <w:ind w:left="420" w:right="260"/>
        <w:spacing w:after="0" w:line="270" w:lineRule="auto"/>
        <w:rPr>
          <w:sz w:val="20"/>
          <w:szCs w:val="20"/>
          <w:color w:val="auto"/>
        </w:rPr>
      </w:pPr>
      <w:r>
        <w:rPr>
          <w:rFonts w:ascii="Arial" w:cs="Arial" w:eastAsia="Arial" w:hAnsi="Arial"/>
          <w:sz w:val="17"/>
          <w:szCs w:val="17"/>
          <w:color w:val="auto"/>
        </w:rPr>
        <w:t>to cover us or fails to regularly publish reports on us, interest in our stock could decrease, which could cause our stock price or trading volume to decline.</w:t>
      </w:r>
    </w:p>
    <w:p>
      <w:pPr>
        <w:spacing w:after="0" w:line="250" w:lineRule="exact"/>
        <w:rPr>
          <w:sz w:val="20"/>
          <w:szCs w:val="20"/>
          <w:color w:val="auto"/>
        </w:rPr>
      </w:pPr>
    </w:p>
    <w:p>
      <w:pPr>
        <w:jc w:val="both"/>
        <w:ind w:left="420" w:right="280"/>
        <w:spacing w:after="0" w:line="257" w:lineRule="auto"/>
        <w:rPr>
          <w:sz w:val="20"/>
          <w:szCs w:val="20"/>
          <w:color w:val="auto"/>
        </w:rPr>
      </w:pPr>
      <w:r>
        <w:rPr>
          <w:rFonts w:ascii="Arial" w:cs="Arial" w:eastAsia="Arial" w:hAnsi="Arial"/>
          <w:sz w:val="17"/>
          <w:szCs w:val="17"/>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49" w:lineRule="exact"/>
        <w:rPr>
          <w:sz w:val="20"/>
          <w:szCs w:val="20"/>
          <w:color w:val="auto"/>
        </w:rPr>
      </w:pPr>
    </w:p>
    <w:p>
      <w:pPr>
        <w:ind w:left="420" w:right="40" w:firstLine="521"/>
        <w:spacing w:after="0" w:line="239" w:lineRule="auto"/>
        <w:rPr>
          <w:sz w:val="20"/>
          <w:szCs w:val="20"/>
          <w:color w:val="auto"/>
        </w:rPr>
      </w:pPr>
      <w:r>
        <w:rPr>
          <w:rFonts w:ascii="Arial" w:cs="Arial" w:eastAsia="Arial" w:hAnsi="Arial"/>
          <w:sz w:val="17"/>
          <w:szCs w:val="17"/>
          <w:color w:val="auto"/>
        </w:rPr>
        <w:t>Pursuant to Section 404 of Sarbanes-Oxley, our management will be required to report upon the effectiveness of our internal control over financial reporting beginning with the second annual report following our IPO. When we lose our status as an “emerging growth company” and do not otherwise qualify as a “smaller reporting company” with less than $100.0 million in annual revenue, our independent registered public accounting firm will be required to attest to the effectiveness of our internal control over financial reporting. The rules governing the standards that must be met for our management to assess our internal control over financial reporting are complex and require significant documentation, testing and possible remediation. To comply with the requirements of being a reporting company under the Exchange Act, we may need to upgrade our information technology systems;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common stock may decline.</w:t>
      </w:r>
    </w:p>
    <w:p>
      <w:pPr>
        <w:spacing w:after="0" w:line="149" w:lineRule="exact"/>
        <w:rPr>
          <w:sz w:val="20"/>
          <w:szCs w:val="20"/>
          <w:color w:val="auto"/>
        </w:rPr>
      </w:pPr>
    </w:p>
    <w:p>
      <w:pPr>
        <w:ind w:left="420" w:right="80" w:firstLine="521"/>
        <w:spacing w:after="0" w:line="239" w:lineRule="auto"/>
        <w:rPr>
          <w:sz w:val="20"/>
          <w:szCs w:val="20"/>
          <w:color w:val="auto"/>
        </w:rPr>
      </w:pPr>
      <w:r>
        <w:rPr>
          <w:rFonts w:ascii="Arial" w:cs="Arial" w:eastAsia="Arial" w:hAnsi="Arial"/>
          <w:sz w:val="17"/>
          <w:szCs w:val="17"/>
          <w:color w:val="auto"/>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We could be subject to securities class action litigation.</w:t>
      </w:r>
    </w:p>
    <w:p>
      <w:pPr>
        <w:spacing w:after="0" w:line="98" w:lineRule="exact"/>
        <w:rPr>
          <w:sz w:val="20"/>
          <w:szCs w:val="20"/>
          <w:color w:val="auto"/>
        </w:rPr>
      </w:pPr>
    </w:p>
    <w:p>
      <w:pPr>
        <w:ind w:left="420" w:firstLine="521"/>
        <w:spacing w:after="0" w:line="247"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If we face such litigation, even if ultimately decided in our favor, it could result in substantial costs and a diversion of our management’s attention and resources, which could harm our business.</w:t>
      </w:r>
    </w:p>
    <w:p>
      <w:pPr>
        <w:spacing w:after="0" w:line="10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0760"/>
          </w:cols>
          <w:pgMar w:left="320" w:top="439" w:right="8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175" w:lineRule="exact"/>
        <w:rPr>
          <w:sz w:val="20"/>
          <w:szCs w:val="20"/>
          <w:color w:val="auto"/>
        </w:rPr>
      </w:pPr>
    </w:p>
    <w:p>
      <w:pPr>
        <w:ind w:left="420" w:firstLine="521"/>
        <w:spacing w:after="0" w:line="239" w:lineRule="auto"/>
        <w:rPr>
          <w:sz w:val="20"/>
          <w:szCs w:val="20"/>
          <w:color w:val="auto"/>
        </w:rPr>
      </w:pPr>
      <w:r>
        <w:rPr>
          <w:rFonts w:ascii="Arial" w:cs="Arial" w:eastAsia="Arial" w:hAnsi="Arial"/>
          <w:sz w:val="17"/>
          <w:szCs w:val="17"/>
          <w:color w:val="auto"/>
        </w:rPr>
        <w:t>This prospectus contains forward-looking statements about us and our industry. All statements other than statements of historical facts contained in this prospectus, including statements regarding our future results of operations and financial position, business strategy, research and development plans, the anticipated timing, costs, design, and conduct of our ongoing and planned clinical trials and preclinical studies for our ecDTx, ecDNA diagnostic candidate, and other development programs, the timing and likelihood of regulatory filings and approvals for our ecDTx, our ability to commercialize our ecDTx, if approved, the pricing and reimbursement of our ecDTx, if approved, the potential to develop future ecDTx, the potential benefits of strategic collaborations and our intent to enter into any strategic arrangements, the timing and likelihood of success, plans, and objectives of management for future operations, and future results of anticipated ecDTx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36" w:lineRule="exact"/>
        <w:rPr>
          <w:sz w:val="20"/>
          <w:szCs w:val="20"/>
          <w:color w:val="auto"/>
        </w:rPr>
      </w:pPr>
    </w:p>
    <w:p>
      <w:pPr>
        <w:ind w:left="420" w:right="60" w:firstLine="521"/>
        <w:spacing w:after="0" w:line="237" w:lineRule="auto"/>
        <w:rPr>
          <w:sz w:val="20"/>
          <w:szCs w:val="20"/>
          <w:color w:val="auto"/>
        </w:rPr>
      </w:pPr>
      <w:r>
        <w:rPr>
          <w:rFonts w:ascii="Arial" w:cs="Arial" w:eastAsia="Arial" w:hAnsi="Arial"/>
          <w:sz w:val="17"/>
          <w:szCs w:val="17"/>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and other trends that we believe may affect our business, financial condition, and results of operations. These forward-looking statements speak only as of the date of this prospectus and are subject to a number of risks, uncertainties, and assumptions described in the sections titled “Risk Factors” and “Management’s Discussion and Analysis of Financial Condition and Results of Operations”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undertake no obligation to publicly update or revise any forward-looking statements contained herein, whether as a result of any new information, future events, changed circumstances, or otherwise. You should, however, review the factors and risks we describe in the reports we will file from time to time with the SEC after the date of this prospectus. See the section titled “Where You Can Find More Information.”</w:t>
      </w:r>
    </w:p>
    <w:p>
      <w:pPr>
        <w:spacing w:after="0" w:line="144" w:lineRule="exact"/>
        <w:rPr>
          <w:sz w:val="20"/>
          <w:szCs w:val="20"/>
          <w:color w:val="auto"/>
        </w:rPr>
      </w:pPr>
    </w:p>
    <w:p>
      <w:pPr>
        <w:ind w:left="420" w:right="160" w:firstLine="521"/>
        <w:spacing w:after="0" w:line="244" w:lineRule="auto"/>
        <w:rPr>
          <w:sz w:val="20"/>
          <w:szCs w:val="20"/>
          <w:color w:val="auto"/>
        </w:rPr>
      </w:pPr>
      <w:r>
        <w:rPr>
          <w:rFonts w:ascii="Arial" w:cs="Arial" w:eastAsia="Arial" w:hAnsi="Arial"/>
          <w:sz w:val="17"/>
          <w:szCs w:val="17"/>
          <w:color w:val="auto"/>
        </w:rPr>
        <w:t>In addition, statements that “we believe” and similarly qualified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rely unduly upon them.</w:t>
      </w:r>
    </w:p>
    <w:p>
      <w:pPr>
        <w:spacing w:after="0" w:line="105"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0820"/>
          </w:cols>
          <w:pgMar w:left="320" w:top="439" w:right="7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MARKET AND INDUSTRY DATA</w:t>
      </w:r>
    </w:p>
    <w:p>
      <w:pPr>
        <w:spacing w:after="0" w:line="201" w:lineRule="exact"/>
        <w:rPr>
          <w:sz w:val="20"/>
          <w:szCs w:val="20"/>
          <w:color w:val="auto"/>
        </w:rPr>
      </w:pPr>
    </w:p>
    <w:p>
      <w:pPr>
        <w:ind w:left="420" w:firstLine="521"/>
        <w:spacing w:after="0" w:line="239" w:lineRule="auto"/>
        <w:rPr>
          <w:sz w:val="20"/>
          <w:szCs w:val="20"/>
          <w:color w:val="auto"/>
        </w:rPr>
      </w:pPr>
      <w:r>
        <w:rPr>
          <w:rFonts w:ascii="Arial" w:cs="Arial" w:eastAsia="Arial" w:hAnsi="Arial"/>
          <w:sz w:val="17"/>
          <w:szCs w:val="17"/>
          <w:color w:val="auto"/>
        </w:rPr>
        <w:t>We obtained the industry, market, and competitive position data used throughout this prospectus from our own internal estimates and research, as well as from independent market research, industry, and general publications and surveys, governmental agencies, and publicly available information in addition to research, surveys, and studies conducted by third parties. The content of these third-party sources, except to the extent specifically set forth in this prospectus, does not constitute a portion of this prospectus and is not incorporated herein.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49" w:lineRule="exact"/>
        <w:rPr>
          <w:sz w:val="20"/>
          <w:szCs w:val="20"/>
          <w:color w:val="auto"/>
        </w:rPr>
      </w:pPr>
    </w:p>
    <w:p>
      <w:pPr>
        <w:ind w:left="420" w:right="40" w:firstLine="521"/>
        <w:spacing w:after="0" w:line="244" w:lineRule="auto"/>
        <w:rPr>
          <w:sz w:val="20"/>
          <w:szCs w:val="20"/>
          <w:color w:val="auto"/>
        </w:rPr>
      </w:pPr>
      <w:r>
        <w:rPr>
          <w:rFonts w:ascii="Arial" w:cs="Arial" w:eastAsia="Arial" w:hAnsi="Arial"/>
          <w:sz w:val="17"/>
          <w:szCs w:val="17"/>
          <w:color w:val="auto"/>
        </w:rPr>
        <w:t>In addition, while we are responsible for all of the disclosure contained in this prospectus and we believe the industry, market, and competitive position data included in this prospectus is reliable and based on reasonable assumptions, such data involve risks and uncertainties and are subject to change based on various factors, including those discussed in the sections titled “Risk Factors” and “Special Note Regarding Forward-Looking Statements.” These and other factors could cause results to differ materially from those expressed in the estimates made by the independent parties or by us.</w:t>
      </w:r>
    </w:p>
    <w:p>
      <w:pPr>
        <w:spacing w:after="0" w:line="105"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0720"/>
          </w:cols>
          <w:pgMar w:left="320" w:top="439" w:right="8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USE OF PROCEEDS</w:t>
      </w:r>
    </w:p>
    <w:p>
      <w:pPr>
        <w:spacing w:after="0" w:line="201" w:lineRule="exact"/>
        <w:rPr>
          <w:sz w:val="20"/>
          <w:szCs w:val="20"/>
          <w:color w:val="auto"/>
        </w:rPr>
      </w:pPr>
    </w:p>
    <w:p>
      <w:pPr>
        <w:ind w:left="420" w:right="60" w:firstLine="521"/>
        <w:spacing w:after="0" w:line="247" w:lineRule="auto"/>
        <w:rPr>
          <w:sz w:val="20"/>
          <w:szCs w:val="20"/>
          <w:color w:val="auto"/>
        </w:rPr>
      </w:pPr>
      <w:r>
        <w:rPr>
          <w:rFonts w:ascii="Arial" w:cs="Arial" w:eastAsia="Arial" w:hAnsi="Arial"/>
          <w:sz w:val="17"/>
          <w:szCs w:val="17"/>
          <w:color w:val="auto"/>
        </w:rPr>
        <w:t>We estimate that the net proceeds to us from this offering will be approximately $88.4 million (or approximately $102.3 million if the underwriters exercise their option to purchase additional shares in full), based on the assumed initial public offering price of $16.00 per share, which is the midpoint of the price range set forth on the cover page of this prospectus, and after deducting the estimated underwriting discounts and commissions and estimated offering expenses payable by us.</w:t>
      </w:r>
    </w:p>
    <w:p>
      <w:pPr>
        <w:spacing w:after="0" w:line="141" w:lineRule="exact"/>
        <w:rPr>
          <w:sz w:val="20"/>
          <w:szCs w:val="20"/>
          <w:color w:val="auto"/>
        </w:rPr>
      </w:pPr>
    </w:p>
    <w:p>
      <w:pPr>
        <w:ind w:left="420" w:right="60" w:firstLine="521"/>
        <w:spacing w:after="0" w:line="239" w:lineRule="auto"/>
        <w:rPr>
          <w:sz w:val="20"/>
          <w:szCs w:val="20"/>
          <w:color w:val="auto"/>
        </w:rPr>
      </w:pPr>
      <w:r>
        <w:rPr>
          <w:rFonts w:ascii="Arial" w:cs="Arial" w:eastAsia="Arial" w:hAnsi="Arial"/>
          <w:sz w:val="17"/>
          <w:szCs w:val="17"/>
          <w:color w:val="auto"/>
        </w:rPr>
        <w:t>Each $1.00 increase or decrease in the assumed initial public offering price of $16.00 per share, which is the midpoint of the estimated price range set forth on the cover page of this prospectus, would increase or decrease, as applicable, the net proceeds to us from this offering by approximately $5.8 million, assuming the number of shares offered by us, as set forth on the cover page of this prospectus, remains the same and after deducting the estimated underwriting discounts and commissions and estimated offering expenses payable by us. Each increase or decrease of 1.0 million shares in the number of shares of common stock offered by us would increase or decrease, as applicable, the net proceeds to us from this offering, after deducting the estimated underwriting discounts and commissions and estimated offering expenses payable by us, by approximately $ 14.9 million, assuming the assumed initial public offering price stays the same. The information discussed above is illustrative only and will adjust based on the actual initial public offering price and other terms of this offering determined at pricing.</w:t>
      </w:r>
    </w:p>
    <w:p>
      <w:pPr>
        <w:spacing w:after="0" w:line="139" w:lineRule="exact"/>
        <w:rPr>
          <w:sz w:val="20"/>
          <w:szCs w:val="20"/>
          <w:color w:val="auto"/>
        </w:rPr>
      </w:pPr>
    </w:p>
    <w:p>
      <w:pPr>
        <w:ind w:left="420" w:right="300" w:firstLine="521"/>
        <w:spacing w:after="0" w:line="252" w:lineRule="auto"/>
        <w:rPr>
          <w:sz w:val="20"/>
          <w:szCs w:val="20"/>
          <w:color w:val="auto"/>
        </w:rPr>
      </w:pPr>
      <w:r>
        <w:rPr>
          <w:rFonts w:ascii="Arial" w:cs="Arial" w:eastAsia="Arial" w:hAnsi="Arial"/>
          <w:sz w:val="17"/>
          <w:szCs w:val="17"/>
          <w:color w:val="auto"/>
        </w:rPr>
        <w:t>The principal purposes of this offering are to obtain additional capital to support our operations, to create a public market for our common stock, and to facilitate our future access to the public equity markets. We currently intend to use the net proceeds from this offering, together with our existing cash, cash equivalents, and short-term investments, as follows:</w:t>
      </w:r>
    </w:p>
    <w:p>
      <w:pPr>
        <w:spacing w:after="0" w:line="164" w:lineRule="exact"/>
        <w:rPr>
          <w:sz w:val="20"/>
          <w:szCs w:val="20"/>
          <w:color w:val="auto"/>
        </w:rPr>
      </w:pPr>
    </w:p>
    <w:p>
      <w:pPr>
        <w:ind w:left="1660" w:right="280" w:hanging="418"/>
        <w:spacing w:after="0" w:line="270" w:lineRule="auto"/>
        <w:tabs>
          <w:tab w:leader="none" w:pos="1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approximately $22.0 million to fund the development of BBI-355, including through preliminary clinical proof of concept safety and antitumor activity data of BBI-355 from the POTENTIATE trial;</w:t>
      </w:r>
    </w:p>
    <w:p>
      <w:pPr>
        <w:spacing w:after="0" w:line="147" w:lineRule="exact"/>
        <w:rPr>
          <w:rFonts w:ascii="Arial" w:cs="Arial" w:eastAsia="Arial" w:hAnsi="Arial"/>
          <w:sz w:val="17"/>
          <w:szCs w:val="17"/>
          <w:color w:val="auto"/>
        </w:rPr>
      </w:pPr>
    </w:p>
    <w:p>
      <w:pPr>
        <w:ind w:left="1660" w:right="280" w:hanging="418"/>
        <w:spacing w:after="0" w:line="270" w:lineRule="auto"/>
        <w:tabs>
          <w:tab w:leader="none" w:pos="1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approximately $29.0 million to fund the development of BBI-825, including through preliminary clinical proof of concept safety and antitumor activity data of BBI-825 from the STARMAP trial;</w:t>
      </w:r>
    </w:p>
    <w:p>
      <w:pPr>
        <w:spacing w:after="0" w:line="147" w:lineRule="exact"/>
        <w:rPr>
          <w:rFonts w:ascii="Arial" w:cs="Arial" w:eastAsia="Arial" w:hAnsi="Arial"/>
          <w:sz w:val="17"/>
          <w:szCs w:val="17"/>
          <w:color w:val="auto"/>
        </w:rPr>
      </w:pPr>
    </w:p>
    <w:p>
      <w:pPr>
        <w:ind w:left="1660" w:right="600" w:hanging="418"/>
        <w:spacing w:after="0" w:line="302" w:lineRule="auto"/>
        <w:tabs>
          <w:tab w:leader="none" w:pos="1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approximately $24.0 million to fund research and development of our other ecDTx development programs, ecDNA diagnostic, and Spyglass platform, including through submission of an IND for our third ecDTx program; and</w:t>
      </w:r>
    </w:p>
    <w:p>
      <w:pPr>
        <w:spacing w:after="0" w:line="124" w:lineRule="exact"/>
        <w:rPr>
          <w:rFonts w:ascii="Arial" w:cs="Arial" w:eastAsia="Arial" w:hAnsi="Arial"/>
          <w:sz w:val="16"/>
          <w:szCs w:val="16"/>
          <w:color w:val="auto"/>
        </w:rPr>
      </w:pPr>
    </w:p>
    <w:p>
      <w:pPr>
        <w:ind w:left="1660" w:hanging="418"/>
        <w:spacing w:after="0"/>
        <w:tabs>
          <w:tab w:leader="none" w:pos="1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remainder, if any, for working capital and other general corporate purposes.</w:t>
      </w:r>
    </w:p>
    <w:p>
      <w:pPr>
        <w:spacing w:after="0" w:line="162" w:lineRule="exact"/>
        <w:rPr>
          <w:sz w:val="20"/>
          <w:szCs w:val="20"/>
          <w:color w:val="auto"/>
        </w:rPr>
      </w:pPr>
    </w:p>
    <w:p>
      <w:pPr>
        <w:ind w:left="420" w:right="60" w:firstLine="521"/>
        <w:spacing w:after="0" w:line="252" w:lineRule="auto"/>
        <w:rPr>
          <w:sz w:val="20"/>
          <w:szCs w:val="20"/>
          <w:color w:val="auto"/>
        </w:rPr>
      </w:pPr>
      <w:r>
        <w:rPr>
          <w:rFonts w:ascii="Arial" w:cs="Arial" w:eastAsia="Arial" w:hAnsi="Arial"/>
          <w:sz w:val="17"/>
          <w:szCs w:val="17"/>
          <w:color w:val="auto"/>
        </w:rPr>
        <w:t>We may also use a portion of the remaining net proceeds and our existing cash, cash equivalents, and short-term investments to in-license, acquire, or invest in complementary businesses, technologies, products, or assets. However, we have no current commitments or obligations to do so.</w:t>
      </w:r>
    </w:p>
    <w:p>
      <w:pPr>
        <w:spacing w:after="0" w:line="138" w:lineRule="exact"/>
        <w:rPr>
          <w:sz w:val="20"/>
          <w:szCs w:val="20"/>
          <w:color w:val="auto"/>
        </w:rPr>
      </w:pPr>
    </w:p>
    <w:p>
      <w:pPr>
        <w:ind w:left="420" w:firstLine="521"/>
        <w:spacing w:after="0" w:line="241" w:lineRule="auto"/>
        <w:rPr>
          <w:sz w:val="20"/>
          <w:szCs w:val="20"/>
          <w:color w:val="auto"/>
        </w:rPr>
      </w:pPr>
      <w:r>
        <w:rPr>
          <w:rFonts w:ascii="Arial" w:cs="Arial" w:eastAsia="Arial" w:hAnsi="Arial"/>
          <w:sz w:val="17"/>
          <w:szCs w:val="17"/>
          <w:color w:val="auto"/>
        </w:rPr>
        <w:t>Based on our current operating plans, we believe that the estimated net proceeds from this offering, together with our existing cash, cash equivalents, and short-term investments, will be sufficient to fund our operations into the second half of 2026. We have based these estimates on assumptions that may prove to be wrong, and we could use our capital resources sooner than we currently expect. Additionally, our expected use of existing cash, cash equivalents, and short-term investments and our net proceeds from this offering represent our intentions based upon our current plans and business conditions, which could change in the future as our plans and business conditions evolve. The amounts and timing of our actual expenditures may vary significantly depending on numerous factors, including the progress and costs of our development activities, the status of and</w:t>
      </w:r>
    </w:p>
    <w:p>
      <w:pPr>
        <w:spacing w:after="0" w:line="10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0820"/>
          </w:cols>
          <w:pgMar w:left="320" w:top="439" w:right="7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60"/>
        <w:spacing w:after="0" w:line="239" w:lineRule="auto"/>
        <w:rPr>
          <w:sz w:val="20"/>
          <w:szCs w:val="20"/>
          <w:color w:val="auto"/>
        </w:rPr>
      </w:pPr>
      <w:r>
        <w:rPr>
          <w:rFonts w:ascii="Arial" w:cs="Arial" w:eastAsia="Arial" w:hAnsi="Arial"/>
          <w:sz w:val="17"/>
          <w:szCs w:val="17"/>
          <w:color w:val="auto"/>
        </w:rPr>
        <w:t>results from clinical trials and preclinical studies, as well as any collaborations that we may enter into with third parties for our ecDTx, and the amount of cash used in our operations and any unforeseen cash needs as well as other factors described in the sections titled “Risk Factors,” “Management’s Discussion and Analysis of Financial Condition and Results of Operations” and “Special Note Regarding Forward-Looking Statements.” The net proceeds from this offering, together with our existing cash, cash equivalents, and short-term investments, will not be sufficient to complete development of our ecDTx or ecDNA diagnostic test, and after this offering, we will require substantial capital in order to advance our current and any future ecDTx and ecDNA diagnostic tests through clinical trials, regulatory approval, and commercialization. Until such time, if ever, as we can generate substantial ecDTx revenue,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w:t>
      </w:r>
    </w:p>
    <w:p>
      <w:pPr>
        <w:spacing w:after="0" w:line="149" w:lineRule="exact"/>
        <w:rPr>
          <w:sz w:val="20"/>
          <w:szCs w:val="20"/>
          <w:color w:val="auto"/>
        </w:rPr>
      </w:pPr>
    </w:p>
    <w:p>
      <w:pPr>
        <w:ind w:left="420" w:firstLine="521"/>
        <w:spacing w:after="0" w:line="252"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and investors will be relying on the judgment of our management regarding the application of those net proceeds. The timing and amount of our actual expenditures will be based on many factors, including the anticipated growth of our business.</w:t>
      </w:r>
    </w:p>
    <w:p>
      <w:pPr>
        <w:spacing w:after="0" w:line="125" w:lineRule="exact"/>
        <w:rPr>
          <w:sz w:val="20"/>
          <w:szCs w:val="20"/>
          <w:color w:val="auto"/>
        </w:rPr>
      </w:pPr>
    </w:p>
    <w:p>
      <w:pPr>
        <w:ind w:left="420" w:right="140" w:firstLine="521"/>
        <w:spacing w:after="0" w:line="252" w:lineRule="auto"/>
        <w:rPr>
          <w:sz w:val="20"/>
          <w:szCs w:val="20"/>
          <w:color w:val="auto"/>
        </w:rPr>
      </w:pPr>
      <w:r>
        <w:rPr>
          <w:rFonts w:ascii="Arial" w:cs="Arial" w:eastAsia="Arial" w:hAnsi="Arial"/>
          <w:sz w:val="17"/>
          <w:szCs w:val="17"/>
          <w:color w:val="auto"/>
        </w:rPr>
        <w:t>Pending the uses described above, we plan to invest the net proceeds in a variety of capital preservation instruments, including short-term, interest-bearing obligations, investment-grade instruments, certificates of deposit, and direct or guaranteed obligations of the United States.</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0780"/>
          </w:cols>
          <w:pgMar w:left="320" w:top="439" w:right="7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DIVIDEND POLICY</w:t>
      </w:r>
    </w:p>
    <w:p>
      <w:pPr>
        <w:spacing w:after="0" w:line="201" w:lineRule="exact"/>
        <w:rPr>
          <w:sz w:val="20"/>
          <w:szCs w:val="20"/>
          <w:color w:val="auto"/>
        </w:rPr>
      </w:pPr>
    </w:p>
    <w:p>
      <w:pPr>
        <w:ind w:left="420" w:firstLine="521"/>
        <w:spacing w:after="0" w:line="244"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future earnings, if any, to finance the operation of our business and do not anticipate paying any cash dividends on our capital stock in the foreseeable future. Any future determination related to our dividend policy will be made at the discretion of our board of directors after considering our financial condition, results of operations, current and anticipated capital requirements, business prospects, and other factors our board of directors deems relevant, and subject to applicable laws and the restrictions contained in any future financing instruments.</w:t>
      </w:r>
    </w:p>
    <w:p>
      <w:pPr>
        <w:spacing w:after="0" w:line="105"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0720"/>
          </w:cols>
          <w:pgMar w:left="320" w:top="439" w:right="8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CAPITALIZATION</w:t>
      </w:r>
    </w:p>
    <w:p>
      <w:pPr>
        <w:spacing w:after="0" w:line="201"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The following table sets forth our cash, cash equivalents, and short-term investments and capitalization as of December 31, 2023:</w:t>
      </w:r>
    </w:p>
    <w:p>
      <w:pPr>
        <w:spacing w:after="0" w:line="201" w:lineRule="exact"/>
        <w:rPr>
          <w:sz w:val="20"/>
          <w:szCs w:val="20"/>
          <w:color w:val="auto"/>
        </w:rPr>
      </w:pPr>
    </w:p>
    <w:p>
      <w:pPr>
        <w:ind w:left="1660" w:hanging="418"/>
        <w:spacing w:after="0"/>
        <w:tabs>
          <w:tab w:leader="none" w:pos="1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200" w:lineRule="exact"/>
        <w:rPr>
          <w:rFonts w:ascii="Arial" w:cs="Arial" w:eastAsia="Arial" w:hAnsi="Arial"/>
          <w:sz w:val="17"/>
          <w:szCs w:val="17"/>
          <w:color w:val="auto"/>
        </w:rPr>
      </w:pPr>
    </w:p>
    <w:p>
      <w:pPr>
        <w:ind w:left="1660" w:right="40" w:hanging="418"/>
        <w:spacing w:after="0" w:line="247" w:lineRule="auto"/>
        <w:tabs>
          <w:tab w:leader="none" w:pos="1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on a pro forma basis to reflect (i) the automatic conversion of all outstanding shares of our convertible preferred stock into 14,740,840 shares of our common stock and the related reclassification of the carrying value of the convertible preferred stock to permanent equity immediately prior to the closing of this offering, and (ii) the filing and effectiveness of our amended and restated certificate of incorporation immediately prior to the closing of this offering; and</w:t>
      </w:r>
    </w:p>
    <w:p>
      <w:pPr>
        <w:spacing w:after="0" w:line="166" w:lineRule="exact"/>
        <w:rPr>
          <w:rFonts w:ascii="Arial" w:cs="Arial" w:eastAsia="Arial" w:hAnsi="Arial"/>
          <w:sz w:val="17"/>
          <w:szCs w:val="17"/>
          <w:color w:val="auto"/>
        </w:rPr>
      </w:pPr>
    </w:p>
    <w:p>
      <w:pPr>
        <w:ind w:left="1660" w:right="100" w:hanging="418"/>
        <w:spacing w:after="0" w:line="247" w:lineRule="auto"/>
        <w:tabs>
          <w:tab w:leader="none" w:pos="1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on a pro forma as adjusted basis to give further effect to our issuance and sale of 6,250,000 shares of our common stock in this offering at an assumed initial public offering price of $16.00 per share, which is the midpoint of the price range set forth on the cover page of this prospectus, after deducting the estimated underwriting discounts and commissions and estimated offering expenses payable by us.</w:t>
      </w:r>
    </w:p>
    <w:p>
      <w:pPr>
        <w:spacing w:after="0" w:line="166" w:lineRule="exact"/>
        <w:rPr>
          <w:sz w:val="20"/>
          <w:szCs w:val="20"/>
          <w:color w:val="auto"/>
        </w:rPr>
      </w:pPr>
    </w:p>
    <w:p>
      <w:pPr>
        <w:ind w:left="420" w:firstLine="521"/>
        <w:spacing w:after="0" w:line="244" w:lineRule="auto"/>
        <w:rPr>
          <w:sz w:val="20"/>
          <w:szCs w:val="20"/>
          <w:color w:val="auto"/>
        </w:rPr>
      </w:pPr>
      <w:r>
        <w:rPr>
          <w:rFonts w:ascii="Arial" w:cs="Arial" w:eastAsia="Arial" w:hAnsi="Arial"/>
          <w:sz w:val="17"/>
          <w:szCs w:val="17"/>
          <w:color w:val="auto"/>
        </w:rPr>
        <w:t>The pro forma and pro forma as adjusted information below is illustrative only, and our cash, cash equivalents, and short-term investments and capitalization following the closing of this offering will be adjusted based on the actual initial public offering price and other terms of this offering determined at pricing. You should read this information in conjunction with our financial statements and related notes included in this prospectus and the section titled “Management’s Discussion and Analysis of Financial Condition and Results of Operations” and other financial information contained in this prospectus.</w:t>
      </w:r>
    </w:p>
    <w:p>
      <w:pPr>
        <w:spacing w:after="0" w:line="202" w:lineRule="exact"/>
        <w:rPr>
          <w:sz w:val="20"/>
          <w:szCs w:val="20"/>
          <w:color w:val="auto"/>
        </w:rPr>
      </w:pPr>
    </w:p>
    <w:tbl>
      <w:tblPr>
        <w:tblLayout w:type="fixed"/>
        <w:tblInd w:w="42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8"/>
              </w:rPr>
              <w:t>December 31, 2023</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380" w:type="dxa"/>
            <w:vAlign w:val="bottom"/>
          </w:tcPr>
          <w:p>
            <w:pPr>
              <w:ind w:left="340"/>
              <w:spacing w:after="0"/>
              <w:rPr>
                <w:sz w:val="20"/>
                <w:szCs w:val="20"/>
                <w:color w:val="auto"/>
              </w:rPr>
            </w:pPr>
            <w:r>
              <w:rPr>
                <w:rFonts w:ascii="Arial" w:cs="Arial" w:eastAsia="Arial" w:hAnsi="Arial"/>
                <w:sz w:val="2"/>
                <w:szCs w:val="2"/>
                <w:b w:val="1"/>
                <w:bCs w:val="1"/>
                <w:color w:val="auto"/>
                <w:w w:val="97"/>
              </w:rPr>
              <w:t> </w:t>
            </w:r>
          </w:p>
        </w:tc>
        <w:tc>
          <w:tcPr>
            <w:tcW w:w="720" w:type="dxa"/>
            <w:vAlign w:val="bottom"/>
            <w:gridSpan w:val="2"/>
          </w:tcPr>
          <w:p>
            <w:pPr>
              <w:jc w:val="right"/>
              <w:ind w:right="580"/>
              <w:spacing w:after="0" w:line="133" w:lineRule="exact"/>
              <w:rPr>
                <w:sz w:val="20"/>
                <w:szCs w:val="20"/>
                <w:color w:val="auto"/>
              </w:rPr>
            </w:pPr>
            <w:r>
              <w:rPr>
                <w:rFonts w:ascii="Arial" w:cs="Arial" w:eastAsia="Arial" w:hAnsi="Arial"/>
                <w:sz w:val="14"/>
                <w:szCs w:val="14"/>
                <w:b w:val="1"/>
                <w:bCs w:val="1"/>
                <w:color w:val="auto"/>
                <w:w w:val="85"/>
              </w:rPr>
              <w:t> </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2"/>
              <w:spacing w:after="0" w:line="133" w:lineRule="exact"/>
              <w:rPr>
                <w:sz w:val="20"/>
                <w:szCs w:val="20"/>
                <w:color w:val="auto"/>
              </w:rPr>
            </w:pPr>
            <w:r>
              <w:rPr>
                <w:rFonts w:ascii="Arial" w:cs="Arial" w:eastAsia="Arial" w:hAnsi="Arial"/>
                <w:sz w:val="14"/>
                <w:szCs w:val="14"/>
                <w:b w:val="1"/>
                <w:bCs w:val="1"/>
                <w:color w:val="auto"/>
                <w:w w:val="97"/>
              </w:rPr>
              <w:t>Pro Forma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6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par value and share data)</w:t>
            </w:r>
          </w:p>
        </w:tc>
        <w:tc>
          <w:tcPr>
            <w:tcW w:w="1100" w:type="dxa"/>
            <w:vAlign w:val="bottom"/>
            <w:gridSpan w:val="3"/>
          </w:tcPr>
          <w:p>
            <w:pPr>
              <w:ind w:left="140"/>
              <w:spacing w:after="0"/>
              <w:rPr>
                <w:sz w:val="20"/>
                <w:szCs w:val="20"/>
                <w:color w:val="auto"/>
              </w:rPr>
            </w:pPr>
            <w:r>
              <w:rPr>
                <w:rFonts w:ascii="Arial" w:cs="Arial" w:eastAsia="Arial" w:hAnsi="Arial"/>
                <w:sz w:val="14"/>
                <w:szCs w:val="14"/>
                <w:b w:val="1"/>
                <w:bCs w:val="1"/>
                <w:color w:val="auto"/>
              </w:rPr>
              <w:t xml:space="preserve">Actual    </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Pro Forma</w:t>
            </w:r>
          </w:p>
        </w:tc>
        <w:tc>
          <w:tcPr>
            <w:tcW w:w="1020" w:type="dxa"/>
            <w:vAlign w:val="bottom"/>
            <w:gridSpan w:val="3"/>
          </w:tcPr>
          <w:p>
            <w:pPr>
              <w:ind w:left="20"/>
              <w:spacing w:after="0" w:line="166" w:lineRule="exact"/>
              <w:rPr>
                <w:sz w:val="20"/>
                <w:szCs w:val="20"/>
                <w:color w:val="auto"/>
              </w:rPr>
            </w:pPr>
            <w:r>
              <w:rPr>
                <w:rFonts w:ascii="Arial" w:cs="Arial" w:eastAsia="Arial" w:hAnsi="Arial"/>
                <w:sz w:val="13"/>
                <w:szCs w:val="13"/>
                <w:b w:val="1"/>
                <w:bCs w:val="1"/>
                <w:color w:val="auto"/>
              </w:rPr>
              <w:t>As Adjusted</w:t>
            </w:r>
            <w:r>
              <w:rPr>
                <w:rFonts w:ascii="Arial" w:cs="Arial" w:eastAsia="Arial" w:hAnsi="Arial"/>
                <w:sz w:val="19"/>
                <w:szCs w:val="19"/>
                <w:b w:val="1"/>
                <w:bCs w:val="1"/>
                <w:color w:val="auto"/>
                <w:vertAlign w:val="superscript"/>
              </w:rPr>
              <w:t>(1)</w:t>
            </w:r>
          </w:p>
        </w:tc>
        <w:tc>
          <w:tcPr>
            <w:tcW w:w="0" w:type="dxa"/>
            <w:vAlign w:val="bottom"/>
          </w:tcPr>
          <w:p>
            <w:pPr>
              <w:spacing w:after="0"/>
              <w:rPr>
                <w:sz w:val="1"/>
                <w:szCs w:val="1"/>
                <w:color w:val="auto"/>
              </w:rPr>
            </w:pPr>
          </w:p>
        </w:tc>
      </w:tr>
      <w:tr>
        <w:trPr>
          <w:trHeight w:val="146"/>
        </w:trPr>
        <w:tc>
          <w:tcPr>
            <w:tcW w:w="6740" w:type="dxa"/>
            <w:vAlign w:val="bottom"/>
            <w:gridSpan w:val="2"/>
            <w:vMerge w:val="continue"/>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32"/>
              <w:spacing w:after="0" w:line="146" w:lineRule="exact"/>
              <w:rPr>
                <w:sz w:val="20"/>
                <w:szCs w:val="20"/>
                <w:color w:val="auto"/>
              </w:rPr>
            </w:pPr>
            <w:r>
              <w:rPr>
                <w:rFonts w:ascii="Arial" w:cs="Arial" w:eastAsia="Arial" w:hAnsi="Arial"/>
                <w:sz w:val="14"/>
                <w:szCs w:val="14"/>
                <w:b w:val="1"/>
                <w:bCs w:val="1"/>
                <w:color w:val="auto"/>
                <w:w w:val="97"/>
              </w:rPr>
              <w:t>(unaudited)</w:t>
            </w: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12"/>
              <w:spacing w:after="0" w:line="146" w:lineRule="exact"/>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Cash, cash equivalents, and short-term investments</w:t>
            </w:r>
          </w:p>
        </w:tc>
        <w:tc>
          <w:tcPr>
            <w:tcW w:w="3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 xml:space="preserve">$     </w:t>
            </w:r>
          </w:p>
        </w:tc>
        <w:tc>
          <w:tcPr>
            <w:tcW w:w="720" w:type="dxa"/>
            <w:vAlign w:val="bottom"/>
            <w:gridSpan w:val="2"/>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w w:val="90"/>
              </w:rPr>
              <w:t>  120,752</w:t>
            </w:r>
          </w:p>
        </w:tc>
        <w:tc>
          <w:tcPr>
            <w:tcW w:w="340" w:type="dxa"/>
            <w:vAlign w:val="bottom"/>
            <w:gridSpan w:val="2"/>
            <w:shd w:val="clear" w:color="auto" w:fill="CCEEFF"/>
          </w:tcPr>
          <w:p>
            <w:pPr>
              <w:jc w:val="right"/>
              <w:ind w:right="20"/>
              <w:spacing w:after="0" w:line="153"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380"/>
              <w:spacing w:after="0" w:line="153" w:lineRule="exact"/>
              <w:rPr>
                <w:sz w:val="20"/>
                <w:szCs w:val="20"/>
                <w:color w:val="auto"/>
              </w:rPr>
            </w:pPr>
            <w:r>
              <w:rPr>
                <w:rFonts w:ascii="Arial" w:cs="Arial" w:eastAsia="Arial" w:hAnsi="Arial"/>
                <w:sz w:val="14"/>
                <w:szCs w:val="14"/>
                <w:color w:val="auto"/>
                <w:w w:val="89"/>
              </w:rPr>
              <w:t>        120,752</w:t>
            </w:r>
          </w:p>
        </w:tc>
        <w:tc>
          <w:tcPr>
            <w:tcW w:w="10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line="153" w:lineRule="exact"/>
              <w:rPr>
                <w:sz w:val="20"/>
                <w:szCs w:val="20"/>
                <w:color w:val="auto"/>
              </w:rPr>
            </w:pPr>
            <w:r>
              <w:rPr>
                <w:rFonts w:ascii="Arial" w:cs="Arial" w:eastAsia="Arial" w:hAnsi="Arial"/>
                <w:sz w:val="14"/>
                <w:szCs w:val="14"/>
                <w:color w:val="auto"/>
              </w:rPr>
              <w:t>209,102</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4"/>
                <w:szCs w:val="14"/>
                <w:color w:val="auto"/>
              </w:rPr>
              <w:t>Convertible preferred stock, $0.0001 par value; 287,446,844 shares authorized, issued, and outstanding,</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74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720" w:type="dxa"/>
            <w:vAlign w:val="bottom"/>
          </w:tcPr>
          <w:p>
            <w:pPr>
              <w:ind w:left="100"/>
              <w:spacing w:after="0"/>
              <w:rPr>
                <w:sz w:val="20"/>
                <w:szCs w:val="20"/>
                <w:color w:val="auto"/>
              </w:rPr>
            </w:pPr>
            <w:r>
              <w:rPr>
                <w:rFonts w:ascii="Arial" w:cs="Arial" w:eastAsia="Arial" w:hAnsi="Arial"/>
                <w:sz w:val="14"/>
                <w:szCs w:val="14"/>
                <w:color w:val="auto"/>
              </w:rPr>
              <w:t>actual; no shares authorized, issued, and outstanding, pro forma, and pro forma as adjusted</w:t>
            </w: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247,617</w:t>
            </w:r>
          </w:p>
        </w:tc>
        <w:tc>
          <w:tcPr>
            <w:tcW w:w="14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Stockholders’ (deficit) equity:</w:t>
            </w:r>
          </w:p>
        </w:tc>
        <w:tc>
          <w:tcPr>
            <w:tcW w:w="3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720" w:type="dxa"/>
            <w:vAlign w:val="bottom"/>
          </w:tcPr>
          <w:p>
            <w:pPr>
              <w:ind w:left="240"/>
              <w:spacing w:after="0" w:line="146" w:lineRule="exact"/>
              <w:rPr>
                <w:sz w:val="20"/>
                <w:szCs w:val="20"/>
                <w:color w:val="auto"/>
              </w:rPr>
            </w:pPr>
            <w:r>
              <w:rPr>
                <w:rFonts w:ascii="Arial" w:cs="Arial" w:eastAsia="Arial" w:hAnsi="Arial"/>
                <w:sz w:val="14"/>
                <w:szCs w:val="14"/>
                <w:color w:val="auto"/>
              </w:rPr>
              <w:t>Preferred stock, $0.0001 par value; no shares authorized, issued, and outstanding, actual; 70,000,000</w:t>
            </w: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720" w:type="dxa"/>
            <w:vAlign w:val="bottom"/>
          </w:tcPr>
          <w:p>
            <w:pPr>
              <w:ind w:left="380"/>
              <w:spacing w:after="0"/>
              <w:rPr>
                <w:sz w:val="20"/>
                <w:szCs w:val="20"/>
                <w:color w:val="auto"/>
              </w:rPr>
            </w:pPr>
            <w:r>
              <w:rPr>
                <w:rFonts w:ascii="Arial" w:cs="Arial" w:eastAsia="Arial" w:hAnsi="Arial"/>
                <w:sz w:val="14"/>
                <w:szCs w:val="14"/>
                <w:color w:val="auto"/>
              </w:rPr>
              <w:t>shares authorized and no shares issued and outstanding, pro forma and pro forma as adjusted</w:t>
            </w: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720" w:type="dxa"/>
            <w:vAlign w:val="bottom"/>
            <w:shd w:val="clear" w:color="auto" w:fill="CCEEFF"/>
          </w:tcPr>
          <w:p>
            <w:pPr>
              <w:ind w:left="240"/>
              <w:spacing w:after="0" w:line="146" w:lineRule="exact"/>
              <w:rPr>
                <w:sz w:val="20"/>
                <w:szCs w:val="20"/>
                <w:color w:val="auto"/>
              </w:rPr>
            </w:pPr>
            <w:r>
              <w:rPr>
                <w:rFonts w:ascii="Arial" w:cs="Arial" w:eastAsia="Arial" w:hAnsi="Arial"/>
                <w:sz w:val="14"/>
                <w:szCs w:val="14"/>
                <w:color w:val="auto"/>
              </w:rPr>
              <w:t>Common stock, $0.0001 par value; 402,600,000 shares authorized, 1,248,493 shares issued and</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20" w:type="dxa"/>
            <w:vAlign w:val="bottom"/>
            <w:shd w:val="clear" w:color="auto" w:fill="CCEEFF"/>
          </w:tcPr>
          <w:p>
            <w:pPr>
              <w:ind w:left="380"/>
              <w:spacing w:after="0" w:line="153" w:lineRule="exact"/>
              <w:rPr>
                <w:sz w:val="20"/>
                <w:szCs w:val="20"/>
                <w:color w:val="auto"/>
              </w:rPr>
            </w:pPr>
            <w:r>
              <w:rPr>
                <w:rFonts w:ascii="Arial" w:cs="Arial" w:eastAsia="Arial" w:hAnsi="Arial"/>
                <w:sz w:val="14"/>
                <w:szCs w:val="14"/>
                <w:color w:val="auto"/>
              </w:rPr>
              <w:t>1,247,012 shares outstanding, excluding 1,481 shares subject to a right of repurchase, actual;</w:t>
            </w:r>
          </w:p>
        </w:tc>
        <w:tc>
          <w:tcPr>
            <w:tcW w:w="3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20" w:type="dxa"/>
            <w:vAlign w:val="bottom"/>
            <w:shd w:val="clear" w:color="auto" w:fill="CCEEFF"/>
          </w:tcPr>
          <w:p>
            <w:pPr>
              <w:ind w:left="380"/>
              <w:spacing w:after="0" w:line="153" w:lineRule="exact"/>
              <w:rPr>
                <w:sz w:val="20"/>
                <w:szCs w:val="20"/>
                <w:color w:val="auto"/>
              </w:rPr>
            </w:pPr>
            <w:r>
              <w:rPr>
                <w:rFonts w:ascii="Arial" w:cs="Arial" w:eastAsia="Arial" w:hAnsi="Arial"/>
                <w:sz w:val="14"/>
                <w:szCs w:val="14"/>
                <w:color w:val="auto"/>
              </w:rPr>
              <w:t>700,000,000 shares authorized, 15,989,333 shares issued, and 15,987,852 outstanding, excluding</w:t>
            </w:r>
          </w:p>
        </w:tc>
        <w:tc>
          <w:tcPr>
            <w:tcW w:w="3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20" w:type="dxa"/>
            <w:vAlign w:val="bottom"/>
            <w:shd w:val="clear" w:color="auto" w:fill="CCEEFF"/>
          </w:tcPr>
          <w:p>
            <w:pPr>
              <w:ind w:left="380"/>
              <w:spacing w:after="0" w:line="153" w:lineRule="exact"/>
              <w:rPr>
                <w:sz w:val="20"/>
                <w:szCs w:val="20"/>
                <w:color w:val="auto"/>
              </w:rPr>
            </w:pPr>
            <w:r>
              <w:rPr>
                <w:rFonts w:ascii="Arial" w:cs="Arial" w:eastAsia="Arial" w:hAnsi="Arial"/>
                <w:sz w:val="14"/>
                <w:szCs w:val="14"/>
                <w:color w:val="auto"/>
              </w:rPr>
              <w:t>1,481 shares subject to a right of repurchase, pro forma; 700,000,000 shares authorized,</w:t>
            </w:r>
          </w:p>
        </w:tc>
        <w:tc>
          <w:tcPr>
            <w:tcW w:w="3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20" w:type="dxa"/>
            <w:vAlign w:val="bottom"/>
            <w:shd w:val="clear" w:color="auto" w:fill="CCEEFF"/>
          </w:tcPr>
          <w:p>
            <w:pPr>
              <w:ind w:left="380"/>
              <w:spacing w:after="0" w:line="153" w:lineRule="exact"/>
              <w:rPr>
                <w:sz w:val="20"/>
                <w:szCs w:val="20"/>
                <w:color w:val="auto"/>
              </w:rPr>
            </w:pPr>
            <w:r>
              <w:rPr>
                <w:rFonts w:ascii="Arial" w:cs="Arial" w:eastAsia="Arial" w:hAnsi="Arial"/>
                <w:sz w:val="14"/>
                <w:szCs w:val="14"/>
                <w:color w:val="auto"/>
              </w:rPr>
              <w:t>22,239,333 shares issued, and 22,237,852 shares outstanding, excluding 1,481 shares subject to a</w:t>
            </w:r>
          </w:p>
        </w:tc>
        <w:tc>
          <w:tcPr>
            <w:tcW w:w="3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right of repurchase, pro forma as adjusted</w:t>
            </w:r>
          </w:p>
        </w:tc>
        <w:tc>
          <w:tcPr>
            <w:tcW w:w="3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20" w:type="dxa"/>
            <w:vAlign w:val="bottom"/>
          </w:tcPr>
          <w:p>
            <w:pPr>
              <w:ind w:left="240"/>
              <w:spacing w:after="0" w:line="153" w:lineRule="exact"/>
              <w:rPr>
                <w:sz w:val="20"/>
                <w:szCs w:val="20"/>
                <w:color w:val="auto"/>
              </w:rPr>
            </w:pPr>
            <w:r>
              <w:rPr>
                <w:rFonts w:ascii="Arial" w:cs="Arial" w:eastAsia="Arial" w:hAnsi="Arial"/>
                <w:sz w:val="14"/>
                <w:szCs w:val="14"/>
                <w:color w:val="auto"/>
              </w:rPr>
              <w:t>Additional paid-in capital</w:t>
            </w:r>
          </w:p>
        </w:tc>
        <w:tc>
          <w:tcPr>
            <w:tcW w:w="380" w:type="dxa"/>
            <w:vAlign w:val="bottom"/>
          </w:tcPr>
          <w:p>
            <w:pPr>
              <w:spacing w:after="0"/>
              <w:rPr>
                <w:sz w:val="13"/>
                <w:szCs w:val="13"/>
                <w:color w:val="auto"/>
              </w:rPr>
            </w:pPr>
          </w:p>
        </w:tc>
        <w:tc>
          <w:tcPr>
            <w:tcW w:w="580" w:type="dxa"/>
            <w:vAlign w:val="bottom"/>
          </w:tcPr>
          <w:p>
            <w:pPr>
              <w:jc w:val="right"/>
              <w:spacing w:after="0" w:line="153" w:lineRule="exact"/>
              <w:rPr>
                <w:sz w:val="20"/>
                <w:szCs w:val="20"/>
                <w:color w:val="auto"/>
              </w:rPr>
            </w:pPr>
            <w:r>
              <w:rPr>
                <w:rFonts w:ascii="Arial" w:cs="Arial" w:eastAsia="Arial" w:hAnsi="Arial"/>
                <w:sz w:val="14"/>
                <w:szCs w:val="14"/>
                <w:color w:val="auto"/>
              </w:rPr>
              <w:t>8,987</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380"/>
              <w:spacing w:after="0" w:line="153" w:lineRule="exact"/>
              <w:rPr>
                <w:sz w:val="20"/>
                <w:szCs w:val="20"/>
                <w:color w:val="auto"/>
              </w:rPr>
            </w:pPr>
            <w:r>
              <w:rPr>
                <w:rFonts w:ascii="Arial" w:cs="Arial" w:eastAsia="Arial" w:hAnsi="Arial"/>
                <w:sz w:val="14"/>
                <w:szCs w:val="14"/>
                <w:color w:val="auto"/>
              </w:rPr>
              <w:t>256,602</w:t>
            </w:r>
          </w:p>
        </w:tc>
        <w:tc>
          <w:tcPr>
            <w:tcW w:w="100" w:type="dxa"/>
            <w:vAlign w:val="bottom"/>
          </w:tcPr>
          <w:p>
            <w:pPr>
              <w:spacing w:after="0"/>
              <w:rPr>
                <w:sz w:val="13"/>
                <w:szCs w:val="13"/>
                <w:color w:val="auto"/>
              </w:rPr>
            </w:pPr>
          </w:p>
        </w:tc>
        <w:tc>
          <w:tcPr>
            <w:tcW w:w="920" w:type="dxa"/>
            <w:vAlign w:val="bottom"/>
            <w:gridSpan w:val="2"/>
          </w:tcPr>
          <w:p>
            <w:pPr>
              <w:jc w:val="right"/>
              <w:ind w:right="100"/>
              <w:spacing w:after="0" w:line="153" w:lineRule="exact"/>
              <w:rPr>
                <w:sz w:val="20"/>
                <w:szCs w:val="20"/>
                <w:color w:val="auto"/>
              </w:rPr>
            </w:pPr>
            <w:r>
              <w:rPr>
                <w:rFonts w:ascii="Arial" w:cs="Arial" w:eastAsia="Arial" w:hAnsi="Arial"/>
                <w:sz w:val="14"/>
                <w:szCs w:val="14"/>
                <w:color w:val="auto"/>
              </w:rPr>
              <w:t>344,952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20" w:type="dxa"/>
            <w:vAlign w:val="bottom"/>
            <w:shd w:val="clear" w:color="auto" w:fill="CCEEFF"/>
          </w:tcPr>
          <w:p>
            <w:pPr>
              <w:ind w:left="240"/>
              <w:spacing w:after="0" w:line="153" w:lineRule="exact"/>
              <w:rPr>
                <w:sz w:val="20"/>
                <w:szCs w:val="20"/>
                <w:color w:val="auto"/>
              </w:rPr>
            </w:pPr>
            <w:r>
              <w:rPr>
                <w:rFonts w:ascii="Arial" w:cs="Arial" w:eastAsia="Arial" w:hAnsi="Arial"/>
                <w:sz w:val="14"/>
                <w:szCs w:val="14"/>
                <w:color w:val="auto"/>
              </w:rPr>
              <w:t>Accumulated other comprehensive loss</w:t>
            </w:r>
          </w:p>
        </w:tc>
        <w:tc>
          <w:tcPr>
            <w:tcW w:w="3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40</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380"/>
              <w:spacing w:after="0" w:line="153" w:lineRule="exact"/>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line="153"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20" w:type="dxa"/>
            <w:vAlign w:val="bottom"/>
          </w:tcPr>
          <w:p>
            <w:pPr>
              <w:ind w:left="240"/>
              <w:spacing w:after="0" w:line="153" w:lineRule="exact"/>
              <w:rPr>
                <w:sz w:val="20"/>
                <w:szCs w:val="20"/>
                <w:color w:val="auto"/>
              </w:rPr>
            </w:pPr>
            <w:r>
              <w:rPr>
                <w:rFonts w:ascii="Arial" w:cs="Arial" w:eastAsia="Arial" w:hAnsi="Arial"/>
                <w:sz w:val="14"/>
                <w:szCs w:val="14"/>
                <w:color w:val="auto"/>
              </w:rPr>
              <w:t>Accumulated deficit</w:t>
            </w:r>
          </w:p>
        </w:tc>
        <w:tc>
          <w:tcPr>
            <w:tcW w:w="380" w:type="dxa"/>
            <w:vAlign w:val="bottom"/>
          </w:tcPr>
          <w:p>
            <w:pPr>
              <w:spacing w:after="0"/>
              <w:rPr>
                <w:sz w:val="13"/>
                <w:szCs w:val="13"/>
                <w:color w:val="auto"/>
              </w:rPr>
            </w:pPr>
          </w:p>
        </w:tc>
        <w:tc>
          <w:tcPr>
            <w:tcW w:w="720" w:type="dxa"/>
            <w:vAlign w:val="bottom"/>
            <w:gridSpan w:val="2"/>
          </w:tcPr>
          <w:p>
            <w:pPr>
              <w:jc w:val="right"/>
              <w:ind w:right="100"/>
              <w:spacing w:after="0" w:line="153" w:lineRule="exact"/>
              <w:rPr>
                <w:sz w:val="20"/>
                <w:szCs w:val="20"/>
                <w:color w:val="auto"/>
              </w:rPr>
            </w:pPr>
            <w:r>
              <w:rPr>
                <w:rFonts w:ascii="Arial" w:cs="Arial" w:eastAsia="Arial" w:hAnsi="Arial"/>
                <w:sz w:val="14"/>
                <w:szCs w:val="14"/>
                <w:color w:val="auto"/>
              </w:rPr>
              <w:t>(136,109)</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340"/>
              <w:spacing w:after="0" w:line="153" w:lineRule="exact"/>
              <w:rPr>
                <w:sz w:val="20"/>
                <w:szCs w:val="20"/>
                <w:color w:val="auto"/>
              </w:rPr>
            </w:pPr>
            <w:r>
              <w:rPr>
                <w:rFonts w:ascii="Arial" w:cs="Arial" w:eastAsia="Arial" w:hAnsi="Arial"/>
                <w:sz w:val="14"/>
                <w:szCs w:val="14"/>
                <w:color w:val="auto"/>
              </w:rPr>
              <w:t>(136,109)</w:t>
            </w:r>
          </w:p>
        </w:tc>
        <w:tc>
          <w:tcPr>
            <w:tcW w:w="100" w:type="dxa"/>
            <w:vAlign w:val="bottom"/>
          </w:tcPr>
          <w:p>
            <w:pPr>
              <w:spacing w:after="0"/>
              <w:rPr>
                <w:sz w:val="13"/>
                <w:szCs w:val="13"/>
                <w:color w:val="auto"/>
              </w:rPr>
            </w:pPr>
          </w:p>
        </w:tc>
        <w:tc>
          <w:tcPr>
            <w:tcW w:w="92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(136,109)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7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vMerge w:val="continue"/>
          </w:tcPr>
          <w:p>
            <w:pPr>
              <w:spacing w:after="0"/>
              <w:rPr>
                <w:sz w:val="13"/>
                <w:szCs w:val="13"/>
                <w:color w:val="auto"/>
              </w:rPr>
            </w:pPr>
          </w:p>
        </w:tc>
        <w:tc>
          <w:tcPr>
            <w:tcW w:w="67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Total stockholders’ (deficit) equity</w:t>
            </w:r>
          </w:p>
        </w:tc>
        <w:tc>
          <w:tcPr>
            <w:tcW w:w="3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line="153" w:lineRule="exact"/>
              <w:rPr>
                <w:sz w:val="20"/>
                <w:szCs w:val="20"/>
                <w:color w:val="auto"/>
              </w:rPr>
            </w:pPr>
            <w:r>
              <w:rPr>
                <w:rFonts w:ascii="Arial" w:cs="Arial" w:eastAsia="Arial" w:hAnsi="Arial"/>
                <w:sz w:val="14"/>
                <w:szCs w:val="14"/>
                <w:color w:val="auto"/>
              </w:rPr>
              <w:t>(127,082)</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380"/>
              <w:spacing w:after="0" w:line="153" w:lineRule="exact"/>
              <w:rPr>
                <w:sz w:val="20"/>
                <w:szCs w:val="20"/>
                <w:color w:val="auto"/>
              </w:rPr>
            </w:pPr>
            <w:r>
              <w:rPr>
                <w:rFonts w:ascii="Arial" w:cs="Arial" w:eastAsia="Arial" w:hAnsi="Arial"/>
                <w:sz w:val="14"/>
                <w:szCs w:val="14"/>
                <w:color w:val="auto"/>
              </w:rPr>
              <w:t>120,535</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line="153" w:lineRule="exact"/>
              <w:rPr>
                <w:sz w:val="20"/>
                <w:szCs w:val="20"/>
                <w:color w:val="auto"/>
              </w:rPr>
            </w:pPr>
            <w:r>
              <w:rPr>
                <w:rFonts w:ascii="Arial" w:cs="Arial" w:eastAsia="Arial" w:hAnsi="Arial"/>
                <w:sz w:val="14"/>
                <w:szCs w:val="14"/>
                <w:color w:val="auto"/>
              </w:rPr>
              <w:t>208,885</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4"/>
                <w:szCs w:val="14"/>
                <w:color w:val="auto"/>
              </w:rPr>
              <w:t>Total capitalization</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40" w:type="dxa"/>
            <w:vAlign w:val="bottom"/>
            <w:gridSpan w:val="2"/>
            <w:vMerge w:val="continue"/>
          </w:tcPr>
          <w:p>
            <w:pPr>
              <w:spacing w:after="0"/>
              <w:rPr>
                <w:sz w:val="15"/>
                <w:szCs w:val="15"/>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120,535</w:t>
            </w:r>
          </w:p>
        </w:tc>
        <w:tc>
          <w:tcPr>
            <w:tcW w:w="140" w:type="dxa"/>
            <w:vAlign w:val="bottom"/>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4"/>
                <w:szCs w:val="14"/>
                <w:color w:val="auto"/>
              </w:rPr>
              <w:t>120,535</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208,885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97155</wp:posOffset>
            </wp:positionV>
            <wp:extent cx="7302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177" w:lineRule="exact"/>
        <w:rPr>
          <w:sz w:val="20"/>
          <w:szCs w:val="20"/>
          <w:color w:val="auto"/>
        </w:rPr>
      </w:pPr>
    </w:p>
    <w:p>
      <w:pPr>
        <w:ind w:left="820" w:right="40" w:hanging="409"/>
        <w:spacing w:after="0" w:line="242" w:lineRule="auto"/>
        <w:tabs>
          <w:tab w:leader="none" w:pos="8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Each $1.00 increase or decrease in the assumed initial public offering price of $16.00 per share, which is the midpoint of the price range set forth on the cover page of this prospectus, would increase or decrease, as applicable, the pro forma as adjusted amount of each of our cash, cash equivalents, and short-term investments, additional paid-in capital, total</w:t>
      </w:r>
    </w:p>
    <w:p>
      <w:pPr>
        <w:spacing w:after="0" w:line="10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0840"/>
          </w:cols>
          <w:pgMar w:left="320" w:top="439" w:right="7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302" w:lineRule="exact"/>
        <w:rPr>
          <w:sz w:val="20"/>
          <w:szCs w:val="20"/>
          <w:color w:val="auto"/>
        </w:rPr>
      </w:pPr>
    </w:p>
    <w:p>
      <w:pPr>
        <w:ind w:left="820" w:right="20"/>
        <w:spacing w:after="0" w:line="235" w:lineRule="auto"/>
        <w:rPr>
          <w:sz w:val="20"/>
          <w:szCs w:val="20"/>
          <w:color w:val="auto"/>
        </w:rPr>
      </w:pPr>
      <w:r>
        <w:rPr>
          <w:rFonts w:ascii="Arial" w:cs="Arial" w:eastAsia="Arial" w:hAnsi="Arial"/>
          <w:sz w:val="14"/>
          <w:szCs w:val="14"/>
          <w:color w:val="auto"/>
        </w:rPr>
        <w:t>stockholders’ (deficit) equity, and total capitalization by approximately $5.8 million, assuming that the number of shares offered by us, as set forth on the cover page of this prospectus, remains the same and after deducting the estimated underwriting discounts and commissions and estimated offering expenses payable by us. Each increase or decrease of 1.0 million shares in the number of shares offered by us at the assumed initial public offering price of $16.00 per share would increase or decrease, as applicable, the pro forma as adjusted amount of each of our cash, cash equivalents, and short-term investments, additional paid-in capital, total stockholders’ (deficit) equity, and total capitalization by approximately $14.9 million, after deducting the estimated underwriting discounts and commissions and estimated offering expenses payable by us.</w:t>
      </w:r>
    </w:p>
    <w:p>
      <w:pPr>
        <w:spacing w:after="0" w:line="144" w:lineRule="exact"/>
        <w:rPr>
          <w:sz w:val="20"/>
          <w:szCs w:val="20"/>
          <w:color w:val="auto"/>
        </w:rPr>
      </w:pPr>
    </w:p>
    <w:p>
      <w:pPr>
        <w:ind w:left="420" w:right="120" w:firstLine="521"/>
        <w:spacing w:after="0" w:line="252" w:lineRule="auto"/>
        <w:rPr>
          <w:sz w:val="20"/>
          <w:szCs w:val="20"/>
          <w:color w:val="auto"/>
        </w:rPr>
      </w:pPr>
      <w:r>
        <w:rPr>
          <w:rFonts w:ascii="Arial" w:cs="Arial" w:eastAsia="Arial" w:hAnsi="Arial"/>
          <w:sz w:val="17"/>
          <w:szCs w:val="17"/>
          <w:color w:val="auto"/>
        </w:rPr>
        <w:t>If the underwriters’ option to purchase additional shares is exercised in full, our pro forma as adjusted cash, cash equivalents, and short-term investments, additional paid-in capital, total stockholders’ equity, and total capitalization as of December 31, 2023, would be $223.1 million, $358.9 million, $222.8 million, and $222.8 million, respectively.</w:t>
      </w:r>
    </w:p>
    <w:p>
      <w:pPr>
        <w:spacing w:after="0" w:line="125" w:lineRule="exact"/>
        <w:rPr>
          <w:sz w:val="20"/>
          <w:szCs w:val="20"/>
          <w:color w:val="auto"/>
        </w:rPr>
      </w:pPr>
    </w:p>
    <w:p>
      <w:pPr>
        <w:ind w:left="420" w:firstLine="521"/>
        <w:spacing w:after="0" w:line="247" w:lineRule="auto"/>
        <w:rPr>
          <w:sz w:val="20"/>
          <w:szCs w:val="20"/>
          <w:color w:val="auto"/>
        </w:rPr>
      </w:pPr>
      <w:r>
        <w:rPr>
          <w:rFonts w:ascii="Arial" w:cs="Arial" w:eastAsia="Arial" w:hAnsi="Arial"/>
          <w:sz w:val="17"/>
          <w:szCs w:val="17"/>
          <w:color w:val="auto"/>
        </w:rPr>
        <w:t>The number of shares of our common stock issued and outstanding, pro forma and pro forma as adjusted in the table above, above is based on 15,989,333 shares of our common stock outstanding as December 31, 2023, including 1,481 shares subject to our right of repurchase, after giving effect to the automatic conversion of all outstanding shares of our convertible preferred stock into 14,740,840 shares of our common stock immediately prior to the closing of this offering, and excludes:</w:t>
      </w:r>
    </w:p>
    <w:p>
      <w:pPr>
        <w:spacing w:after="0" w:line="166" w:lineRule="exact"/>
        <w:rPr>
          <w:sz w:val="20"/>
          <w:szCs w:val="20"/>
          <w:color w:val="auto"/>
        </w:rPr>
      </w:pPr>
    </w:p>
    <w:p>
      <w:pPr>
        <w:ind w:left="1660" w:right="300" w:hanging="418"/>
        <w:spacing w:after="0" w:line="270" w:lineRule="auto"/>
        <w:tabs>
          <w:tab w:leader="none" w:pos="1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2,813,937 shares of common stock issuable upon the exercise of stock options outstanding as of December 31, 2023, with a weighted-average exercise price of $4.13 per share;</w:t>
      </w:r>
    </w:p>
    <w:p>
      <w:pPr>
        <w:spacing w:after="0" w:line="147" w:lineRule="exact"/>
        <w:rPr>
          <w:rFonts w:ascii="Arial" w:cs="Arial" w:eastAsia="Arial" w:hAnsi="Arial"/>
          <w:sz w:val="17"/>
          <w:szCs w:val="17"/>
          <w:color w:val="auto"/>
        </w:rPr>
      </w:pPr>
    </w:p>
    <w:p>
      <w:pPr>
        <w:ind w:left="1660" w:right="320" w:hanging="418"/>
        <w:spacing w:after="0" w:line="270" w:lineRule="auto"/>
        <w:tabs>
          <w:tab w:leader="none" w:pos="1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840,292 shares of common stock issuable upon exercise of stock options granted subsequent to December 31, 2023, with a weighted-average exercise price of $8.19 per share;</w:t>
      </w:r>
    </w:p>
    <w:p>
      <w:pPr>
        <w:spacing w:after="0" w:line="147" w:lineRule="exact"/>
        <w:rPr>
          <w:rFonts w:ascii="Arial" w:cs="Arial" w:eastAsia="Arial" w:hAnsi="Arial"/>
          <w:sz w:val="17"/>
          <w:szCs w:val="17"/>
          <w:color w:val="auto"/>
        </w:rPr>
      </w:pPr>
    </w:p>
    <w:p>
      <w:pPr>
        <w:ind w:left="1660" w:hanging="418"/>
        <w:spacing w:after="0" w:line="242" w:lineRule="auto"/>
        <w:tabs>
          <w:tab w:leader="none" w:pos="1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number of the IPO grants equal to 2.2% of the number of shares of our common stock to be outstanding upon the closing of this offering (calculated on an as-converted basis and after giving effect to the number of shares of our common stock to be sold in this offering and assuming the exercise in full of the underwriters’ option to purchase additional shares), to be granted in connection with this offering under our 2024 Plan, which will become effective in connection with this offering, to certain of our executive officers, directors, employees and consultants, at an exercise price equal to the initial public offering price in this offering;</w:t>
      </w:r>
    </w:p>
    <w:p>
      <w:pPr>
        <w:spacing w:after="0" w:line="171" w:lineRule="exact"/>
        <w:rPr>
          <w:rFonts w:ascii="Arial" w:cs="Arial" w:eastAsia="Arial" w:hAnsi="Arial"/>
          <w:sz w:val="17"/>
          <w:szCs w:val="17"/>
          <w:color w:val="auto"/>
        </w:rPr>
      </w:pPr>
    </w:p>
    <w:p>
      <w:pPr>
        <w:ind w:left="1660" w:right="40" w:hanging="418"/>
        <w:spacing w:after="0"/>
        <w:tabs>
          <w:tab w:leader="none" w:pos="1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number of shares of our common stock reserved for future issuance under our 2024 Plan (which number includes the IPO Grants), which will equal the sum of (1) a number of shares equal to 12.0% of the number of shares of our common stock to be outstanding upon the closing of this offering (calculated on an as-converted basis and after giving effect to the number of shares of our common stock to be sold in this offering and assuming the exercise in full of the underwriters’ options to purchase additional shares), plus (2) 24,841 shares of our common stock remaining available for future issuance under our 2018 Plan as of the effectiveness of the 2024 Plan, which shares will be added to the share reserve under the 2024 Plan upon its effectiveness, plus (3) any potential evergreen increases pursuant to the terms of the 2024 Plan; and</w:t>
      </w:r>
    </w:p>
    <w:p>
      <w:pPr>
        <w:spacing w:after="0" w:line="173" w:lineRule="exact"/>
        <w:rPr>
          <w:rFonts w:ascii="Arial" w:cs="Arial" w:eastAsia="Arial" w:hAnsi="Arial"/>
          <w:sz w:val="17"/>
          <w:szCs w:val="17"/>
          <w:color w:val="auto"/>
        </w:rPr>
      </w:pPr>
    </w:p>
    <w:p>
      <w:pPr>
        <w:ind w:left="1660" w:hanging="418"/>
        <w:spacing w:after="0" w:line="242" w:lineRule="auto"/>
        <w:tabs>
          <w:tab w:leader="none" w:pos="1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number of shares of our common stock reserved for future issuance under our ESPP, which will become effective in connection with this offering, which will equal the sum of (1) a number of shares equal to 1% of the number of shares of our common stock to be outstanding upon the closing of this offering (calculated on an as-converted basis and after giving effect to the number of shares of our common stock to be sold in this offering and assuming the exercise in full of the underwriters’ options to purchase additional shares), plus (2) any potential evergreen increases pursuant to the terms of the ESPP.</w:t>
      </w:r>
    </w:p>
    <w:p>
      <w:pPr>
        <w:spacing w:after="0" w:line="10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0820"/>
          </w:cols>
          <w:pgMar w:left="320" w:top="439" w:right="7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DILUTION</w:t>
      </w:r>
    </w:p>
    <w:p>
      <w:pPr>
        <w:spacing w:after="0" w:line="175" w:lineRule="exact"/>
        <w:rPr>
          <w:sz w:val="20"/>
          <w:szCs w:val="20"/>
          <w:color w:val="auto"/>
        </w:rPr>
      </w:pPr>
    </w:p>
    <w:p>
      <w:pPr>
        <w:jc w:val="both"/>
        <w:ind w:left="420" w:right="100" w:firstLine="521"/>
        <w:spacing w:after="0" w:line="252" w:lineRule="auto"/>
        <w:rPr>
          <w:sz w:val="20"/>
          <w:szCs w:val="20"/>
          <w:color w:val="auto"/>
        </w:rPr>
      </w:pPr>
      <w:r>
        <w:rPr>
          <w:rFonts w:ascii="Arial" w:cs="Arial" w:eastAsia="Arial" w:hAnsi="Arial"/>
          <w:sz w:val="17"/>
          <w:szCs w:val="17"/>
          <w:color w:val="auto"/>
        </w:rPr>
        <w:t>If you invest in our common stock in this offering, your ownership interest will be immediately and substantially diluted to the extent of the difference between the initial public offering price per share and the pro forma as adjusted net tangible book value per share of our common stock immediately after this offering.</w:t>
      </w:r>
    </w:p>
    <w:p>
      <w:pPr>
        <w:spacing w:after="0" w:line="125" w:lineRule="exact"/>
        <w:rPr>
          <w:sz w:val="20"/>
          <w:szCs w:val="20"/>
          <w:color w:val="auto"/>
        </w:rPr>
      </w:pPr>
    </w:p>
    <w:p>
      <w:pPr>
        <w:ind w:left="420" w:right="40" w:firstLine="521"/>
        <w:spacing w:after="0" w:line="244" w:lineRule="auto"/>
        <w:rPr>
          <w:sz w:val="20"/>
          <w:szCs w:val="20"/>
          <w:color w:val="auto"/>
        </w:rPr>
      </w:pPr>
      <w:r>
        <w:rPr>
          <w:rFonts w:ascii="Arial" w:cs="Arial" w:eastAsia="Arial" w:hAnsi="Arial"/>
          <w:sz w:val="17"/>
          <w:szCs w:val="17"/>
          <w:color w:val="auto"/>
        </w:rPr>
        <w:t>As of December 31, 2023, our historical net tangible book value (deficit) was $ (127.1) million, or $(101.79) per share of our common stock, based on 1,248,493 shares of common stock issued and outstanding as of such date, including 1,481 shares subject to our right of repurchase as of such date. Our historical net tangible book value (deficit) per share represents total tangible assets less total liabilities and convertible preferred stock, which is not included within permanent equity, divided by the number of shares of common stock outstanding at December 31, 2023.</w:t>
      </w:r>
    </w:p>
    <w:p>
      <w:pPr>
        <w:spacing w:after="0" w:line="131" w:lineRule="exact"/>
        <w:rPr>
          <w:sz w:val="20"/>
          <w:szCs w:val="20"/>
          <w:color w:val="auto"/>
        </w:rPr>
      </w:pPr>
    </w:p>
    <w:p>
      <w:pPr>
        <w:ind w:left="420" w:right="40" w:firstLine="521"/>
        <w:spacing w:after="0" w:line="247" w:lineRule="auto"/>
        <w:rPr>
          <w:sz w:val="20"/>
          <w:szCs w:val="20"/>
          <w:color w:val="auto"/>
        </w:rPr>
      </w:pPr>
      <w:r>
        <w:rPr>
          <w:rFonts w:ascii="Arial" w:cs="Arial" w:eastAsia="Arial" w:hAnsi="Arial"/>
          <w:sz w:val="17"/>
          <w:szCs w:val="17"/>
          <w:color w:val="auto"/>
        </w:rPr>
        <w:t>On a pro forma basis, after giving effect to the automatic conversion of all outstanding shares of our convertible preferred stock into 14,740,840 shares of our common stock and the related reclassification of the carrying value of the convertible preferred stock to permanent equity immediately prior to the closing of this offering, our pro forma net tangible book value (deficit) as of December 31, 2023 would have been approximately $120.5 million, or approximately $7.54 per share of our common stock.</w:t>
      </w:r>
    </w:p>
    <w:p>
      <w:pPr>
        <w:spacing w:after="0" w:line="141" w:lineRule="exact"/>
        <w:rPr>
          <w:sz w:val="20"/>
          <w:szCs w:val="20"/>
          <w:color w:val="auto"/>
        </w:rPr>
      </w:pPr>
    </w:p>
    <w:p>
      <w:pPr>
        <w:ind w:left="420" w:right="120" w:firstLine="521"/>
        <w:spacing w:after="0" w:line="241" w:lineRule="auto"/>
        <w:rPr>
          <w:sz w:val="20"/>
          <w:szCs w:val="20"/>
          <w:color w:val="auto"/>
        </w:rPr>
      </w:pPr>
      <w:r>
        <w:rPr>
          <w:rFonts w:ascii="Arial" w:cs="Arial" w:eastAsia="Arial" w:hAnsi="Arial"/>
          <w:sz w:val="17"/>
          <w:szCs w:val="17"/>
          <w:color w:val="auto"/>
        </w:rPr>
        <w:t>After giving further effect to the sale and issuance of 6,250,000 shares of our common stock in this offering at an assumed initial public offering price of $ 16.00 per share, which is the midpoint of the price range set forth on the cover page of this prospectus, and after deducting the estimated underwriting discounts and commissions and estimated offering expenses payable by us, our pro forma as adjusted net tangible book value as of December 31, 2023 would have been approximately $208.9 million, or approximately $9.39 per share. This amount represents an immediate increase in pro forma net tangible book value of approximately $1.85 per share to our existing stockholders and an immediate dilution in pro forma net tangible book value of approximately $6.61 per share to new investors purchasing shares of common stock in this offering.</w:t>
      </w:r>
    </w:p>
    <w:p>
      <w:pPr>
        <w:spacing w:after="0" w:line="134" w:lineRule="exact"/>
        <w:rPr>
          <w:sz w:val="20"/>
          <w:szCs w:val="20"/>
          <w:color w:val="auto"/>
        </w:rPr>
      </w:pPr>
    </w:p>
    <w:p>
      <w:pPr>
        <w:ind w:left="420" w:firstLine="521"/>
        <w:spacing w:after="0" w:line="252" w:lineRule="auto"/>
        <w:rPr>
          <w:sz w:val="20"/>
          <w:szCs w:val="20"/>
          <w:color w:val="auto"/>
        </w:rPr>
      </w:pPr>
      <w:r>
        <w:rPr>
          <w:rFonts w:ascii="Arial" w:cs="Arial" w:eastAsia="Arial" w:hAnsi="Arial"/>
          <w:sz w:val="17"/>
          <w:szCs w:val="17"/>
          <w:color w:val="auto"/>
        </w:rPr>
        <w:t>Dilution per share to new investors is determined by subtracting pro forma as adjusted net tangible book value per share after this offering from the initial public offering price per share paid by new investors. The following table illustrates this dilution (without giving effect to any exercise by the underwriters of their option to purchase additional shares):</w:t>
      </w:r>
    </w:p>
    <w:p>
      <w:pPr>
        <w:spacing w:after="0" w:line="177"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240" w:type="dxa"/>
            <w:vAlign w:val="bottom"/>
            <w:shd w:val="clear" w:color="auto" w:fill="CCEEFF"/>
          </w:tcPr>
          <w:p>
            <w:pPr>
              <w:ind w:left="140"/>
              <w:spacing w:after="0"/>
              <w:rPr>
                <w:sz w:val="20"/>
                <w:szCs w:val="20"/>
                <w:color w:val="auto"/>
              </w:rPr>
            </w:pPr>
            <w:r>
              <w:rPr>
                <w:rFonts w:ascii="Arial" w:cs="Arial" w:eastAsia="Arial" w:hAnsi="Arial"/>
                <w:sz w:val="11"/>
                <w:szCs w:val="11"/>
                <w:color w:val="auto"/>
                <w:w w:val="72"/>
              </w:rPr>
              <w:t> </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 xml:space="preserve">          </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77"/>
              </w:rPr>
              <w:t> $</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16.00</w:t>
            </w:r>
          </w:p>
        </w:tc>
      </w:tr>
      <w:tr>
        <w:trPr>
          <w:trHeight w:val="192"/>
        </w:trPr>
        <w:tc>
          <w:tcPr>
            <w:tcW w:w="20" w:type="dxa"/>
            <w:vAlign w:val="bottom"/>
          </w:tcPr>
          <w:p>
            <w:pPr>
              <w:spacing w:after="0"/>
              <w:rPr>
                <w:sz w:val="16"/>
                <w:szCs w:val="16"/>
                <w:color w:val="auto"/>
              </w:rPr>
            </w:pPr>
          </w:p>
        </w:tc>
        <w:tc>
          <w:tcPr>
            <w:tcW w:w="8180" w:type="dxa"/>
            <w:vAlign w:val="bottom"/>
          </w:tcPr>
          <w:p>
            <w:pPr>
              <w:ind w:left="140"/>
              <w:spacing w:after="0" w:line="192" w:lineRule="exact"/>
              <w:rPr>
                <w:sz w:val="20"/>
                <w:szCs w:val="20"/>
                <w:color w:val="auto"/>
              </w:rPr>
            </w:pPr>
            <w:r>
              <w:rPr>
                <w:rFonts w:ascii="Arial" w:cs="Arial" w:eastAsia="Arial" w:hAnsi="Arial"/>
                <w:sz w:val="17"/>
                <w:szCs w:val="17"/>
                <w:color w:val="auto"/>
              </w:rPr>
              <w:t>Historical net tangible book value (deficit) per share as of December 31, 2023</w:t>
            </w:r>
          </w:p>
        </w:tc>
        <w:tc>
          <w:tcPr>
            <w:tcW w:w="240" w:type="dxa"/>
            <w:vAlign w:val="bottom"/>
          </w:tcPr>
          <w:p>
            <w:pPr>
              <w:spacing w:after="0" w:line="192" w:lineRule="exact"/>
              <w:rPr>
                <w:sz w:val="20"/>
                <w:szCs w:val="20"/>
                <w:color w:val="auto"/>
              </w:rPr>
            </w:pPr>
            <w:r>
              <w:rPr>
                <w:rFonts w:ascii="Arial" w:cs="Arial" w:eastAsia="Arial" w:hAnsi="Arial"/>
                <w:sz w:val="17"/>
                <w:szCs w:val="17"/>
                <w:color w:val="auto"/>
              </w:rPr>
              <w:t> $</w:t>
            </w:r>
          </w:p>
        </w:tc>
        <w:tc>
          <w:tcPr>
            <w:tcW w:w="1080" w:type="dxa"/>
            <w:vAlign w:val="bottom"/>
            <w:gridSpan w:val="2"/>
          </w:tcPr>
          <w:p>
            <w:pPr>
              <w:jc w:val="right"/>
              <w:ind w:right="280"/>
              <w:spacing w:after="0" w:line="192" w:lineRule="exact"/>
              <w:rPr>
                <w:sz w:val="20"/>
                <w:szCs w:val="20"/>
                <w:color w:val="auto"/>
              </w:rPr>
            </w:pPr>
            <w:r>
              <w:rPr>
                <w:rFonts w:ascii="Arial" w:cs="Arial" w:eastAsia="Arial" w:hAnsi="Arial"/>
                <w:sz w:val="17"/>
                <w:szCs w:val="17"/>
                <w:color w:val="auto"/>
              </w:rPr>
              <w:t>(101.79)</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8180" w:type="dxa"/>
            <w:vAlign w:val="bottom"/>
            <w:shd w:val="clear" w:color="auto" w:fill="CCEEFF"/>
          </w:tcPr>
          <w:p>
            <w:pPr>
              <w:ind w:left="140"/>
              <w:spacing w:after="0" w:line="175" w:lineRule="exact"/>
              <w:rPr>
                <w:sz w:val="20"/>
                <w:szCs w:val="20"/>
                <w:color w:val="auto"/>
              </w:rPr>
            </w:pPr>
            <w:r>
              <w:rPr>
                <w:rFonts w:ascii="Arial" w:cs="Arial" w:eastAsia="Arial" w:hAnsi="Arial"/>
                <w:sz w:val="17"/>
                <w:szCs w:val="17"/>
                <w:color w:val="auto"/>
              </w:rPr>
              <w:t>Pro forma increase in historical net tangible book value per share as of December 31, 2023</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8"/>
        </w:trPr>
        <w:tc>
          <w:tcPr>
            <w:tcW w:w="20" w:type="dxa"/>
            <w:vAlign w:val="bottom"/>
          </w:tcPr>
          <w:p>
            <w:pPr>
              <w:spacing w:after="0"/>
              <w:rPr>
                <w:sz w:val="18"/>
                <w:szCs w:val="18"/>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attributable to the pro forma adjustments described above</w:t>
            </w: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109.33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8180" w:type="dxa"/>
            <w:vAlign w:val="bottom"/>
          </w:tcPr>
          <w:p>
            <w:pPr>
              <w:ind w:left="140"/>
              <w:spacing w:after="0"/>
              <w:rPr>
                <w:sz w:val="20"/>
                <w:szCs w:val="20"/>
                <w:color w:val="auto"/>
              </w:rPr>
            </w:pPr>
            <w:r>
              <w:rPr>
                <w:rFonts w:ascii="Arial" w:cs="Arial" w:eastAsia="Arial" w:hAnsi="Arial"/>
                <w:sz w:val="17"/>
                <w:szCs w:val="17"/>
                <w:color w:val="auto"/>
              </w:rPr>
              <w:t>Pro forma net tangible book value per share as of December 31, 2023</w:t>
            </w:r>
          </w:p>
        </w:tc>
        <w:tc>
          <w:tcPr>
            <w:tcW w:w="2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7.54</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8180" w:type="dxa"/>
            <w:vAlign w:val="bottom"/>
            <w:shd w:val="clear" w:color="auto" w:fill="CCEEFF"/>
          </w:tcPr>
          <w:p>
            <w:pPr>
              <w:ind w:left="140"/>
              <w:spacing w:after="0" w:line="175" w:lineRule="exact"/>
              <w:rPr>
                <w:sz w:val="20"/>
                <w:szCs w:val="20"/>
                <w:color w:val="auto"/>
              </w:rPr>
            </w:pPr>
            <w:r>
              <w:rPr>
                <w:rFonts w:ascii="Arial" w:cs="Arial" w:eastAsia="Arial" w:hAnsi="Arial"/>
                <w:sz w:val="17"/>
                <w:szCs w:val="17"/>
                <w:color w:val="auto"/>
              </w:rPr>
              <w:t>Increase in pro forma net tangible book value per share attributable to new investors participating in</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8"/>
        </w:trPr>
        <w:tc>
          <w:tcPr>
            <w:tcW w:w="20" w:type="dxa"/>
            <w:vAlign w:val="bottom"/>
          </w:tcPr>
          <w:p>
            <w:pPr>
              <w:spacing w:after="0"/>
              <w:rPr>
                <w:sz w:val="18"/>
                <w:szCs w:val="18"/>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this offering</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1.85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8180" w:type="dxa"/>
            <w:vAlign w:val="bottom"/>
          </w:tcPr>
          <w:p>
            <w:pPr>
              <w:spacing w:after="0" w:line="192" w:lineRule="exact"/>
              <w:rPr>
                <w:sz w:val="20"/>
                <w:szCs w:val="20"/>
                <w:color w:val="auto"/>
              </w:rPr>
            </w:pPr>
            <w:r>
              <w:rPr>
                <w:rFonts w:ascii="Arial" w:cs="Arial" w:eastAsia="Arial" w:hAnsi="Arial"/>
                <w:sz w:val="17"/>
                <w:szCs w:val="17"/>
                <w:color w:val="auto"/>
              </w:rPr>
              <w:t>Pro forma as adjusted net tangible book value per share after this offering</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9.39</w:t>
            </w:r>
          </w:p>
        </w:tc>
        <w:tc>
          <w:tcPr>
            <w:tcW w:w="60" w:type="dxa"/>
            <w:vAlign w:val="bottom"/>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818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Dilution per share to new investors participating in this offering</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280"/>
              <w:spacing w:after="0" w:line="192" w:lineRule="exact"/>
              <w:rPr>
                <w:sz w:val="20"/>
                <w:szCs w:val="20"/>
                <w:color w:val="auto"/>
              </w:rPr>
            </w:pPr>
            <w:r>
              <w:rPr>
                <w:rFonts w:ascii="Arial" w:cs="Arial" w:eastAsia="Arial" w:hAnsi="Arial"/>
                <w:sz w:val="17"/>
                <w:szCs w:val="17"/>
                <w:color w:val="auto"/>
                <w:w w:val="77"/>
              </w:rPr>
              <w:t> $</w:t>
            </w:r>
          </w:p>
        </w:tc>
        <w:tc>
          <w:tcPr>
            <w:tcW w:w="44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6.61</w:t>
            </w:r>
          </w:p>
        </w:tc>
        <w:tc>
          <w:tcPr>
            <w:tcW w:w="6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ind w:left="420" w:right="160" w:firstLine="521"/>
        <w:spacing w:after="0" w:line="252" w:lineRule="auto"/>
        <w:rPr>
          <w:sz w:val="20"/>
          <w:szCs w:val="20"/>
          <w:color w:val="auto"/>
        </w:rPr>
      </w:pPr>
      <w:r>
        <w:rPr>
          <w:rFonts w:ascii="Arial" w:cs="Arial" w:eastAsia="Arial" w:hAnsi="Arial"/>
          <w:sz w:val="17"/>
          <w:szCs w:val="17"/>
          <w:color w:val="auto"/>
        </w:rPr>
        <w:t>Each $1.00 increase or decrease in the assumed initial public offering price of $16.00 per share, which is the midpoint of the price range set forth on the cover page of this prospectus, would increase or decrease, as applicable, the pro forma as adjusted net tangible book value per share after this</w:t>
      </w:r>
    </w:p>
    <w:p>
      <w:pPr>
        <w:spacing w:after="0" w:line="10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0840"/>
          </w:cols>
          <w:pgMar w:left="320" w:top="439" w:right="7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120"/>
        <w:spacing w:after="0"/>
        <w:rPr>
          <w:sz w:val="20"/>
          <w:szCs w:val="20"/>
          <w:color w:val="auto"/>
        </w:rPr>
      </w:pPr>
      <w:r>
        <w:rPr>
          <w:rFonts w:ascii="Arial" w:cs="Arial" w:eastAsia="Arial" w:hAnsi="Arial"/>
          <w:sz w:val="17"/>
          <w:szCs w:val="17"/>
          <w:color w:val="auto"/>
        </w:rPr>
        <w:t>offering by approximately $0.26 per share, and dilution in pro forma as adjusted net tangible book value per share to new investors by approximately $0.26 per share, assuming that the number of shares offered by us, as set forth on the cover page of this prospectus, remains the same and after deducting the estimated underwriting discounts and commissions and the estimated offering expenses payable by us. Each increase or decrease of 1.0 million shares in the number of shares of common stock offered by us would increase or decrease, as applicable, our pro forma as adjusted net tangible book value per share after this offering by approximately $0.24 per share and decrease or increase, as applicable, the dilution to investors participating in this offering by approximately $0.24 per share, assuming that the assumed initial public offering price of $16.00 per share remains the same, and after deducting the estimated underwriting discounts and commissions and the estimated offering expenses payable by us.</w:t>
      </w:r>
    </w:p>
    <w:p>
      <w:pPr>
        <w:spacing w:after="0" w:line="148" w:lineRule="exact"/>
        <w:rPr>
          <w:sz w:val="20"/>
          <w:szCs w:val="20"/>
          <w:color w:val="auto"/>
        </w:rPr>
      </w:pPr>
    </w:p>
    <w:p>
      <w:pPr>
        <w:ind w:left="420" w:right="180" w:firstLine="521"/>
        <w:spacing w:after="0" w:line="244" w:lineRule="auto"/>
        <w:rPr>
          <w:sz w:val="20"/>
          <w:szCs w:val="20"/>
          <w:color w:val="auto"/>
        </w:rPr>
      </w:pPr>
      <w:r>
        <w:rPr>
          <w:rFonts w:ascii="Arial" w:cs="Arial" w:eastAsia="Arial" w:hAnsi="Arial"/>
          <w:sz w:val="17"/>
          <w:szCs w:val="17"/>
          <w:color w:val="auto"/>
        </w:rPr>
        <w:t>If the underwriters exercise their option to purchase additional shares of our common stock in full in this offering, the pro forma as adjusted net tangible book value after the offering would be approximately $9.61 per share, the increase in pro forma as adjusted net tangible book value per share to existing stockholders would be approximately $2.08 per share, and the dilution per share to investors in this offering would be $6.39 per share, in each case assuming an initial public offering price of $16.00 per share, which is the midpoint of the price range set forth on the cover page of this prospectus.</w:t>
      </w:r>
    </w:p>
    <w:p>
      <w:pPr>
        <w:spacing w:after="0" w:line="131" w:lineRule="exact"/>
        <w:rPr>
          <w:sz w:val="20"/>
          <w:szCs w:val="20"/>
          <w:color w:val="auto"/>
        </w:rPr>
      </w:pPr>
    </w:p>
    <w:p>
      <w:pPr>
        <w:ind w:left="420" w:right="440" w:firstLine="521"/>
        <w:spacing w:after="0" w:line="270" w:lineRule="auto"/>
        <w:rPr>
          <w:sz w:val="20"/>
          <w:szCs w:val="20"/>
          <w:color w:val="auto"/>
        </w:rPr>
      </w:pPr>
      <w:r>
        <w:rPr>
          <w:rFonts w:ascii="Arial" w:cs="Arial" w:eastAsia="Arial" w:hAnsi="Arial"/>
          <w:sz w:val="17"/>
          <w:szCs w:val="17"/>
          <w:color w:val="auto"/>
        </w:rPr>
        <w:t>The dilution information above is for illustration purposes only. Our pro forma as adjusted net tangible book value following the closing of this offering will depend on the actual initial public offering price and other terms of this offering determined at pricing.</w:t>
      </w:r>
    </w:p>
    <w:p>
      <w:pPr>
        <w:spacing w:after="0" w:line="110" w:lineRule="exact"/>
        <w:rPr>
          <w:sz w:val="20"/>
          <w:szCs w:val="20"/>
          <w:color w:val="auto"/>
        </w:rPr>
      </w:pPr>
    </w:p>
    <w:p>
      <w:pPr>
        <w:ind w:left="420" w:right="260" w:firstLine="521"/>
        <w:spacing w:after="0" w:line="242" w:lineRule="auto"/>
        <w:rPr>
          <w:sz w:val="20"/>
          <w:szCs w:val="20"/>
          <w:color w:val="auto"/>
        </w:rPr>
      </w:pPr>
      <w:r>
        <w:rPr>
          <w:rFonts w:ascii="Arial" w:cs="Arial" w:eastAsia="Arial" w:hAnsi="Arial"/>
          <w:sz w:val="17"/>
          <w:szCs w:val="17"/>
          <w:color w:val="auto"/>
        </w:rPr>
        <w:t>The following table summarizes on the pro forma as adjusted basis described above, as of December 31, 2023, the differences between the number of shares purchased from us, the total consideration paid to us in cash, and the weighted-average price per share paid by existing stockholders for shares issued prior to this offering and the price to be paid by new investors in this offering. The calculations below are based on an assumed initial public offering price of $16.00 per share, the midpoint of the price range set forth on the cover page of this prospectus, before deducting the estimated underwriting discounts and commissions and estimated offering expenses payable by us.</w:t>
      </w:r>
    </w:p>
    <w:p>
      <w:pPr>
        <w:spacing w:after="0" w:line="171"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100" w:type="dxa"/>
            <w:vAlign w:val="bottom"/>
            <w:gridSpan w:val="4"/>
            <w:vMerge w:val="restart"/>
          </w:tcPr>
          <w:p>
            <w:pPr>
              <w:jc w:val="right"/>
              <w:ind w:right="620"/>
              <w:spacing w:after="0"/>
              <w:rPr>
                <w:sz w:val="20"/>
                <w:szCs w:val="20"/>
                <w:color w:val="auto"/>
              </w:rPr>
            </w:pPr>
            <w:r>
              <w:rPr>
                <w:rFonts w:ascii="Arial" w:cs="Arial" w:eastAsia="Arial" w:hAnsi="Arial"/>
                <w:sz w:val="14"/>
                <w:szCs w:val="14"/>
                <w:b w:val="1"/>
                <w:bCs w:val="1"/>
                <w:color w:val="auto"/>
              </w:rPr>
              <w:t>Shares Purchased</w:t>
            </w:r>
          </w:p>
        </w:tc>
        <w:tc>
          <w:tcPr>
            <w:tcW w:w="180" w:type="dxa"/>
            <w:vAlign w:val="bottom"/>
          </w:tcPr>
          <w:p>
            <w:pPr>
              <w:spacing w:after="0"/>
              <w:rPr>
                <w:sz w:val="14"/>
                <w:szCs w:val="14"/>
                <w:color w:val="auto"/>
              </w:rPr>
            </w:pPr>
          </w:p>
        </w:tc>
        <w:tc>
          <w:tcPr>
            <w:tcW w:w="2260" w:type="dxa"/>
            <w:vAlign w:val="bottom"/>
            <w:gridSpan w:val="4"/>
            <w:vMerge w:val="restart"/>
          </w:tcPr>
          <w:p>
            <w:pPr>
              <w:jc w:val="right"/>
              <w:ind w:right="660"/>
              <w:spacing w:after="0"/>
              <w:rPr>
                <w:sz w:val="20"/>
                <w:szCs w:val="20"/>
                <w:color w:val="auto"/>
              </w:rPr>
            </w:pPr>
            <w:r>
              <w:rPr>
                <w:rFonts w:ascii="Arial" w:cs="Arial" w:eastAsia="Arial" w:hAnsi="Arial"/>
                <w:sz w:val="14"/>
                <w:szCs w:val="14"/>
                <w:b w:val="1"/>
                <w:bCs w:val="1"/>
                <w:color w:val="auto"/>
              </w:rPr>
              <w:t>Total Consideration</w:t>
            </w:r>
          </w:p>
        </w:tc>
        <w:tc>
          <w:tcPr>
            <w:tcW w:w="1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50"/>
        </w:trPr>
        <w:tc>
          <w:tcPr>
            <w:tcW w:w="4980" w:type="dxa"/>
            <w:vAlign w:val="bottom"/>
          </w:tcPr>
          <w:p>
            <w:pPr>
              <w:spacing w:after="0"/>
              <w:rPr>
                <w:sz w:val="13"/>
                <w:szCs w:val="13"/>
                <w:color w:val="auto"/>
              </w:rPr>
            </w:pPr>
          </w:p>
        </w:tc>
        <w:tc>
          <w:tcPr>
            <w:tcW w:w="210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226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ind w:left="60"/>
              <w:spacing w:after="0" w:line="150"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498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141"/>
              <w:spacing w:after="0" w:line="137" w:lineRule="exact"/>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163"/>
        </w:trPr>
        <w:tc>
          <w:tcPr>
            <w:tcW w:w="4980" w:type="dxa"/>
            <w:vAlign w:val="bottom"/>
          </w:tcPr>
          <w:p>
            <w:pPr>
              <w:spacing w:after="0"/>
              <w:rPr>
                <w:sz w:val="14"/>
                <w:szCs w:val="14"/>
                <w:color w:val="auto"/>
              </w:rPr>
            </w:pPr>
          </w:p>
        </w:tc>
        <w:tc>
          <w:tcPr>
            <w:tcW w:w="900" w:type="dxa"/>
            <w:vAlign w:val="bottom"/>
          </w:tcPr>
          <w:p>
            <w:pPr>
              <w:jc w:val="right"/>
              <w:ind w:right="122"/>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Percent</w:t>
            </w:r>
          </w:p>
        </w:tc>
        <w:tc>
          <w:tcPr>
            <w:tcW w:w="180" w:type="dxa"/>
            <w:vAlign w:val="bottom"/>
          </w:tcPr>
          <w:p>
            <w:pPr>
              <w:spacing w:after="0"/>
              <w:rPr>
                <w:sz w:val="14"/>
                <w:szCs w:val="14"/>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Percent</w:t>
            </w:r>
          </w:p>
        </w:tc>
        <w:tc>
          <w:tcPr>
            <w:tcW w:w="1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Existing stockholders before this offering</w:t>
            </w:r>
          </w:p>
        </w:tc>
        <w:tc>
          <w:tcPr>
            <w:tcW w:w="9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980" w:type="dxa"/>
            <w:vAlign w:val="bottom"/>
            <w:vMerge w:val="continue"/>
            <w:shd w:val="clear" w:color="auto" w:fill="CCEEFF"/>
          </w:tcPr>
          <w:p>
            <w:pPr>
              <w:spacing w:after="0"/>
              <w:rPr>
                <w:sz w:val="16"/>
                <w:szCs w:val="16"/>
                <w:color w:val="auto"/>
              </w:rPr>
            </w:pPr>
          </w:p>
        </w:tc>
        <w:tc>
          <w:tcPr>
            <w:tcW w:w="90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15,989,333</w:t>
            </w:r>
          </w:p>
        </w:tc>
        <w:tc>
          <w:tcPr>
            <w:tcW w:w="360" w:type="dxa"/>
            <w:vAlign w:val="bottom"/>
            <w:vMerge w:val="continue"/>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line="185" w:lineRule="exact"/>
              <w:rPr>
                <w:sz w:val="20"/>
                <w:szCs w:val="20"/>
                <w:color w:val="auto"/>
              </w:rPr>
            </w:pPr>
            <w:r>
              <w:rPr>
                <w:rFonts w:ascii="Arial" w:cs="Arial" w:eastAsia="Arial" w:hAnsi="Arial"/>
                <w:sz w:val="17"/>
                <w:szCs w:val="17"/>
                <w:color w:val="auto"/>
              </w:rPr>
              <w:t>71.9%</w:t>
            </w:r>
          </w:p>
        </w:tc>
        <w:tc>
          <w:tcPr>
            <w:tcW w:w="180" w:type="dxa"/>
            <w:vAlign w:val="bottom"/>
            <w:vMerge w:val="continue"/>
            <w:shd w:val="clear" w:color="auto" w:fill="CCEEFF"/>
          </w:tcPr>
          <w:p>
            <w:pPr>
              <w:spacing w:after="0"/>
              <w:rPr>
                <w:sz w:val="16"/>
                <w:szCs w:val="16"/>
                <w:color w:val="auto"/>
              </w:rPr>
            </w:pPr>
          </w:p>
        </w:tc>
        <w:tc>
          <w:tcPr>
            <w:tcW w:w="106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w w:val="95"/>
              </w:rPr>
              <w:t>$ 253,492,717</w:t>
            </w:r>
          </w:p>
        </w:tc>
        <w:tc>
          <w:tcPr>
            <w:tcW w:w="360" w:type="dxa"/>
            <w:vAlign w:val="bottom"/>
            <w:vMerge w:val="continue"/>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line="185" w:lineRule="exact"/>
              <w:rPr>
                <w:sz w:val="20"/>
                <w:szCs w:val="20"/>
                <w:color w:val="auto"/>
              </w:rPr>
            </w:pPr>
            <w:r>
              <w:rPr>
                <w:rFonts w:ascii="Arial" w:cs="Arial" w:eastAsia="Arial" w:hAnsi="Arial"/>
                <w:sz w:val="17"/>
                <w:szCs w:val="17"/>
                <w:color w:val="auto"/>
              </w:rPr>
              <w:t>71.7%</w:t>
            </w:r>
          </w:p>
        </w:tc>
        <w:tc>
          <w:tcPr>
            <w:tcW w:w="1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w:t>
            </w:r>
          </w:p>
        </w:tc>
        <w:tc>
          <w:tcPr>
            <w:tcW w:w="580" w:type="dxa"/>
            <w:vAlign w:val="bottom"/>
            <w:tcBorders>
              <w:right w:val="single" w:sz="8" w:color="CCEEFF"/>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15.85</w:t>
            </w:r>
          </w:p>
        </w:tc>
        <w:tc>
          <w:tcPr>
            <w:tcW w:w="0" w:type="dxa"/>
            <w:vAlign w:val="bottom"/>
          </w:tcPr>
          <w:p>
            <w:pPr>
              <w:spacing w:after="0"/>
              <w:rPr>
                <w:sz w:val="1"/>
                <w:szCs w:val="1"/>
                <w:color w:val="auto"/>
              </w:rPr>
            </w:pPr>
          </w:p>
        </w:tc>
      </w:tr>
      <w:tr>
        <w:trPr>
          <w:trHeight w:val="192"/>
        </w:trPr>
        <w:tc>
          <w:tcPr>
            <w:tcW w:w="4980" w:type="dxa"/>
            <w:vAlign w:val="bottom"/>
          </w:tcPr>
          <w:p>
            <w:pPr>
              <w:spacing w:after="0" w:line="192" w:lineRule="exact"/>
              <w:rPr>
                <w:sz w:val="20"/>
                <w:szCs w:val="20"/>
                <w:color w:val="auto"/>
              </w:rPr>
            </w:pPr>
            <w:r>
              <w:rPr>
                <w:rFonts w:ascii="Arial" w:cs="Arial" w:eastAsia="Arial" w:hAnsi="Arial"/>
                <w:sz w:val="17"/>
                <w:szCs w:val="17"/>
                <w:color w:val="auto"/>
              </w:rPr>
              <w:t>New investors participating in this offering</w:t>
            </w:r>
          </w:p>
        </w:tc>
        <w:tc>
          <w:tcPr>
            <w:tcW w:w="1260" w:type="dxa"/>
            <w:vAlign w:val="bottom"/>
            <w:gridSpan w:val="2"/>
          </w:tcPr>
          <w:p>
            <w:pPr>
              <w:jc w:val="right"/>
              <w:ind w:right="360"/>
              <w:spacing w:after="0" w:line="192" w:lineRule="exact"/>
              <w:rPr>
                <w:sz w:val="20"/>
                <w:szCs w:val="20"/>
                <w:color w:val="auto"/>
              </w:rPr>
            </w:pPr>
            <w:r>
              <w:rPr>
                <w:rFonts w:ascii="Arial" w:cs="Arial" w:eastAsia="Arial" w:hAnsi="Arial"/>
                <w:sz w:val="17"/>
                <w:szCs w:val="17"/>
                <w:color w:val="auto"/>
              </w:rPr>
              <w:t>6,250,000</w:t>
            </w:r>
          </w:p>
        </w:tc>
        <w:tc>
          <w:tcPr>
            <w:tcW w:w="840" w:type="dxa"/>
            <w:vAlign w:val="bottom"/>
            <w:gridSpan w:val="2"/>
          </w:tcPr>
          <w:p>
            <w:pPr>
              <w:jc w:val="right"/>
              <w:ind w:right="180"/>
              <w:spacing w:after="0" w:line="192" w:lineRule="exact"/>
              <w:rPr>
                <w:sz w:val="20"/>
                <w:szCs w:val="20"/>
                <w:color w:val="auto"/>
              </w:rPr>
            </w:pPr>
            <w:r>
              <w:rPr>
                <w:rFonts w:ascii="Arial" w:cs="Arial" w:eastAsia="Arial" w:hAnsi="Arial"/>
                <w:sz w:val="17"/>
                <w:szCs w:val="17"/>
                <w:color w:val="auto"/>
              </w:rPr>
              <w:t>28.1%</w:t>
            </w:r>
          </w:p>
        </w:tc>
        <w:tc>
          <w:tcPr>
            <w:tcW w:w="1600" w:type="dxa"/>
            <w:vAlign w:val="bottom"/>
            <w:gridSpan w:val="3"/>
          </w:tcPr>
          <w:p>
            <w:pPr>
              <w:jc w:val="right"/>
              <w:ind w:right="360"/>
              <w:spacing w:after="0" w:line="192" w:lineRule="exact"/>
              <w:rPr>
                <w:sz w:val="20"/>
                <w:szCs w:val="20"/>
                <w:color w:val="auto"/>
              </w:rPr>
            </w:pPr>
            <w:r>
              <w:rPr>
                <w:rFonts w:ascii="Arial" w:cs="Arial" w:eastAsia="Arial" w:hAnsi="Arial"/>
                <w:sz w:val="17"/>
                <w:szCs w:val="17"/>
                <w:color w:val="auto"/>
              </w:rPr>
              <w:t>100,000,000</w:t>
            </w:r>
          </w:p>
        </w:tc>
        <w:tc>
          <w:tcPr>
            <w:tcW w:w="840" w:type="dxa"/>
            <w:vAlign w:val="bottom"/>
            <w:gridSpan w:val="2"/>
          </w:tcPr>
          <w:p>
            <w:pPr>
              <w:jc w:val="right"/>
              <w:ind w:right="180"/>
              <w:spacing w:after="0" w:line="192" w:lineRule="exact"/>
              <w:rPr>
                <w:sz w:val="20"/>
                <w:szCs w:val="20"/>
                <w:color w:val="auto"/>
              </w:rPr>
            </w:pPr>
            <w:r>
              <w:rPr>
                <w:rFonts w:ascii="Arial" w:cs="Arial" w:eastAsia="Arial" w:hAnsi="Arial"/>
                <w:sz w:val="17"/>
                <w:szCs w:val="17"/>
                <w:color w:val="auto"/>
              </w:rPr>
              <w:t>28.3%</w:t>
            </w:r>
          </w:p>
        </w:tc>
        <w:tc>
          <w:tcPr>
            <w:tcW w:w="320" w:type="dxa"/>
            <w:vAlign w:val="bottom"/>
            <w:gridSpan w:val="2"/>
          </w:tcPr>
          <w:p>
            <w:pPr>
              <w:ind w:left="180"/>
              <w:spacing w:after="0" w:line="192" w:lineRule="exact"/>
              <w:rPr>
                <w:sz w:val="20"/>
                <w:szCs w:val="20"/>
                <w:color w:val="auto"/>
              </w:rPr>
            </w:pPr>
            <w:r>
              <w:rPr>
                <w:rFonts w:ascii="Arial" w:cs="Arial" w:eastAsia="Arial" w:hAnsi="Arial"/>
                <w:sz w:val="17"/>
                <w:szCs w:val="17"/>
                <w:color w:val="auto"/>
              </w:rPr>
              <w:t>$</w:t>
            </w:r>
          </w:p>
        </w:tc>
        <w:tc>
          <w:tcPr>
            <w:tcW w:w="580" w:type="dxa"/>
            <w:vAlign w:val="bottom"/>
          </w:tcPr>
          <w:p>
            <w:pPr>
              <w:jc w:val="right"/>
              <w:spacing w:after="0" w:line="192" w:lineRule="exact"/>
              <w:rPr>
                <w:sz w:val="20"/>
                <w:szCs w:val="20"/>
                <w:color w:val="auto"/>
              </w:rPr>
            </w:pPr>
            <w:r>
              <w:rPr>
                <w:rFonts w:ascii="Arial" w:cs="Arial" w:eastAsia="Arial" w:hAnsi="Arial"/>
                <w:sz w:val="17"/>
                <w:szCs w:val="17"/>
                <w:color w:val="auto"/>
              </w:rPr>
              <w:t>16.00</w:t>
            </w:r>
          </w:p>
        </w:tc>
        <w:tc>
          <w:tcPr>
            <w:tcW w:w="0" w:type="dxa"/>
            <w:vAlign w:val="bottom"/>
          </w:tcPr>
          <w:p>
            <w:pPr>
              <w:spacing w:after="0"/>
              <w:rPr>
                <w:sz w:val="1"/>
                <w:szCs w:val="1"/>
                <w:color w:val="auto"/>
              </w:rPr>
            </w:pPr>
          </w:p>
        </w:tc>
      </w:tr>
      <w:tr>
        <w:trPr>
          <w:trHeight w:val="26"/>
        </w:trPr>
        <w:tc>
          <w:tcPr>
            <w:tcW w:w="49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980" w:type="dxa"/>
            <w:vAlign w:val="bottom"/>
            <w:shd w:val="clear" w:color="auto" w:fill="CCEEFF"/>
          </w:tcPr>
          <w:p>
            <w:pPr>
              <w:ind w:left="240"/>
              <w:spacing w:after="0" w:line="192" w:lineRule="exact"/>
              <w:rPr>
                <w:sz w:val="20"/>
                <w:szCs w:val="20"/>
                <w:color w:val="auto"/>
              </w:rPr>
            </w:pPr>
            <w:r>
              <w:rPr>
                <w:rFonts w:ascii="Arial" w:cs="Arial" w:eastAsia="Arial" w:hAnsi="Arial"/>
                <w:sz w:val="17"/>
                <w:szCs w:val="17"/>
                <w:color w:val="auto"/>
              </w:rPr>
              <w:t>Total</w:t>
            </w:r>
          </w:p>
        </w:tc>
        <w:tc>
          <w:tcPr>
            <w:tcW w:w="1260" w:type="dxa"/>
            <w:vAlign w:val="bottom"/>
            <w:gridSpan w:val="2"/>
            <w:shd w:val="clear" w:color="auto" w:fill="CCEEFF"/>
          </w:tcPr>
          <w:p>
            <w:pPr>
              <w:jc w:val="right"/>
              <w:ind w:right="360"/>
              <w:spacing w:after="0" w:line="192" w:lineRule="exact"/>
              <w:rPr>
                <w:sz w:val="20"/>
                <w:szCs w:val="20"/>
                <w:color w:val="auto"/>
              </w:rPr>
            </w:pPr>
            <w:r>
              <w:rPr>
                <w:rFonts w:ascii="Arial" w:cs="Arial" w:eastAsia="Arial" w:hAnsi="Arial"/>
                <w:sz w:val="17"/>
                <w:szCs w:val="17"/>
                <w:color w:val="auto"/>
              </w:rPr>
              <w:t>22,239,333</w:t>
            </w:r>
          </w:p>
        </w:tc>
        <w:tc>
          <w:tcPr>
            <w:tcW w:w="840" w:type="dxa"/>
            <w:vAlign w:val="bottom"/>
            <w:gridSpan w:val="2"/>
            <w:shd w:val="clear" w:color="auto" w:fill="CCEEFF"/>
          </w:tcPr>
          <w:p>
            <w:pPr>
              <w:jc w:val="right"/>
              <w:ind w:right="180"/>
              <w:spacing w:after="0" w:line="192" w:lineRule="exact"/>
              <w:rPr>
                <w:sz w:val="20"/>
                <w:szCs w:val="20"/>
                <w:color w:val="auto"/>
              </w:rPr>
            </w:pPr>
            <w:r>
              <w:rPr>
                <w:rFonts w:ascii="Arial" w:cs="Arial" w:eastAsia="Arial" w:hAnsi="Arial"/>
                <w:sz w:val="17"/>
                <w:szCs w:val="17"/>
                <w:color w:val="auto"/>
              </w:rPr>
              <w:t>100.0%</w:t>
            </w:r>
          </w:p>
        </w:tc>
        <w:tc>
          <w:tcPr>
            <w:tcW w:w="1600" w:type="dxa"/>
            <w:vAlign w:val="bottom"/>
            <w:gridSpan w:val="3"/>
            <w:shd w:val="clear" w:color="auto" w:fill="CCEEFF"/>
          </w:tcPr>
          <w:p>
            <w:pPr>
              <w:jc w:val="right"/>
              <w:ind w:right="360"/>
              <w:spacing w:after="0" w:line="192"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 xml:space="preserve"> 353,492,717</w:t>
            </w:r>
          </w:p>
        </w:tc>
        <w:tc>
          <w:tcPr>
            <w:tcW w:w="840" w:type="dxa"/>
            <w:vAlign w:val="bottom"/>
            <w:gridSpan w:val="2"/>
            <w:shd w:val="clear" w:color="auto" w:fill="CCEEFF"/>
          </w:tcPr>
          <w:p>
            <w:pPr>
              <w:jc w:val="right"/>
              <w:ind w:right="180"/>
              <w:spacing w:after="0" w:line="192" w:lineRule="exact"/>
              <w:rPr>
                <w:sz w:val="20"/>
                <w:szCs w:val="20"/>
                <w:color w:val="auto"/>
              </w:rPr>
            </w:pPr>
            <w:r>
              <w:rPr>
                <w:rFonts w:ascii="Arial" w:cs="Arial" w:eastAsia="Arial" w:hAnsi="Arial"/>
                <w:sz w:val="17"/>
                <w:szCs w:val="17"/>
                <w:color w:val="auto"/>
              </w:rPr>
              <w:t>100.0%</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940"/>
        <w:spacing w:after="0"/>
        <w:rPr>
          <w:sz w:val="20"/>
          <w:szCs w:val="20"/>
          <w:color w:val="auto"/>
        </w:rPr>
      </w:pPr>
      <w:r>
        <w:rPr>
          <w:rFonts w:ascii="Arial" w:cs="Arial" w:eastAsia="Arial" w:hAnsi="Arial"/>
          <w:sz w:val="17"/>
          <w:szCs w:val="17"/>
          <w:color w:val="auto"/>
        </w:rPr>
        <w:t>If the underwriters exercise their option to purchase additional shares of our common stock in full:</w:t>
      </w:r>
    </w:p>
    <w:p>
      <w:pPr>
        <w:spacing w:after="0" w:line="201" w:lineRule="exact"/>
        <w:rPr>
          <w:sz w:val="20"/>
          <w:szCs w:val="20"/>
          <w:color w:val="auto"/>
        </w:rPr>
      </w:pPr>
    </w:p>
    <w:p>
      <w:pPr>
        <w:ind w:left="1660" w:right="40" w:hanging="418"/>
        <w:spacing w:after="0" w:line="270" w:lineRule="auto"/>
        <w:tabs>
          <w:tab w:leader="none" w:pos="1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percentage of shares of common stock held by existing stockholders will decrease to approximately 69.0% of the total number of shares of our common stock outstanding after this offering; and</w:t>
      </w:r>
    </w:p>
    <w:p>
      <w:pPr>
        <w:spacing w:after="0" w:line="147" w:lineRule="exact"/>
        <w:rPr>
          <w:rFonts w:ascii="Arial" w:cs="Arial" w:eastAsia="Arial" w:hAnsi="Arial"/>
          <w:sz w:val="17"/>
          <w:szCs w:val="17"/>
          <w:color w:val="auto"/>
        </w:rPr>
      </w:pPr>
    </w:p>
    <w:p>
      <w:pPr>
        <w:ind w:left="1660" w:right="500" w:hanging="418"/>
        <w:spacing w:after="0" w:line="270" w:lineRule="auto"/>
        <w:tabs>
          <w:tab w:leader="none" w:pos="1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number of shares held by new investors participating in this offering will increase to 7,187,500, or approximately 31.0% of the total number of shares of our common stock outstanding after this offering.</w:t>
      </w:r>
    </w:p>
    <w:p>
      <w:pPr>
        <w:spacing w:after="0" w:line="8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0840"/>
          </w:cols>
          <w:pgMar w:left="320" w:top="439" w:right="7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100" w:firstLine="521"/>
        <w:spacing w:after="0" w:line="247" w:lineRule="auto"/>
        <w:rPr>
          <w:sz w:val="20"/>
          <w:szCs w:val="20"/>
          <w:color w:val="auto"/>
        </w:rPr>
      </w:pPr>
      <w:r>
        <w:rPr>
          <w:rFonts w:ascii="Arial" w:cs="Arial" w:eastAsia="Arial" w:hAnsi="Arial"/>
          <w:sz w:val="17"/>
          <w:szCs w:val="17"/>
          <w:color w:val="auto"/>
        </w:rPr>
        <w:t>The foregoing tables and calculations above (other than the historical net tangible book value calculations) are based on 15,989,333 shares of our common stock outstanding as of December 31, 2023, including 1,481 shares subject to our right of repurchase, after giving effect to the automatic conversion of all outstanding shares of our convertible preferred stock into 14,740,840 shares of our common stock immediately prior to the closing of this offering, and exclude:</w:t>
      </w:r>
    </w:p>
    <w:p>
      <w:pPr>
        <w:spacing w:after="0" w:line="166" w:lineRule="exact"/>
        <w:rPr>
          <w:sz w:val="20"/>
          <w:szCs w:val="20"/>
          <w:color w:val="auto"/>
        </w:rPr>
      </w:pPr>
    </w:p>
    <w:p>
      <w:pPr>
        <w:ind w:left="1660" w:right="300" w:hanging="418"/>
        <w:spacing w:after="0" w:line="270" w:lineRule="auto"/>
        <w:tabs>
          <w:tab w:leader="none" w:pos="1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2,813,937 shares of common stock issuable upon the exercise of outstanding stock options as of December 31, 2023, with a weighted-average exercise price of $4.13 per share;</w:t>
      </w:r>
    </w:p>
    <w:p>
      <w:pPr>
        <w:spacing w:after="0" w:line="147" w:lineRule="exact"/>
        <w:rPr>
          <w:rFonts w:ascii="Arial" w:cs="Arial" w:eastAsia="Arial" w:hAnsi="Arial"/>
          <w:sz w:val="17"/>
          <w:szCs w:val="17"/>
          <w:color w:val="auto"/>
        </w:rPr>
      </w:pPr>
    </w:p>
    <w:p>
      <w:pPr>
        <w:ind w:left="1660" w:right="320" w:hanging="418"/>
        <w:spacing w:after="0" w:line="270" w:lineRule="auto"/>
        <w:tabs>
          <w:tab w:leader="none" w:pos="1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840,292 shares of common stock issuable upon exercise of stock options granted subsequent to December 31, 2023, with a weighted-average exercise price of $8.19 per share;</w:t>
      </w:r>
    </w:p>
    <w:p>
      <w:pPr>
        <w:spacing w:after="0" w:line="147" w:lineRule="exact"/>
        <w:rPr>
          <w:rFonts w:ascii="Arial" w:cs="Arial" w:eastAsia="Arial" w:hAnsi="Arial"/>
          <w:sz w:val="17"/>
          <w:szCs w:val="17"/>
          <w:color w:val="auto"/>
        </w:rPr>
      </w:pPr>
    </w:p>
    <w:p>
      <w:pPr>
        <w:ind w:left="1660" w:hanging="418"/>
        <w:spacing w:after="0" w:line="242" w:lineRule="auto"/>
        <w:tabs>
          <w:tab w:leader="none" w:pos="1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number of the IPO grants equal to 2.2% of the number of shares of our common stock to be outstanding upon the closing of this offering (calculated on an as-converted basis and after giving effect to the number of shares of our common stock to be sold in this offering and assuming the exercise in full of the underwriters’ option to purchase additional shares), to be granted in connection with this offering under our 2024 Plan, which will become effective in connection with this offering, to certain of our executive officers, directors, employees and consultants, at an exercise price equal to the initial public offering price in this offering;</w:t>
      </w:r>
    </w:p>
    <w:p>
      <w:pPr>
        <w:spacing w:after="0" w:line="171" w:lineRule="exact"/>
        <w:rPr>
          <w:rFonts w:ascii="Arial" w:cs="Arial" w:eastAsia="Arial" w:hAnsi="Arial"/>
          <w:sz w:val="17"/>
          <w:szCs w:val="17"/>
          <w:color w:val="auto"/>
        </w:rPr>
      </w:pPr>
    </w:p>
    <w:p>
      <w:pPr>
        <w:ind w:left="1660" w:right="40" w:hanging="418"/>
        <w:spacing w:after="0"/>
        <w:tabs>
          <w:tab w:leader="none" w:pos="1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number of shares of our common stock reserved for future issuance under our 2024 Plan (which number includes the IPO Grants), which will equal the sum of (1) a number of shares equal to 12.0% of the number of shares of our common stock to be outstanding upon the closing of this offering (calculated on an as-converted basis and after giving effect to the number of shares of our common stock to be sold in this offering and assuming the exercise in full of the underwriters’ options to purchase additional shares), plus (2) 24,841 shares of our common stock remaining available for future issuance under our 2018 Plan as of the effectiveness of the 2024 Plan, which shares will be added to the share reserve under the 2024 Plan upon its effectiveness, plus (3) any potential evergreen increases pursuant to the terms of the 2024 Plan; and</w:t>
      </w:r>
    </w:p>
    <w:p>
      <w:pPr>
        <w:spacing w:after="0" w:line="173" w:lineRule="exact"/>
        <w:rPr>
          <w:rFonts w:ascii="Arial" w:cs="Arial" w:eastAsia="Arial" w:hAnsi="Arial"/>
          <w:sz w:val="17"/>
          <w:szCs w:val="17"/>
          <w:color w:val="auto"/>
        </w:rPr>
      </w:pPr>
    </w:p>
    <w:p>
      <w:pPr>
        <w:ind w:left="1660" w:hanging="418"/>
        <w:spacing w:after="0" w:line="242" w:lineRule="auto"/>
        <w:tabs>
          <w:tab w:leader="none" w:pos="1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number of shares of our common stock reserved for future issuance under our 2024 ESPP, which will become effective in connection with this offering, which will equal the sum of (1) a number of shares equal to 1% of the number of shares of our common stock to be outstanding upon the closing of this offering (calculated on an as-converted basis and after giving effect to the number of shares of our common stock to be sold in this offering and assuming the exercise in full of the underwriters’ options to purchase additional shares), plus (2) any potential evergreen increases pursuant to the terms of the ESPP.</w:t>
      </w:r>
    </w:p>
    <w:p>
      <w:pPr>
        <w:spacing w:after="0" w:line="146" w:lineRule="exact"/>
        <w:rPr>
          <w:sz w:val="20"/>
          <w:szCs w:val="20"/>
          <w:color w:val="auto"/>
        </w:rPr>
      </w:pPr>
    </w:p>
    <w:p>
      <w:pPr>
        <w:ind w:left="420" w:right="120" w:firstLine="521"/>
        <w:spacing w:after="0" w:line="252" w:lineRule="auto"/>
        <w:rPr>
          <w:sz w:val="20"/>
          <w:szCs w:val="20"/>
          <w:color w:val="auto"/>
        </w:rPr>
      </w:pPr>
      <w:r>
        <w:rPr>
          <w:rFonts w:ascii="Arial" w:cs="Arial" w:eastAsia="Arial" w:hAnsi="Arial"/>
          <w:sz w:val="17"/>
          <w:szCs w:val="17"/>
          <w:color w:val="auto"/>
        </w:rPr>
        <w:t>To the extent any outstanding options are exercised, new options or other equity awards are issued under our equity incentive plans, or we issue additional equity or convertible securities in the future, there will be further dilution to new investors participating in this offering.</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0820"/>
          </w:cols>
          <w:pgMar w:left="320" w:top="439" w:right="7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MANAGEMENT’S DISCUSSION AND ANALYSIS OF FINANCIAL CONDITION AND</w:t>
      </w:r>
    </w:p>
    <w:p>
      <w:pPr>
        <w:spacing w:after="0" w:line="12"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RESULTS OF OPERATIONS</w:t>
      </w:r>
    </w:p>
    <w:p>
      <w:pPr>
        <w:spacing w:after="0" w:line="161" w:lineRule="exact"/>
        <w:rPr>
          <w:sz w:val="20"/>
          <w:szCs w:val="20"/>
          <w:color w:val="auto"/>
        </w:rPr>
      </w:pPr>
    </w:p>
    <w:p>
      <w:pPr>
        <w:ind w:left="420" w:right="20" w:firstLine="417"/>
        <w:spacing w:after="0"/>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financial statements and related notes included elsewhere in this prospectus. Some of the information contained in this discussion and analysis are set forth elsewhere in this prospectus, including information with respect to our plans and strategy for our business and related financing, and includes forward-looking statements that involve risks and uncertainties. As a result of many factors, including those factors set forth in the section titled “Risk Factors,” our actual results could differ materially from the results described in or implied by the forward-looking statements contained in the following discussion and analysis. See also the section titled “Special Note Regarding Forward-Looking Statements.”</w:t>
      </w:r>
    </w:p>
    <w:p>
      <w:pPr>
        <w:spacing w:after="0" w:line="27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Overview</w:t>
      </w:r>
    </w:p>
    <w:p>
      <w:pPr>
        <w:spacing w:after="0" w:line="98" w:lineRule="exact"/>
        <w:rPr>
          <w:sz w:val="20"/>
          <w:szCs w:val="20"/>
          <w:color w:val="auto"/>
        </w:rPr>
      </w:pPr>
    </w:p>
    <w:p>
      <w:pPr>
        <w:ind w:left="420" w:firstLine="521"/>
        <w:spacing w:after="0"/>
        <w:rPr>
          <w:sz w:val="20"/>
          <w:szCs w:val="20"/>
          <w:color w:val="auto"/>
        </w:rPr>
      </w:pPr>
      <w:r>
        <w:rPr>
          <w:rFonts w:ascii="Arial" w:cs="Arial" w:eastAsia="Arial" w:hAnsi="Arial"/>
          <w:sz w:val="17"/>
          <w:szCs w:val="17"/>
          <w:color w:val="auto"/>
        </w:rPr>
        <w:t>We are a clinical-stage oncology company dedicated to unlocking a new paradigm in cancer therapeutics that addresses the significant unmet need in patients with oncogene amplified tumors by targeting ecDNA, a root cause of oncogene amplification observed in more than 14% of cancer patients. Using our proprietary Spyglass platform, we identify targets essential for ecDNA functionality in cancer cells, then design and develop ecDTx to inhibit those targets with the aim to prevent cancer cells from using ecDNA to grow, adapt, and become resistant to existing therapies. Instead of directly targeting the proteins produced by amplified oncogenes, like the approach of traditional targeted therapies, our ecDTx are intended to be synthetic lethal in tumor cells reliant on ecDNA. They are designed to disrupt the underlying cellular machinery that enables ecDNA to function properly, such as proteins essential for ecDNA replication, transcription, assembly, repair, and segregation.</w:t>
      </w:r>
    </w:p>
    <w:p>
      <w:pPr>
        <w:spacing w:after="0" w:line="136" w:lineRule="exact"/>
        <w:rPr>
          <w:sz w:val="20"/>
          <w:szCs w:val="20"/>
          <w:color w:val="auto"/>
        </w:rPr>
      </w:pPr>
    </w:p>
    <w:p>
      <w:pPr>
        <w:ind w:left="420" w:right="100" w:firstLine="521"/>
        <w:spacing w:after="0" w:line="237" w:lineRule="auto"/>
        <w:rPr>
          <w:sz w:val="20"/>
          <w:szCs w:val="20"/>
          <w:color w:val="auto"/>
        </w:rPr>
      </w:pPr>
      <w:r>
        <w:rPr>
          <w:rFonts w:ascii="Arial" w:cs="Arial" w:eastAsia="Arial" w:hAnsi="Arial"/>
          <w:sz w:val="17"/>
          <w:szCs w:val="17"/>
          <w:color w:val="auto"/>
        </w:rPr>
        <w:t xml:space="preserve">Our lead ecDTx, BBI-355, is a novel, oral, selective small molecule CHK1 inhibitor being studied in the ongoing first-in-human, Phase 1/2 POTENTIATE clinical trial in patients with oncogene amplified cancers. We expect to have preliminary clinical proof of concept safety and antitumor activity data of BBI-355 as a single agent and in combination with targeted therapies in the second half of 2024 from approximately 50 to 90 total enrolled patients (single agent cohorts N=~30 to 40, combination cohorts N=~20 to 50). Our second ecDTx, BBI-825, is a novel, oral, selective small molecule RNR inhibitor. In February 2024, we initiated the first-in-human, Phase 1/2 STARMAP clinical trial in patients with resistance gene amplifications. Our third ecDTx program, in the drug discovery stage, is directed at a previously undrugged kinesin target essential for ecDNA segregation and inheritance during cell division, and we are advancing this program through drug discovery to candidate identification and expect to submit an IND in the first half of 2026. We continue to leverage Spyglass to identify and preclinically validate additional ecDNA-essential targets. In addition to our three ecDTx programs described above, we have preclinically validated multiple additional ecDNA targets and have initiated ecDTx drug discovery efforts to identify candidates against such targets. We expect to continue to identify and preclinically validate additional ecDNA targets using our Spyglass platform in the future. To date, all of our ecDTx have been discovered internally, and we retain global rights for all of our programs. To assist in identifying patients that may benefit from our ecDTx, we have developed an ecDNA diagnostic test, internally called ECHO, to detect ecDNA in patient tumor samples via routine NGS assays. We are working with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company to develop the ecDNA diagnostic into a clinical trial assay, which we intend to use in our ongoing Phase 1/2 POTENTIATE clinical trial. The FDA has determined that the ecDNA diagnostic is a non-significant risk device when used in patient selection for the POTENTIATE trial, meaning that we will not be required to obtain FDA approval of an IDE for the use of the ecDNA diagnostic in this trial.</w:t>
      </w:r>
    </w:p>
    <w:p>
      <w:pPr>
        <w:spacing w:after="0" w:line="143" w:lineRule="exact"/>
        <w:rPr>
          <w:sz w:val="20"/>
          <w:szCs w:val="20"/>
          <w:color w:val="auto"/>
        </w:rPr>
      </w:pPr>
    </w:p>
    <w:p>
      <w:pPr>
        <w:ind w:left="420" w:right="680" w:firstLine="521"/>
        <w:spacing w:after="0" w:line="270" w:lineRule="auto"/>
        <w:rPr>
          <w:sz w:val="20"/>
          <w:szCs w:val="20"/>
          <w:color w:val="auto"/>
        </w:rPr>
      </w:pPr>
      <w:r>
        <w:rPr>
          <w:rFonts w:ascii="Arial" w:cs="Arial" w:eastAsia="Arial" w:hAnsi="Arial"/>
          <w:sz w:val="17"/>
          <w:szCs w:val="17"/>
          <w:color w:val="auto"/>
        </w:rPr>
        <w:t>Since we commenced operations in 2018, we have devoted substantially all of our resources to organizing and staffing our company, business planning, raising capital, building our proprietary</w:t>
      </w:r>
    </w:p>
    <w:p>
      <w:pPr>
        <w:spacing w:after="0" w:line="8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0820"/>
          </w:cols>
          <w:pgMar w:left="320" w:top="439" w:right="7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140"/>
        <w:spacing w:after="0" w:line="252" w:lineRule="auto"/>
        <w:rPr>
          <w:sz w:val="20"/>
          <w:szCs w:val="20"/>
          <w:color w:val="auto"/>
        </w:rPr>
      </w:pPr>
      <w:r>
        <w:rPr>
          <w:rFonts w:ascii="Arial" w:cs="Arial" w:eastAsia="Arial" w:hAnsi="Arial"/>
          <w:sz w:val="17"/>
          <w:szCs w:val="17"/>
          <w:color w:val="auto"/>
        </w:rPr>
        <w:t>Spyglass platform, discovering our ecDTx, developing our ecDNA diagnostic, establishing our intellectual property portfolio, conducting research, preclinical studies, and clinical trials, establishing arrangements with third parties for the manufacture of our ecDTx and related raw materials, and providing general and administrative support for these operations.</w:t>
      </w:r>
    </w:p>
    <w:p>
      <w:pPr>
        <w:spacing w:after="0" w:line="138" w:lineRule="exact"/>
        <w:rPr>
          <w:sz w:val="20"/>
          <w:szCs w:val="20"/>
          <w:color w:val="auto"/>
        </w:rPr>
      </w:pPr>
    </w:p>
    <w:p>
      <w:pPr>
        <w:ind w:left="420" w:right="80" w:firstLine="521"/>
        <w:spacing w:after="0" w:line="239" w:lineRule="auto"/>
        <w:rPr>
          <w:sz w:val="20"/>
          <w:szCs w:val="20"/>
          <w:color w:val="auto"/>
        </w:rPr>
      </w:pPr>
      <w:r>
        <w:rPr>
          <w:rFonts w:ascii="Arial" w:cs="Arial" w:eastAsia="Arial" w:hAnsi="Arial"/>
          <w:sz w:val="17"/>
          <w:szCs w:val="17"/>
          <w:color w:val="auto"/>
        </w:rPr>
        <w:t>We have incurred significant operating losses since our inception and, as of December 31, 2023, we had an accumulated deficit of $136.1 million. We expect to continue to incur losses for the foreseeable future, and we anticipate these losses will increase substantially as we continue our development of, seek regulatory approval for, and potentially commercialize any of our ecDTx and seek to discover and develop additional ecDTx, develop our ecDNA diagnostic, conduct our ongoing and planned clinical trials and preclinical studies, continue our research and development activities, utilize third parties to manufacture our ecDTx and related raw materials, hire additional personnel, expand and protect our intellectual property, as well as incur additional costs associated with being a public company. If we obtain regulatory approval for any of our ecDTx, we expect to incur significant commercialization expenses related to product sales, marketing, manufacturing, and distribution. Our net losses may fluctuate significantly from quarter-to-quarter and year-to-year, depending on the timing of our clinical trials and preclinical studies and our other research and development activities and capital expenditures.</w:t>
      </w:r>
    </w:p>
    <w:p>
      <w:pPr>
        <w:spacing w:after="0" w:line="139" w:lineRule="exact"/>
        <w:rPr>
          <w:sz w:val="20"/>
          <w:szCs w:val="20"/>
          <w:color w:val="auto"/>
        </w:rPr>
      </w:pPr>
    </w:p>
    <w:p>
      <w:pPr>
        <w:ind w:left="420" w:firstLine="521"/>
        <w:spacing w:after="0" w:line="244" w:lineRule="auto"/>
        <w:rPr>
          <w:sz w:val="20"/>
          <w:szCs w:val="20"/>
          <w:color w:val="auto"/>
        </w:rPr>
      </w:pPr>
      <w:r>
        <w:rPr>
          <w:rFonts w:ascii="Arial" w:cs="Arial" w:eastAsia="Arial" w:hAnsi="Arial"/>
          <w:sz w:val="17"/>
          <w:szCs w:val="17"/>
          <w:color w:val="auto"/>
        </w:rPr>
        <w:t>Through December 31, 2023, we have raised a total of $253.5 million to fund our operations primarily from the gross proceeds from the sale and issuance of our convertible preferred stock. As of December 31, 2023, we had cash, cash equivalents, and short-term investments of $120.8 million. Based upon our current operating plans, we believe that the estimated net proceeds from this offering, together with our existing cash, cash equivalents, and short-term investments, will be sufficient to fund our operations into the second half of 2026.</w:t>
      </w:r>
    </w:p>
    <w:p>
      <w:pPr>
        <w:spacing w:after="0" w:line="131" w:lineRule="exact"/>
        <w:rPr>
          <w:sz w:val="20"/>
          <w:szCs w:val="20"/>
          <w:color w:val="auto"/>
        </w:rPr>
      </w:pPr>
    </w:p>
    <w:p>
      <w:pPr>
        <w:ind w:left="420" w:right="80" w:firstLine="521"/>
        <w:spacing w:after="0" w:line="238" w:lineRule="auto"/>
        <w:rPr>
          <w:sz w:val="20"/>
          <w:szCs w:val="20"/>
          <w:color w:val="auto"/>
        </w:rPr>
      </w:pPr>
      <w:r>
        <w:rPr>
          <w:rFonts w:ascii="Arial" w:cs="Arial" w:eastAsia="Arial" w:hAnsi="Arial"/>
          <w:sz w:val="17"/>
          <w:szCs w:val="17"/>
          <w:color w:val="auto"/>
        </w:rPr>
        <w:t>We do not have any products approved for sale and have not generated any revenue to date. We do not expect to generate any revenue from product sales until we successfully complete development and obtain regulatory approval for one or more of our ecDTx, which we expect will take a number of years and may never occur. We will need substantial additional funding in addition to the net proceeds of this offering to support our continuing operations and pursue our long-term business plan, including to complete the development and commercialization of our ecDTx, if approved. Accordingly, until such time as we can generate significant revenue from sales of our ecDTx, if ever,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research and development programs or other operations, or grant rights to develop and market ecDTx that we would otherwise prefer to develop and market ourselves.</w:t>
      </w:r>
    </w:p>
    <w:p>
      <w:pPr>
        <w:spacing w:after="0" w:line="155" w:lineRule="exact"/>
        <w:rPr>
          <w:sz w:val="20"/>
          <w:szCs w:val="20"/>
          <w:color w:val="auto"/>
        </w:rPr>
      </w:pPr>
    </w:p>
    <w:p>
      <w:pPr>
        <w:ind w:left="420" w:right="40" w:firstLine="521"/>
        <w:spacing w:after="0" w:line="241" w:lineRule="auto"/>
        <w:rPr>
          <w:sz w:val="20"/>
          <w:szCs w:val="20"/>
          <w:color w:val="auto"/>
        </w:rPr>
      </w:pPr>
      <w:r>
        <w:rPr>
          <w:rFonts w:ascii="Arial" w:cs="Arial" w:eastAsia="Arial" w:hAnsi="Arial"/>
          <w:sz w:val="17"/>
          <w:szCs w:val="17"/>
          <w:color w:val="auto"/>
        </w:rPr>
        <w:t>We do not own or operate, and currently have no plans to establish, any manufacturing facilities. We rely, and expect to continue to rely, on third parties for the manufacture of our ecDTx for preclinical and clinical testing, as well as for commercial manufacture if any of our ecDTx obtain marketing approval. We are working with our current manufacturers to ensure that we will be able to scale up our manufacturing capabilities to support our clinical plans. In addition, we rely on third parties to package, label, store, and distribute our ecDTx, and we intend to rely on third parties for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discovery and development of our ecDTx.</w:t>
      </w:r>
    </w:p>
    <w:p>
      <w:pPr>
        <w:spacing w:after="0" w:line="10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0820"/>
          </w:cols>
          <w:pgMar w:left="320" w:top="439" w:right="7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Revenue</w:t>
      </w:r>
    </w:p>
    <w:p>
      <w:pPr>
        <w:spacing w:after="0" w:line="98" w:lineRule="exact"/>
        <w:rPr>
          <w:sz w:val="20"/>
          <w:szCs w:val="20"/>
          <w:color w:val="auto"/>
        </w:rPr>
      </w:pPr>
    </w:p>
    <w:p>
      <w:pPr>
        <w:ind w:left="420" w:firstLine="521"/>
        <w:spacing w:after="0" w:line="247" w:lineRule="auto"/>
        <w:rPr>
          <w:sz w:val="20"/>
          <w:szCs w:val="20"/>
          <w:color w:val="auto"/>
        </w:rPr>
      </w:pPr>
      <w:r>
        <w:rPr>
          <w:rFonts w:ascii="Arial" w:cs="Arial" w:eastAsia="Arial" w:hAnsi="Arial"/>
          <w:sz w:val="17"/>
          <w:szCs w:val="17"/>
          <w:color w:val="auto"/>
        </w:rPr>
        <w:t>To date, we have not generated any revenue from the sale of products. We do not expect to generate any such revenue unless and until such time that our ecDTx have advanced through clinical development and regulatory approval, if ever. If we fail to complete preclinical and clinical development of ecDTx or obtain regulatory approval for them, our ability to generate future revenues, and our results of operations and financial position would be adversely affected.</w:t>
      </w:r>
    </w:p>
    <w:p>
      <w:pPr>
        <w:spacing w:after="0" w:line="26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98" w:lineRule="exact"/>
        <w:rPr>
          <w:sz w:val="20"/>
          <w:szCs w:val="20"/>
          <w:color w:val="auto"/>
        </w:rPr>
      </w:pPr>
    </w:p>
    <w:p>
      <w:pPr>
        <w:ind w:left="940"/>
        <w:spacing w:after="0"/>
        <w:rPr>
          <w:sz w:val="20"/>
          <w:szCs w:val="20"/>
          <w:color w:val="auto"/>
        </w:rPr>
      </w:pPr>
      <w:r>
        <w:rPr>
          <w:rFonts w:ascii="Arial" w:cs="Arial" w:eastAsia="Arial" w:hAnsi="Arial"/>
          <w:sz w:val="17"/>
          <w:szCs w:val="17"/>
          <w:color w:val="auto"/>
        </w:rPr>
        <w:t>Our operating expenses consist of research and development expenses and general and administrative expenses.</w:t>
      </w:r>
    </w:p>
    <w:p>
      <w:pPr>
        <w:spacing w:after="0" w:line="305"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Research and Development</w:t>
      </w:r>
    </w:p>
    <w:p>
      <w:pPr>
        <w:spacing w:after="0" w:line="96" w:lineRule="exact"/>
        <w:rPr>
          <w:sz w:val="20"/>
          <w:szCs w:val="20"/>
          <w:color w:val="auto"/>
        </w:rPr>
      </w:pPr>
    </w:p>
    <w:p>
      <w:pPr>
        <w:ind w:left="420" w:right="20" w:firstLine="521"/>
        <w:spacing w:after="0" w:line="252" w:lineRule="auto"/>
        <w:rPr>
          <w:sz w:val="20"/>
          <w:szCs w:val="20"/>
          <w:color w:val="auto"/>
        </w:rPr>
      </w:pPr>
      <w:r>
        <w:rPr>
          <w:rFonts w:ascii="Arial" w:cs="Arial" w:eastAsia="Arial" w:hAnsi="Arial"/>
          <w:sz w:val="17"/>
          <w:szCs w:val="17"/>
          <w:color w:val="auto"/>
        </w:rPr>
        <w:t>Our research and development (R&amp;D) expenses have related primarily to the building of our Spyglass platform, our ecDTx discovery efforts, our preclinical and clinical development activities, and the development of an ecDNA diagnostic test. Our R&amp;D expenses consist of:</w:t>
      </w:r>
    </w:p>
    <w:p>
      <w:pPr>
        <w:spacing w:after="0" w:line="74" w:lineRule="exact"/>
        <w:rPr>
          <w:sz w:val="20"/>
          <w:szCs w:val="20"/>
          <w:color w:val="auto"/>
        </w:rPr>
      </w:pPr>
    </w:p>
    <w:p>
      <w:pPr>
        <w:ind w:left="1660" w:hanging="418"/>
        <w:spacing w:after="0"/>
        <w:tabs>
          <w:tab w:leader="none" w:pos="1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direct program costs, including:</w:t>
      </w:r>
    </w:p>
    <w:p>
      <w:pPr>
        <w:spacing w:after="0" w:line="111" w:lineRule="exact"/>
        <w:rPr>
          <w:rFonts w:ascii="Arial" w:cs="Arial" w:eastAsia="Arial" w:hAnsi="Arial"/>
          <w:sz w:val="17"/>
          <w:szCs w:val="17"/>
          <w:color w:val="auto"/>
        </w:rPr>
      </w:pPr>
    </w:p>
    <w:p>
      <w:pPr>
        <w:ind w:left="2060" w:right="300" w:hanging="410"/>
        <w:spacing w:after="0" w:line="270" w:lineRule="auto"/>
        <w:tabs>
          <w:tab w:leader="none" w:pos="2060" w:val="left"/>
        </w:tabs>
        <w:numPr>
          <w:ilvl w:val="1"/>
          <w:numId w:val="47"/>
        </w:numPr>
        <w:rPr>
          <w:rFonts w:ascii="Arial" w:cs="Arial" w:eastAsia="Arial" w:hAnsi="Arial"/>
          <w:sz w:val="17"/>
          <w:szCs w:val="17"/>
          <w:color w:val="auto"/>
        </w:rPr>
      </w:pPr>
      <w:r>
        <w:rPr>
          <w:rFonts w:ascii="Arial" w:cs="Arial" w:eastAsia="Arial" w:hAnsi="Arial"/>
          <w:sz w:val="17"/>
          <w:szCs w:val="17"/>
          <w:color w:val="auto"/>
        </w:rPr>
        <w:t>costs incurred under agreements with our CROs, investigative sites, and consultants to conduct our clinical trials and preclinical studies, as well as third party costs related to the development of an ecDNA diagnostic test,</w:t>
      </w:r>
    </w:p>
    <w:p>
      <w:pPr>
        <w:spacing w:after="0" w:line="58" w:lineRule="exact"/>
        <w:rPr>
          <w:rFonts w:ascii="Arial" w:cs="Arial" w:eastAsia="Arial" w:hAnsi="Arial"/>
          <w:sz w:val="17"/>
          <w:szCs w:val="17"/>
          <w:color w:val="auto"/>
        </w:rPr>
      </w:pPr>
    </w:p>
    <w:p>
      <w:pPr>
        <w:ind w:left="2060" w:right="260" w:hanging="410"/>
        <w:spacing w:after="0" w:line="270" w:lineRule="auto"/>
        <w:tabs>
          <w:tab w:leader="none" w:pos="2060" w:val="left"/>
        </w:tabs>
        <w:numPr>
          <w:ilvl w:val="1"/>
          <w:numId w:val="47"/>
        </w:numPr>
        <w:rPr>
          <w:rFonts w:ascii="Arial" w:cs="Arial" w:eastAsia="Arial" w:hAnsi="Arial"/>
          <w:sz w:val="17"/>
          <w:szCs w:val="17"/>
          <w:color w:val="auto"/>
        </w:rPr>
      </w:pPr>
      <w:r>
        <w:rPr>
          <w:rFonts w:ascii="Arial" w:cs="Arial" w:eastAsia="Arial" w:hAnsi="Arial"/>
          <w:sz w:val="17"/>
          <w:szCs w:val="17"/>
          <w:color w:val="auto"/>
        </w:rPr>
        <w:t>expenses related to manufacturing our ecDTx for clinical trials and preclinical studies, including fees paid to third-party manufacturers; and</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indirect costs, including:</w:t>
      </w:r>
    </w:p>
    <w:p>
      <w:pPr>
        <w:spacing w:after="0" w:line="111" w:lineRule="exact"/>
        <w:rPr>
          <w:rFonts w:ascii="Arial" w:cs="Arial" w:eastAsia="Arial" w:hAnsi="Arial"/>
          <w:sz w:val="17"/>
          <w:szCs w:val="17"/>
          <w:color w:val="auto"/>
        </w:rPr>
      </w:pPr>
    </w:p>
    <w:p>
      <w:pPr>
        <w:ind w:left="2060" w:right="180" w:hanging="410"/>
        <w:spacing w:after="0" w:line="270" w:lineRule="auto"/>
        <w:tabs>
          <w:tab w:leader="none" w:pos="2060" w:val="left"/>
        </w:tabs>
        <w:numPr>
          <w:ilvl w:val="1"/>
          <w:numId w:val="47"/>
        </w:numPr>
        <w:rPr>
          <w:rFonts w:ascii="Arial" w:cs="Arial" w:eastAsia="Arial" w:hAnsi="Arial"/>
          <w:sz w:val="17"/>
          <w:szCs w:val="17"/>
          <w:color w:val="auto"/>
        </w:rPr>
      </w:pPr>
      <w:r>
        <w:rPr>
          <w:rFonts w:ascii="Arial" w:cs="Arial" w:eastAsia="Arial" w:hAnsi="Arial"/>
          <w:sz w:val="17"/>
          <w:szCs w:val="17"/>
          <w:color w:val="auto"/>
        </w:rPr>
        <w:t>personnel-related costs, including salaries, bonuses, benefits, travel, and stock-based compensation expenses for employees engaged in research and development functions,</w:t>
      </w:r>
    </w:p>
    <w:p>
      <w:pPr>
        <w:spacing w:after="0" w:line="58" w:lineRule="exact"/>
        <w:rPr>
          <w:rFonts w:ascii="Arial" w:cs="Arial" w:eastAsia="Arial" w:hAnsi="Arial"/>
          <w:sz w:val="17"/>
          <w:szCs w:val="17"/>
          <w:color w:val="auto"/>
        </w:rPr>
      </w:pPr>
    </w:p>
    <w:p>
      <w:pPr>
        <w:ind w:left="2060" w:hanging="410"/>
        <w:spacing w:after="0"/>
        <w:tabs>
          <w:tab w:leader="none" w:pos="2060" w:val="left"/>
        </w:tabs>
        <w:numPr>
          <w:ilvl w:val="1"/>
          <w:numId w:val="47"/>
        </w:numPr>
        <w:rPr>
          <w:rFonts w:ascii="Arial" w:cs="Arial" w:eastAsia="Arial" w:hAnsi="Arial"/>
          <w:sz w:val="17"/>
          <w:szCs w:val="17"/>
          <w:color w:val="auto"/>
        </w:rPr>
      </w:pPr>
      <w:r>
        <w:rPr>
          <w:rFonts w:ascii="Arial" w:cs="Arial" w:eastAsia="Arial" w:hAnsi="Arial"/>
          <w:sz w:val="17"/>
          <w:szCs w:val="17"/>
          <w:color w:val="auto"/>
        </w:rPr>
        <w:t>the costs of outside services from third parties, including consultants,</w:t>
      </w:r>
    </w:p>
    <w:p>
      <w:pPr>
        <w:spacing w:after="0" w:line="111" w:lineRule="exact"/>
        <w:rPr>
          <w:rFonts w:ascii="Arial" w:cs="Arial" w:eastAsia="Arial" w:hAnsi="Arial"/>
          <w:sz w:val="17"/>
          <w:szCs w:val="17"/>
          <w:color w:val="auto"/>
        </w:rPr>
      </w:pPr>
    </w:p>
    <w:p>
      <w:pPr>
        <w:ind w:left="2060" w:hanging="410"/>
        <w:spacing w:after="0"/>
        <w:tabs>
          <w:tab w:leader="none" w:pos="2060" w:val="left"/>
        </w:tabs>
        <w:numPr>
          <w:ilvl w:val="1"/>
          <w:numId w:val="47"/>
        </w:numPr>
        <w:rPr>
          <w:rFonts w:ascii="Arial" w:cs="Arial" w:eastAsia="Arial" w:hAnsi="Arial"/>
          <w:sz w:val="17"/>
          <w:szCs w:val="17"/>
          <w:color w:val="auto"/>
        </w:rPr>
      </w:pPr>
      <w:r>
        <w:rPr>
          <w:rFonts w:ascii="Arial" w:cs="Arial" w:eastAsia="Arial" w:hAnsi="Arial"/>
          <w:sz w:val="17"/>
          <w:szCs w:val="17"/>
          <w:color w:val="auto"/>
        </w:rPr>
        <w:t>the costs of lab and pharmacology supplies,</w:t>
      </w:r>
    </w:p>
    <w:p>
      <w:pPr>
        <w:spacing w:after="0" w:line="111" w:lineRule="exact"/>
        <w:rPr>
          <w:rFonts w:ascii="Arial" w:cs="Arial" w:eastAsia="Arial" w:hAnsi="Arial"/>
          <w:sz w:val="17"/>
          <w:szCs w:val="17"/>
          <w:color w:val="auto"/>
        </w:rPr>
      </w:pPr>
    </w:p>
    <w:p>
      <w:pPr>
        <w:ind w:left="2060" w:right="400" w:hanging="410"/>
        <w:spacing w:after="0" w:line="270" w:lineRule="auto"/>
        <w:tabs>
          <w:tab w:leader="none" w:pos="2060" w:val="left"/>
        </w:tabs>
        <w:numPr>
          <w:ilvl w:val="1"/>
          <w:numId w:val="47"/>
        </w:numPr>
        <w:rPr>
          <w:rFonts w:ascii="Arial" w:cs="Arial" w:eastAsia="Arial" w:hAnsi="Arial"/>
          <w:sz w:val="17"/>
          <w:szCs w:val="17"/>
          <w:color w:val="auto"/>
        </w:rPr>
      </w:pPr>
      <w:r>
        <w:rPr>
          <w:rFonts w:ascii="Arial" w:cs="Arial" w:eastAsia="Arial" w:hAnsi="Arial"/>
          <w:sz w:val="17"/>
          <w:szCs w:val="17"/>
          <w:color w:val="auto"/>
        </w:rPr>
        <w:t>facilities-related costs, including rent and maintenance costs, and other costs including insurance, depreciation, supplies, and miscellaneous expenses, and</w:t>
      </w:r>
    </w:p>
    <w:p>
      <w:pPr>
        <w:spacing w:after="0" w:line="58" w:lineRule="exact"/>
        <w:rPr>
          <w:rFonts w:ascii="Arial" w:cs="Arial" w:eastAsia="Arial" w:hAnsi="Arial"/>
          <w:sz w:val="17"/>
          <w:szCs w:val="17"/>
          <w:color w:val="auto"/>
        </w:rPr>
      </w:pPr>
    </w:p>
    <w:p>
      <w:pPr>
        <w:ind w:left="2060" w:right="300" w:hanging="410"/>
        <w:spacing w:after="0" w:line="270" w:lineRule="auto"/>
        <w:tabs>
          <w:tab w:leader="none" w:pos="2060" w:val="left"/>
        </w:tabs>
        <w:numPr>
          <w:ilvl w:val="1"/>
          <w:numId w:val="47"/>
        </w:numPr>
        <w:rPr>
          <w:rFonts w:ascii="Arial" w:cs="Arial" w:eastAsia="Arial" w:hAnsi="Arial"/>
          <w:sz w:val="17"/>
          <w:szCs w:val="17"/>
          <w:color w:val="auto"/>
        </w:rPr>
      </w:pPr>
      <w:r>
        <w:rPr>
          <w:rFonts w:ascii="Arial" w:cs="Arial" w:eastAsia="Arial" w:hAnsi="Arial"/>
          <w:sz w:val="17"/>
          <w:szCs w:val="17"/>
          <w:color w:val="auto"/>
        </w:rPr>
        <w:t>other costs, including costs related to travel, repairs maintenance, service contract, computer supplies, software, and publications and subscription services.</w:t>
      </w:r>
    </w:p>
    <w:p>
      <w:pPr>
        <w:spacing w:after="0" w:line="122" w:lineRule="exact"/>
        <w:rPr>
          <w:sz w:val="20"/>
          <w:szCs w:val="20"/>
          <w:color w:val="auto"/>
        </w:rPr>
      </w:pPr>
    </w:p>
    <w:p>
      <w:pPr>
        <w:ind w:left="420" w:right="180" w:firstLine="521"/>
        <w:spacing w:after="0" w:line="244" w:lineRule="auto"/>
        <w:rPr>
          <w:sz w:val="20"/>
          <w:szCs w:val="20"/>
          <w:color w:val="auto"/>
        </w:rPr>
      </w:pPr>
      <w:r>
        <w:rPr>
          <w:rFonts w:ascii="Arial" w:cs="Arial" w:eastAsia="Arial" w:hAnsi="Arial"/>
          <w:sz w:val="17"/>
          <w:szCs w:val="17"/>
          <w:color w:val="auto"/>
        </w:rPr>
        <w:t>R&amp;D expenses are recognized as incurred, and payments made prior to the receipt of goods or services to be used in R&amp;D are capitalized until the goods or services are received. We use internal resources primarily to conduct our research and discovery activities as well as for managing our preclinical development, process development, manufacturing, and clinical development activities. We track direct costs on a development program specific basis. Indirect costs are not included in program costs, as these costs are general in nature and benefit all of our development programs and discovery efforts.</w:t>
      </w:r>
    </w:p>
    <w:p>
      <w:pPr>
        <w:spacing w:after="0" w:line="131" w:lineRule="exact"/>
        <w:rPr>
          <w:sz w:val="20"/>
          <w:szCs w:val="20"/>
          <w:color w:val="auto"/>
        </w:rPr>
      </w:pPr>
    </w:p>
    <w:p>
      <w:pPr>
        <w:ind w:left="420" w:right="80" w:firstLine="521"/>
        <w:spacing w:after="0" w:line="247" w:lineRule="auto"/>
        <w:rPr>
          <w:sz w:val="20"/>
          <w:szCs w:val="20"/>
          <w:color w:val="auto"/>
        </w:rPr>
      </w:pPr>
      <w:r>
        <w:rPr>
          <w:rFonts w:ascii="Arial" w:cs="Arial" w:eastAsia="Arial" w:hAnsi="Arial"/>
          <w:sz w:val="17"/>
          <w:szCs w:val="17"/>
          <w:color w:val="auto"/>
        </w:rPr>
        <w:t>Although R&amp;D activities are central to our business model, the successful development of our ecDTx is highly uncertain. There are numerous factors associated with the successful development of any ecDTx, including future trial design and various regulatory requirements, many of which cannot be determined with accuracy at this time based on our stage of development. In addition, future regulatory</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0820"/>
          </w:cols>
          <w:pgMar w:left="320" w:top="439" w:right="7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200"/>
        <w:spacing w:after="0" w:line="244" w:lineRule="auto"/>
        <w:rPr>
          <w:sz w:val="20"/>
          <w:szCs w:val="20"/>
          <w:color w:val="auto"/>
        </w:rPr>
      </w:pPr>
      <w:r>
        <w:rPr>
          <w:rFonts w:ascii="Arial" w:cs="Arial" w:eastAsia="Arial" w:hAnsi="Arial"/>
          <w:sz w:val="17"/>
          <w:szCs w:val="17"/>
          <w:color w:val="auto"/>
        </w:rPr>
        <w:t>factors beyond our control may impact our clinical development programs. Product candidates in later stages of development generally have higher development costs than those in earlier stages of development. As a result, we expect that our R&amp;D expenses will increase substantially for the foreseeable future as we continue to conduct our ongoing R&amp;D activities, advance preclinical research programs toward clinical development, conduct clinical trials, hire additional personnel, and maintain, expand, protect, and enforce our intellectual property portfolio.</w:t>
      </w:r>
    </w:p>
    <w:p>
      <w:pPr>
        <w:spacing w:after="0" w:line="143" w:lineRule="exact"/>
        <w:rPr>
          <w:sz w:val="20"/>
          <w:szCs w:val="20"/>
          <w:color w:val="auto"/>
        </w:rPr>
      </w:pPr>
    </w:p>
    <w:p>
      <w:pPr>
        <w:ind w:left="940"/>
        <w:spacing w:after="0"/>
        <w:rPr>
          <w:sz w:val="20"/>
          <w:szCs w:val="20"/>
          <w:color w:val="auto"/>
        </w:rPr>
      </w:pPr>
      <w:r>
        <w:rPr>
          <w:rFonts w:ascii="Arial" w:cs="Arial" w:eastAsia="Arial" w:hAnsi="Arial"/>
          <w:sz w:val="17"/>
          <w:szCs w:val="17"/>
          <w:color w:val="auto"/>
        </w:rPr>
        <w:t>Our future R&amp;D expenses may vary significantly based on a wide variety of factors such as:</w:t>
      </w:r>
    </w:p>
    <w:p>
      <w:pPr>
        <w:spacing w:after="0" w:line="111" w:lineRule="exact"/>
        <w:rPr>
          <w:sz w:val="20"/>
          <w:szCs w:val="20"/>
          <w:color w:val="auto"/>
        </w:rPr>
      </w:pPr>
    </w:p>
    <w:p>
      <w:pPr>
        <w:ind w:left="1660" w:hanging="418"/>
        <w:spacing w:after="0"/>
        <w:tabs>
          <w:tab w:leader="none" w:pos="1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number and scope, rate of progress, expense and results of our discovery and preclinical activities and clinical trials;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per patient trial costs;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number of trials required for approval;</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number of sites included in the trials;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countries in which the trials are conducted;</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length of time required to enroll eligible patients;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cost of developing an ecDNA diagnostic test;</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number of patients that participate in the trials;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number of doses that patients receive;</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drop-out or discontinuation rates of patients;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potential additional safety monitoring requested by regulatory agencies;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duration of patient participation in the trials and follow-up;</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cost and timing of manufacturing our ecDTx;</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phase of development of our ecDTx;</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extent of changes in government regulation and regulatory guidance;</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efficacy and safety profile of our ecDTx;</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timing, receipt, and terms of any approvals from applicable regulatory authorities; and</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extent to which we establish collaboration, license, or other arrangements.</w:t>
      </w:r>
    </w:p>
    <w:p>
      <w:pPr>
        <w:spacing w:after="0" w:line="162" w:lineRule="exact"/>
        <w:rPr>
          <w:sz w:val="20"/>
          <w:szCs w:val="20"/>
          <w:color w:val="auto"/>
        </w:rPr>
      </w:pPr>
    </w:p>
    <w:p>
      <w:pPr>
        <w:ind w:left="420" w:right="220"/>
        <w:spacing w:after="0" w:line="270" w:lineRule="auto"/>
        <w:rPr>
          <w:sz w:val="20"/>
          <w:szCs w:val="20"/>
          <w:color w:val="auto"/>
        </w:rPr>
      </w:pPr>
      <w:r>
        <w:rPr>
          <w:rFonts w:ascii="Arial" w:cs="Arial" w:eastAsia="Arial" w:hAnsi="Arial"/>
          <w:sz w:val="17"/>
          <w:szCs w:val="17"/>
          <w:color w:val="auto"/>
        </w:rPr>
        <w:t>A change in the outcome of any of these variables with respect to development of any of our ecDTx could significantly change the costs and timing associated with the development of that ecDTx.</w:t>
      </w:r>
    </w:p>
    <w:p>
      <w:pPr>
        <w:spacing w:after="0" w:line="110" w:lineRule="exact"/>
        <w:rPr>
          <w:sz w:val="20"/>
          <w:szCs w:val="20"/>
          <w:color w:val="auto"/>
        </w:rPr>
      </w:pPr>
    </w:p>
    <w:p>
      <w:pPr>
        <w:ind w:left="420" w:firstLine="521"/>
        <w:spacing w:after="0" w:line="239" w:lineRule="auto"/>
        <w:rPr>
          <w:sz w:val="20"/>
          <w:szCs w:val="20"/>
          <w:color w:val="auto"/>
        </w:rPr>
      </w:pPr>
      <w:r>
        <w:rPr>
          <w:rFonts w:ascii="Arial" w:cs="Arial" w:eastAsia="Arial" w:hAnsi="Arial"/>
          <w:sz w:val="17"/>
          <w:szCs w:val="17"/>
          <w:color w:val="auto"/>
        </w:rPr>
        <w:t>The process of conducting the necessary preclinical and clinical research to obtain regulatory approval is costly and time - consuming. The actual probability of success for our current ecDTx or any future ecDTx may be affected by a variety of factors. We may never succeed in achieving regulatory approval for any of our ecDTx. Preclinical and clinical development timelines, the probability of success, and total development costs can differ materially from expectations. We anticipate that we will make determinations as to which ecDTx to pursue and how much funding to direct to each ecDTx on an ongoing basis in response to the results of ongoing and future preclinical studies and clinical trials, regulatory developments, and our ongoing assessments as to each ecDTx’s commercial potential. We will need to raise substantial additional capital in the future. In addition, we cannot forecast which ecDTx may be subject to future collaborations, when such arrangements will be secured, if at all, and to what degree such arrangements would affect our development plans and capital requirements.</w:t>
      </w:r>
    </w:p>
    <w:p>
      <w:pPr>
        <w:spacing w:after="0" w:line="113"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0820"/>
          </w:cols>
          <w:pgMar w:left="320" w:top="439" w:right="7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General and Administrative</w:t>
      </w:r>
    </w:p>
    <w:p>
      <w:pPr>
        <w:spacing w:after="0" w:line="96" w:lineRule="exact"/>
        <w:rPr>
          <w:sz w:val="20"/>
          <w:szCs w:val="20"/>
          <w:color w:val="auto"/>
        </w:rPr>
      </w:pPr>
    </w:p>
    <w:p>
      <w:pPr>
        <w:ind w:left="420" w:right="120" w:firstLine="521"/>
        <w:spacing w:after="0" w:line="247" w:lineRule="auto"/>
        <w:rPr>
          <w:sz w:val="20"/>
          <w:szCs w:val="20"/>
          <w:color w:val="auto"/>
        </w:rPr>
      </w:pPr>
      <w:r>
        <w:rPr>
          <w:rFonts w:ascii="Arial" w:cs="Arial" w:eastAsia="Arial" w:hAnsi="Arial"/>
          <w:sz w:val="17"/>
          <w:szCs w:val="17"/>
          <w:color w:val="auto"/>
        </w:rPr>
        <w:t>General and administrative (G&amp;A) expenses consist primarily of personnel-related costs, including salaries, bonuses, benefits, travel, and stock-based compensation expenses for employees in executive accounting and finance, business development, legal, and other administrative functions. Other significant costs include allocated facility-related costs, legal fees relating to intellectual property and corporate matters, professional fees for accounting and consulting services, insurance costs, and business development expenses.</w:t>
      </w:r>
    </w:p>
    <w:p>
      <w:pPr>
        <w:spacing w:after="0" w:line="141" w:lineRule="exact"/>
        <w:rPr>
          <w:sz w:val="20"/>
          <w:szCs w:val="20"/>
          <w:color w:val="auto"/>
        </w:rPr>
      </w:pPr>
    </w:p>
    <w:p>
      <w:pPr>
        <w:ind w:left="420" w:right="80" w:firstLine="521"/>
        <w:spacing w:after="0" w:line="244" w:lineRule="auto"/>
        <w:rPr>
          <w:sz w:val="20"/>
          <w:szCs w:val="20"/>
          <w:color w:val="auto"/>
        </w:rPr>
      </w:pPr>
      <w:r>
        <w:rPr>
          <w:rFonts w:ascii="Arial" w:cs="Arial" w:eastAsia="Arial" w:hAnsi="Arial"/>
          <w:sz w:val="17"/>
          <w:szCs w:val="17"/>
          <w:color w:val="auto"/>
        </w:rPr>
        <w:t>We expect that our G&amp;A expenses will increase substantially for the foreseeable future as we continue to increase our general and administrative headcount to support our continued R&amp;D activities and, if any ecDTx receive marketing approval, commercialization activities, as well as to support our operations generally. We also expect to incur increased expenses related to audit, legal, regulatory, and tax-related services associated with maintaining compliance with exchange listing and SEC requirements, director and officer insurance premiums, and investor relations costs associated with operating as a public company.</w:t>
      </w:r>
    </w:p>
    <w:p>
      <w:pPr>
        <w:spacing w:after="0" w:line="27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98" w:lineRule="exact"/>
        <w:rPr>
          <w:sz w:val="20"/>
          <w:szCs w:val="20"/>
          <w:color w:val="auto"/>
        </w:rPr>
      </w:pPr>
    </w:p>
    <w:p>
      <w:pPr>
        <w:ind w:left="940"/>
        <w:spacing w:after="0"/>
        <w:rPr>
          <w:sz w:val="20"/>
          <w:szCs w:val="20"/>
          <w:color w:val="auto"/>
        </w:rPr>
      </w:pPr>
      <w:r>
        <w:rPr>
          <w:rFonts w:ascii="Arial" w:cs="Arial" w:eastAsia="Arial" w:hAnsi="Arial"/>
          <w:sz w:val="17"/>
          <w:szCs w:val="17"/>
          <w:color w:val="auto"/>
        </w:rPr>
        <w:t>Other income (expense), net consists primarily of interest income earned on our cash, cash equivalents, and investments.</w:t>
      </w:r>
    </w:p>
    <w:p>
      <w:pPr>
        <w:spacing w:after="0" w:line="303"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Results of Operations</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Comparison of the Years Ended December 31, 2022 and 2023</w:t>
      </w:r>
    </w:p>
    <w:p>
      <w:pPr>
        <w:spacing w:after="0" w:line="98"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The following table summarizes our results of operations for each of the periods indicated:</w:t>
      </w:r>
    </w:p>
    <w:p>
      <w:pPr>
        <w:spacing w:after="0" w:line="200"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ind w:left="400"/>
              <w:spacing w:after="0"/>
              <w:rPr>
                <w:sz w:val="20"/>
                <w:szCs w:val="20"/>
                <w:color w:val="auto"/>
              </w:rPr>
            </w:pPr>
            <w:r>
              <w:rPr>
                <w:rFonts w:ascii="Arial" w:cs="Arial" w:eastAsia="Arial" w:hAnsi="Arial"/>
                <w:sz w:val="14"/>
                <w:szCs w:val="14"/>
                <w:b w:val="1"/>
                <w:bCs w:val="1"/>
                <w:color w:val="auto"/>
                <w:w w:val="96"/>
              </w:rPr>
              <w:t>Year Ended</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6"/>
        </w:trPr>
        <w:tc>
          <w:tcPr>
            <w:tcW w:w="3760" w:type="dxa"/>
            <w:vAlign w:val="bottom"/>
            <w:gridSpan w:val="2"/>
            <w:vMerge w:val="continue"/>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81"/>
              <w:spacing w:after="0" w:line="146" w:lineRule="exact"/>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77"/>
              <w:spacing w:after="0" w:line="146"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3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40" w:type="dxa"/>
            <w:vAlign w:val="bottom"/>
          </w:tcPr>
          <w:p>
            <w:pPr>
              <w:ind w:left="320"/>
              <w:spacing w:after="0"/>
              <w:rPr>
                <w:sz w:val="20"/>
                <w:szCs w:val="20"/>
                <w:color w:val="auto"/>
              </w:rPr>
            </w:pPr>
            <w:r>
              <w:rPr>
                <w:rFonts w:ascii="Arial" w:cs="Arial" w:eastAsia="Arial" w:hAnsi="Arial"/>
                <w:sz w:val="17"/>
                <w:szCs w:val="17"/>
                <w:color w:val="auto"/>
              </w:rPr>
              <w:t>Research and development</w:t>
            </w:r>
          </w:p>
        </w:tc>
        <w:tc>
          <w:tcPr>
            <w:tcW w:w="3720" w:type="dxa"/>
            <w:vAlign w:val="bottom"/>
            <w:gridSpan w:val="2"/>
          </w:tcPr>
          <w:p>
            <w:pPr>
              <w:ind w:left="3520"/>
              <w:spacing w:after="0"/>
              <w:rPr>
                <w:sz w:val="20"/>
                <w:szCs w:val="20"/>
                <w:color w:val="auto"/>
              </w:rPr>
            </w:pPr>
            <w:r>
              <w:rPr>
                <w:rFonts w:ascii="Arial" w:cs="Arial" w:eastAsia="Arial" w:hAnsi="Arial"/>
                <w:sz w:val="17"/>
                <w:szCs w:val="17"/>
                <w:color w:val="auto"/>
              </w:rPr>
              <w:t xml:space="preserve">$  </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37,159</w:t>
            </w:r>
          </w:p>
        </w:tc>
        <w:tc>
          <w:tcPr>
            <w:tcW w:w="220" w:type="dxa"/>
            <w:vAlign w:val="bottom"/>
          </w:tcPr>
          <w:p>
            <w:pPr>
              <w:spacing w:after="0"/>
              <w:rPr>
                <w:sz w:val="20"/>
                <w:szCs w:val="20"/>
                <w:color w:val="auto"/>
              </w:rPr>
            </w:pPr>
            <w:r>
              <w:rPr>
                <w:rFonts w:ascii="Arial" w:cs="Arial" w:eastAsia="Arial" w:hAnsi="Arial"/>
                <w:sz w:val="17"/>
                <w:szCs w:val="17"/>
                <w:color w:val="auto"/>
              </w:rPr>
              <w:t xml:space="preserve">$  </w:t>
            </w:r>
          </w:p>
        </w:tc>
        <w:tc>
          <w:tcPr>
            <w:tcW w:w="600" w:type="dxa"/>
            <w:vAlign w:val="bottom"/>
          </w:tcPr>
          <w:p>
            <w:pPr>
              <w:jc w:val="right"/>
              <w:spacing w:after="0"/>
              <w:rPr>
                <w:sz w:val="20"/>
                <w:szCs w:val="20"/>
                <w:color w:val="auto"/>
              </w:rPr>
            </w:pPr>
            <w:r>
              <w:rPr>
                <w:rFonts w:ascii="Arial" w:cs="Arial" w:eastAsia="Arial" w:hAnsi="Arial"/>
                <w:sz w:val="17"/>
                <w:szCs w:val="17"/>
                <w:color w:val="auto"/>
              </w:rPr>
              <w:t>42,637</w:t>
            </w:r>
          </w:p>
        </w:tc>
        <w:tc>
          <w:tcPr>
            <w:tcW w:w="18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86"/>
              </w:rPr>
              <w:t>   5,478</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3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General and administrative</w:t>
            </w:r>
          </w:p>
        </w:tc>
        <w:tc>
          <w:tcPr>
            <w:tcW w:w="3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9,310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12,159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2,849</w:t>
            </w:r>
          </w:p>
        </w:tc>
        <w:tc>
          <w:tcPr>
            <w:tcW w:w="0" w:type="dxa"/>
            <w:vAlign w:val="bottom"/>
          </w:tcPr>
          <w:p>
            <w:pPr>
              <w:spacing w:after="0"/>
              <w:rPr>
                <w:sz w:val="1"/>
                <w:szCs w:val="1"/>
                <w:color w:val="auto"/>
              </w:rPr>
            </w:pPr>
          </w:p>
        </w:tc>
      </w:tr>
      <w:tr>
        <w:trPr>
          <w:trHeight w:val="20"/>
        </w:trPr>
        <w:tc>
          <w:tcPr>
            <w:tcW w:w="376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3760" w:type="dxa"/>
            <w:vAlign w:val="bottom"/>
            <w:gridSpan w:val="2"/>
          </w:tcPr>
          <w:p>
            <w:pPr>
              <w:spacing w:after="0"/>
              <w:rPr>
                <w:sz w:val="20"/>
                <w:szCs w:val="20"/>
                <w:color w:val="auto"/>
              </w:rPr>
            </w:pPr>
            <w:r>
              <w:rPr>
                <w:rFonts w:ascii="Arial" w:cs="Arial" w:eastAsia="Arial" w:hAnsi="Arial"/>
                <w:sz w:val="17"/>
                <w:szCs w:val="17"/>
                <w:color w:val="auto"/>
              </w:rPr>
              <w:t>Total operating expenses</w:t>
            </w:r>
          </w:p>
        </w:tc>
        <w:tc>
          <w:tcPr>
            <w:tcW w:w="3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46,469</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54,796</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8,327</w:t>
            </w: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3740" w:type="dxa"/>
            <w:vAlign w:val="bottom"/>
          </w:tcPr>
          <w:p>
            <w:pPr>
              <w:spacing w:after="0"/>
              <w:rPr>
                <w:sz w:val="5"/>
                <w:szCs w:val="5"/>
                <w:color w:val="auto"/>
              </w:rPr>
            </w:pPr>
          </w:p>
        </w:tc>
        <w:tc>
          <w:tcPr>
            <w:tcW w:w="352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3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(46,469)</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(54,796)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(8,327)</w:t>
            </w:r>
          </w:p>
        </w:tc>
        <w:tc>
          <w:tcPr>
            <w:tcW w:w="0" w:type="dxa"/>
            <w:vAlign w:val="bottom"/>
          </w:tcPr>
          <w:p>
            <w:pPr>
              <w:spacing w:after="0"/>
              <w:rPr>
                <w:sz w:val="1"/>
                <w:szCs w:val="1"/>
                <w:color w:val="auto"/>
              </w:rPr>
            </w:pPr>
          </w:p>
        </w:tc>
      </w:tr>
      <w:tr>
        <w:trPr>
          <w:trHeight w:val="263"/>
        </w:trPr>
        <w:tc>
          <w:tcPr>
            <w:tcW w:w="3760" w:type="dxa"/>
            <w:vAlign w:val="bottom"/>
            <w:gridSpan w:val="2"/>
          </w:tcPr>
          <w:p>
            <w:pPr>
              <w:spacing w:after="0"/>
              <w:rPr>
                <w:sz w:val="20"/>
                <w:szCs w:val="20"/>
                <w:color w:val="auto"/>
              </w:rPr>
            </w:pPr>
            <w:r>
              <w:rPr>
                <w:rFonts w:ascii="Arial" w:cs="Arial" w:eastAsia="Arial" w:hAnsi="Arial"/>
                <w:sz w:val="17"/>
                <w:szCs w:val="17"/>
                <w:color w:val="auto"/>
              </w:rPr>
              <w:t>Other income (expense), net</w:t>
            </w:r>
          </w:p>
        </w:tc>
        <w:tc>
          <w:tcPr>
            <w:tcW w:w="3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568</w:t>
            </w:r>
          </w:p>
        </w:tc>
        <w:tc>
          <w:tcPr>
            <w:tcW w:w="220" w:type="dxa"/>
            <w:vAlign w:val="bottom"/>
          </w:tcPr>
          <w:p>
            <w:pPr>
              <w:spacing w:after="0"/>
              <w:rPr>
                <w:sz w:val="22"/>
                <w:szCs w:val="2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5,362</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4,794</w:t>
            </w: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3740" w:type="dxa"/>
            <w:vAlign w:val="bottom"/>
          </w:tcPr>
          <w:p>
            <w:pPr>
              <w:spacing w:after="0"/>
              <w:rPr>
                <w:sz w:val="5"/>
                <w:szCs w:val="5"/>
                <w:color w:val="auto"/>
              </w:rPr>
            </w:pPr>
          </w:p>
        </w:tc>
        <w:tc>
          <w:tcPr>
            <w:tcW w:w="352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3720" w:type="dxa"/>
            <w:vAlign w:val="bottom"/>
            <w:gridSpan w:val="2"/>
            <w:shd w:val="clear" w:color="auto" w:fill="CCEEFF"/>
          </w:tcPr>
          <w:p>
            <w:pPr>
              <w:ind w:left="35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(45,901)</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(49,434)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520" w:type="dxa"/>
            <w:vAlign w:val="bottom"/>
            <w:vMerge w:val="restart"/>
          </w:tcPr>
          <w:p>
            <w:pPr>
              <w:jc w:val="right"/>
              <w:ind w:right="1895"/>
              <w:spacing w:after="0"/>
              <w:rPr>
                <w:sz w:val="20"/>
                <w:szCs w:val="20"/>
                <w:color w:val="auto"/>
              </w:rPr>
            </w:pPr>
            <w:r>
              <w:rPr>
                <w:rFonts w:ascii="Arial" w:cs="Arial" w:eastAsia="Arial" w:hAnsi="Arial"/>
                <w:sz w:val="17"/>
                <w:szCs w:val="17"/>
                <w:color w:val="auto"/>
              </w:rPr>
              <w:t>91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320" w:top="439" w:right="7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Research and Development Expenses</w:t>
      </w:r>
    </w:p>
    <w:p>
      <w:pPr>
        <w:spacing w:after="0" w:line="96"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The following table summarizes our R&amp;D expenses for each of the periods indicated:</w:t>
      </w:r>
    </w:p>
    <w:p>
      <w:pPr>
        <w:spacing w:after="0" w:line="200"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7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8"/>
              </w:rPr>
              <w:t>December 31,</w:t>
            </w:r>
          </w:p>
        </w:tc>
        <w:tc>
          <w:tcPr>
            <w:tcW w:w="18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774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78"/>
              <w:spacing w:after="0" w:line="146" w:lineRule="exact"/>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6"/>
              <w:spacing w:after="0" w:line="146"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Direct program costs: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720" w:type="dxa"/>
            <w:vAlign w:val="bottom"/>
          </w:tcPr>
          <w:p>
            <w:pPr>
              <w:ind w:left="320"/>
              <w:spacing w:after="0"/>
              <w:rPr>
                <w:sz w:val="20"/>
                <w:szCs w:val="20"/>
                <w:color w:val="auto"/>
              </w:rPr>
            </w:pPr>
            <w:r>
              <w:rPr>
                <w:rFonts w:ascii="Arial" w:cs="Arial" w:eastAsia="Arial" w:hAnsi="Arial"/>
                <w:sz w:val="17"/>
                <w:szCs w:val="17"/>
                <w:color w:val="auto"/>
              </w:rPr>
              <w:t>BBI-355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360"/>
              <w:spacing w:after="0"/>
              <w:rPr>
                <w:sz w:val="20"/>
                <w:szCs w:val="20"/>
                <w:color w:val="auto"/>
              </w:rPr>
            </w:pPr>
            <w:r>
              <w:rPr>
                <w:rFonts w:ascii="Arial" w:cs="Arial" w:eastAsia="Arial" w:hAnsi="Arial"/>
                <w:sz w:val="17"/>
                <w:szCs w:val="17"/>
                <w:color w:val="auto"/>
              </w:rPr>
              <w:t>8,675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7,252</w:t>
            </w: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$(1,423)</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BBI-825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5,553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5,912</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359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20" w:type="dxa"/>
            <w:vAlign w:val="bottom"/>
          </w:tcPr>
          <w:p>
            <w:pPr>
              <w:ind w:left="320"/>
              <w:spacing w:after="0"/>
              <w:rPr>
                <w:sz w:val="20"/>
                <w:szCs w:val="20"/>
                <w:color w:val="auto"/>
              </w:rPr>
            </w:pPr>
            <w:r>
              <w:rPr>
                <w:rFonts w:ascii="Arial" w:cs="Arial" w:eastAsia="Arial" w:hAnsi="Arial"/>
                <w:sz w:val="17"/>
                <w:szCs w:val="17"/>
                <w:color w:val="auto"/>
              </w:rPr>
              <w:t>Other development programs</w:t>
            </w:r>
          </w:p>
        </w:tc>
        <w:tc>
          <w:tcPr>
            <w:tcW w:w="100" w:type="dxa"/>
            <w:vAlign w:val="bottom"/>
          </w:tcPr>
          <w:p>
            <w:pPr>
              <w:spacing w:after="0"/>
              <w:rPr>
                <w:sz w:val="22"/>
                <w:szCs w:val="2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7"/>
                <w:szCs w:val="17"/>
                <w:color w:val="auto"/>
              </w:rPr>
              <w:t>2,971</w:t>
            </w:r>
          </w:p>
        </w:tc>
        <w:tc>
          <w:tcPr>
            <w:tcW w:w="100" w:type="dxa"/>
            <w:vAlign w:val="bottom"/>
          </w:tcPr>
          <w:p>
            <w:pPr>
              <w:spacing w:after="0"/>
              <w:rPr>
                <w:sz w:val="22"/>
                <w:szCs w:val="2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4,456</w:t>
            </w: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1,485</w:t>
            </w: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77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7"/>
                <w:szCs w:val="17"/>
                <w:color w:val="auto"/>
              </w:rPr>
              <w:t>Total direct program costs: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w w:val="99"/>
              </w:rPr>
              <w:t>17,199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6"/>
              </w:rPr>
              <w:t>17,620</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421</w:t>
            </w:r>
          </w:p>
        </w:tc>
        <w:tc>
          <w:tcPr>
            <w:tcW w:w="0" w:type="dxa"/>
            <w:vAlign w:val="bottom"/>
          </w:tcPr>
          <w:p>
            <w:pPr>
              <w:spacing w:after="0"/>
              <w:rPr>
                <w:sz w:val="1"/>
                <w:szCs w:val="1"/>
                <w:color w:val="auto"/>
              </w:rPr>
            </w:pPr>
          </w:p>
        </w:tc>
      </w:tr>
      <w:tr>
        <w:trPr>
          <w:trHeight w:val="272"/>
        </w:trPr>
        <w:tc>
          <w:tcPr>
            <w:tcW w:w="7740" w:type="dxa"/>
            <w:vAlign w:val="bottom"/>
            <w:gridSpan w:val="2"/>
          </w:tcPr>
          <w:p>
            <w:pPr>
              <w:spacing w:after="0"/>
              <w:rPr>
                <w:sz w:val="20"/>
                <w:szCs w:val="20"/>
                <w:color w:val="auto"/>
              </w:rPr>
            </w:pPr>
            <w:r>
              <w:rPr>
                <w:rFonts w:ascii="Arial" w:cs="Arial" w:eastAsia="Arial" w:hAnsi="Arial"/>
                <w:sz w:val="17"/>
                <w:szCs w:val="17"/>
                <w:b w:val="1"/>
                <w:bCs w:val="1"/>
                <w:color w:val="auto"/>
              </w:rPr>
              <w:t>Indirect R&amp;D costs</w:t>
            </w:r>
          </w:p>
        </w:tc>
        <w:tc>
          <w:tcPr>
            <w:tcW w:w="10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7720" w:type="dxa"/>
            <w:vAlign w:val="bottom"/>
            <w:shd w:val="clear" w:color="auto" w:fill="CCEEFF"/>
          </w:tcPr>
          <w:p>
            <w:pPr>
              <w:ind w:left="320"/>
              <w:spacing w:after="0" w:line="192" w:lineRule="exact"/>
              <w:rPr>
                <w:sz w:val="20"/>
                <w:szCs w:val="20"/>
                <w:color w:val="auto"/>
              </w:rPr>
            </w:pPr>
            <w:r>
              <w:rPr>
                <w:rFonts w:ascii="Arial" w:cs="Arial" w:eastAsia="Arial" w:hAnsi="Arial"/>
                <w:sz w:val="17"/>
                <w:szCs w:val="17"/>
                <w:color w:val="auto"/>
              </w:rPr>
              <w:t>Personnel-related (including stock compensation)</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60"/>
              <w:spacing w:after="0" w:line="192" w:lineRule="exact"/>
              <w:rPr>
                <w:sz w:val="20"/>
                <w:szCs w:val="20"/>
                <w:color w:val="auto"/>
              </w:rPr>
            </w:pPr>
            <w:r>
              <w:rPr>
                <w:rFonts w:ascii="Arial" w:cs="Arial" w:eastAsia="Arial" w:hAnsi="Arial"/>
                <w:sz w:val="17"/>
                <w:szCs w:val="17"/>
                <w:color w:val="auto"/>
                <w:w w:val="99"/>
              </w:rPr>
              <w:t>11,538</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line="192" w:lineRule="exact"/>
              <w:rPr>
                <w:sz w:val="20"/>
                <w:szCs w:val="20"/>
                <w:color w:val="auto"/>
              </w:rPr>
            </w:pPr>
            <w:r>
              <w:rPr>
                <w:rFonts w:ascii="Arial" w:cs="Arial" w:eastAsia="Arial" w:hAnsi="Arial"/>
                <w:sz w:val="17"/>
                <w:szCs w:val="17"/>
                <w:color w:val="auto"/>
                <w:w w:val="96"/>
              </w:rPr>
              <w:t>13,688</w:t>
            </w:r>
          </w:p>
        </w:tc>
        <w:tc>
          <w:tcPr>
            <w:tcW w:w="880" w:type="dxa"/>
            <w:vAlign w:val="bottom"/>
            <w:gridSpan w:val="3"/>
            <w:shd w:val="clear" w:color="auto" w:fill="CCEEFF"/>
          </w:tcPr>
          <w:p>
            <w:pPr>
              <w:jc w:val="right"/>
              <w:ind w:right="120"/>
              <w:spacing w:after="0" w:line="192" w:lineRule="exact"/>
              <w:rPr>
                <w:sz w:val="20"/>
                <w:szCs w:val="20"/>
                <w:color w:val="auto"/>
              </w:rPr>
            </w:pPr>
            <w:r>
              <w:rPr>
                <w:rFonts w:ascii="Arial" w:cs="Arial" w:eastAsia="Arial" w:hAnsi="Arial"/>
                <w:sz w:val="17"/>
                <w:szCs w:val="17"/>
                <w:color w:val="auto"/>
              </w:rPr>
              <w:t>2,150</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720" w:type="dxa"/>
            <w:vAlign w:val="bottom"/>
          </w:tcPr>
          <w:p>
            <w:pPr>
              <w:ind w:left="320"/>
              <w:spacing w:after="0"/>
              <w:rPr>
                <w:sz w:val="20"/>
                <w:szCs w:val="20"/>
                <w:color w:val="auto"/>
              </w:rPr>
            </w:pPr>
            <w:r>
              <w:rPr>
                <w:rFonts w:ascii="Arial" w:cs="Arial" w:eastAsia="Arial" w:hAnsi="Arial"/>
                <w:sz w:val="17"/>
                <w:szCs w:val="17"/>
                <w:color w:val="auto"/>
              </w:rPr>
              <w:t>Outside services and consulting</w:t>
            </w:r>
          </w:p>
        </w:tc>
        <w:tc>
          <w:tcPr>
            <w:tcW w:w="100" w:type="dxa"/>
            <w:vAlign w:val="bottom"/>
          </w:tcPr>
          <w:p>
            <w:pPr>
              <w:spacing w:after="0"/>
              <w:rPr>
                <w:sz w:val="22"/>
                <w:szCs w:val="2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7"/>
                <w:szCs w:val="17"/>
                <w:color w:val="auto"/>
              </w:rPr>
              <w:t>2,182</w:t>
            </w:r>
          </w:p>
        </w:tc>
        <w:tc>
          <w:tcPr>
            <w:tcW w:w="100" w:type="dxa"/>
            <w:vAlign w:val="bottom"/>
          </w:tcPr>
          <w:p>
            <w:pPr>
              <w:spacing w:after="0"/>
              <w:rPr>
                <w:sz w:val="22"/>
                <w:szCs w:val="2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4,326</w:t>
            </w: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2,144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7720" w:type="dxa"/>
            <w:vAlign w:val="bottom"/>
            <w:shd w:val="clear" w:color="auto" w:fill="CCEEFF"/>
          </w:tcPr>
          <w:p>
            <w:pPr>
              <w:ind w:left="320"/>
              <w:spacing w:after="0" w:line="192" w:lineRule="exact"/>
              <w:rPr>
                <w:sz w:val="20"/>
                <w:szCs w:val="20"/>
                <w:color w:val="auto"/>
              </w:rPr>
            </w:pPr>
            <w:r>
              <w:rPr>
                <w:rFonts w:ascii="Arial" w:cs="Arial" w:eastAsia="Arial" w:hAnsi="Arial"/>
                <w:sz w:val="17"/>
                <w:szCs w:val="17"/>
                <w:color w:val="auto"/>
              </w:rPr>
              <w:t>Lab and pharmacology supplies</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60"/>
              <w:spacing w:after="0" w:line="192" w:lineRule="exact"/>
              <w:rPr>
                <w:sz w:val="20"/>
                <w:szCs w:val="20"/>
                <w:color w:val="auto"/>
              </w:rPr>
            </w:pPr>
            <w:r>
              <w:rPr>
                <w:rFonts w:ascii="Arial" w:cs="Arial" w:eastAsia="Arial" w:hAnsi="Arial"/>
                <w:sz w:val="17"/>
                <w:szCs w:val="17"/>
                <w:color w:val="auto"/>
              </w:rPr>
              <w:t>2,638</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line="192" w:lineRule="exact"/>
              <w:rPr>
                <w:sz w:val="20"/>
                <w:szCs w:val="20"/>
                <w:color w:val="auto"/>
              </w:rPr>
            </w:pPr>
            <w:r>
              <w:rPr>
                <w:rFonts w:ascii="Arial" w:cs="Arial" w:eastAsia="Arial" w:hAnsi="Arial"/>
                <w:sz w:val="17"/>
                <w:szCs w:val="17"/>
                <w:color w:val="auto"/>
              </w:rPr>
              <w:t>2,897</w:t>
            </w:r>
          </w:p>
        </w:tc>
        <w:tc>
          <w:tcPr>
            <w:tcW w:w="880" w:type="dxa"/>
            <w:vAlign w:val="bottom"/>
            <w:gridSpan w:val="3"/>
            <w:shd w:val="clear" w:color="auto" w:fill="CCEEFF"/>
          </w:tcPr>
          <w:p>
            <w:pPr>
              <w:jc w:val="right"/>
              <w:ind w:right="120"/>
              <w:spacing w:after="0" w:line="192" w:lineRule="exact"/>
              <w:rPr>
                <w:sz w:val="20"/>
                <w:szCs w:val="20"/>
                <w:color w:val="auto"/>
              </w:rPr>
            </w:pPr>
            <w:r>
              <w:rPr>
                <w:rFonts w:ascii="Arial" w:cs="Arial" w:eastAsia="Arial" w:hAnsi="Arial"/>
                <w:sz w:val="17"/>
                <w:szCs w:val="17"/>
                <w:color w:val="auto"/>
              </w:rPr>
              <w:t>259</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720" w:type="dxa"/>
            <w:vAlign w:val="bottom"/>
          </w:tcPr>
          <w:p>
            <w:pPr>
              <w:ind w:left="320"/>
              <w:spacing w:after="0"/>
              <w:rPr>
                <w:sz w:val="20"/>
                <w:szCs w:val="20"/>
                <w:color w:val="auto"/>
              </w:rPr>
            </w:pPr>
            <w:r>
              <w:rPr>
                <w:rFonts w:ascii="Arial" w:cs="Arial" w:eastAsia="Arial" w:hAnsi="Arial"/>
                <w:sz w:val="17"/>
                <w:szCs w:val="17"/>
                <w:color w:val="auto"/>
              </w:rPr>
              <w:t>Facilities-related (including depreciation)</w:t>
            </w:r>
          </w:p>
        </w:tc>
        <w:tc>
          <w:tcPr>
            <w:tcW w:w="100" w:type="dxa"/>
            <w:vAlign w:val="bottom"/>
          </w:tcPr>
          <w:p>
            <w:pPr>
              <w:spacing w:after="0"/>
              <w:rPr>
                <w:sz w:val="22"/>
                <w:szCs w:val="2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7"/>
                <w:szCs w:val="17"/>
                <w:color w:val="auto"/>
              </w:rPr>
              <w:t>2,388</w:t>
            </w:r>
          </w:p>
        </w:tc>
        <w:tc>
          <w:tcPr>
            <w:tcW w:w="100" w:type="dxa"/>
            <w:vAlign w:val="bottom"/>
          </w:tcPr>
          <w:p>
            <w:pPr>
              <w:spacing w:after="0"/>
              <w:rPr>
                <w:sz w:val="22"/>
                <w:szCs w:val="2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2,776</w:t>
            </w: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388</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7720" w:type="dxa"/>
            <w:vAlign w:val="bottom"/>
            <w:shd w:val="clear" w:color="auto" w:fill="CCEEFF"/>
          </w:tcPr>
          <w:p>
            <w:pPr>
              <w:ind w:left="320"/>
              <w:spacing w:after="0" w:line="192" w:lineRule="exact"/>
              <w:rPr>
                <w:sz w:val="20"/>
                <w:szCs w:val="20"/>
                <w:color w:val="auto"/>
              </w:rPr>
            </w:pPr>
            <w:r>
              <w:rPr>
                <w:rFonts w:ascii="Arial" w:cs="Arial" w:eastAsia="Arial" w:hAnsi="Arial"/>
                <w:sz w:val="17"/>
                <w:szCs w:val="17"/>
                <w:color w:val="auto"/>
              </w:rPr>
              <w:t>Other development programs</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1,214</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1,330</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92" w:lineRule="exact"/>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0"/>
        </w:trPr>
        <w:tc>
          <w:tcPr>
            <w:tcW w:w="77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7740" w:type="dxa"/>
            <w:vAlign w:val="bottom"/>
            <w:gridSpan w:val="2"/>
          </w:tcPr>
          <w:p>
            <w:pPr>
              <w:spacing w:after="0"/>
              <w:rPr>
                <w:sz w:val="20"/>
                <w:szCs w:val="20"/>
                <w:color w:val="auto"/>
              </w:rPr>
            </w:pPr>
            <w:r>
              <w:rPr>
                <w:rFonts w:ascii="Arial" w:cs="Arial" w:eastAsia="Arial" w:hAnsi="Arial"/>
                <w:sz w:val="17"/>
                <w:szCs w:val="17"/>
                <w:color w:val="auto"/>
              </w:rPr>
              <w:t>Total indirect program costs:</w:t>
            </w: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19,960</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25,017</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5,057</w:t>
            </w: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77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7"/>
                <w:szCs w:val="17"/>
                <w:color w:val="auto"/>
              </w:rPr>
              <w:t>Total R&amp;D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w w:val="99"/>
              </w:rPr>
              <w:t>37,159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6"/>
              </w:rPr>
              <w:t>42,637</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$ 5,478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20" w:right="40" w:firstLine="521"/>
        <w:spacing w:after="0" w:line="247" w:lineRule="auto"/>
        <w:rPr>
          <w:sz w:val="20"/>
          <w:szCs w:val="20"/>
          <w:color w:val="auto"/>
        </w:rPr>
      </w:pPr>
      <w:r>
        <w:rPr>
          <w:rFonts w:ascii="Arial" w:cs="Arial" w:eastAsia="Arial" w:hAnsi="Arial"/>
          <w:sz w:val="17"/>
          <w:szCs w:val="17"/>
          <w:color w:val="auto"/>
        </w:rPr>
        <w:t>R&amp;D expenses were $37.2 million and $42.6 million for the years ended December 31, 2022 and 2023, respectively. The $5.5 million increase in R&amp;D expenses resulted from a $2.7 million increase in outside services costs primarily due to the initiation of our Phase 1/2 POTENTIATE clinical trial for BBI-355, an additional $2.1 million of personnel-related costs due to an increase in headcount and additional stock-based compensation expense, and a $0.7 million increase in rent expense and other R&amp;D costs.</w:t>
      </w:r>
    </w:p>
    <w:p>
      <w:pPr>
        <w:spacing w:after="0" w:line="271"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General and Administrative Expenses</w:t>
      </w:r>
    </w:p>
    <w:p>
      <w:pPr>
        <w:spacing w:after="0" w:line="96" w:lineRule="exact"/>
        <w:rPr>
          <w:sz w:val="20"/>
          <w:szCs w:val="20"/>
          <w:color w:val="auto"/>
        </w:rPr>
      </w:pPr>
    </w:p>
    <w:p>
      <w:pPr>
        <w:ind w:left="420" w:right="20" w:firstLine="521"/>
        <w:spacing w:after="0" w:line="247" w:lineRule="auto"/>
        <w:rPr>
          <w:sz w:val="20"/>
          <w:szCs w:val="20"/>
          <w:color w:val="auto"/>
        </w:rPr>
      </w:pPr>
      <w:r>
        <w:rPr>
          <w:rFonts w:ascii="Arial" w:cs="Arial" w:eastAsia="Arial" w:hAnsi="Arial"/>
          <w:sz w:val="17"/>
          <w:szCs w:val="17"/>
          <w:color w:val="auto"/>
        </w:rPr>
        <w:t>G&amp;A expenses were $9.3 million and $ 12.2 million for the years ended December 31, 2022 and 2023, respectively. The $2.8 million increase primarily resulted from a $1.3 million increase in personnel-related costs due primarily to an increase in employee headcount, salary increases, and additional stock-based compensation expense, $0.8 million of additional legal and other professional costs, and a $0.7 million increase in rent expense and other operating costs and expenses.</w:t>
      </w:r>
    </w:p>
    <w:p>
      <w:pPr>
        <w:spacing w:after="0" w:line="271"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Other Income (Expense), Net</w:t>
      </w:r>
    </w:p>
    <w:p>
      <w:pPr>
        <w:spacing w:after="0" w:line="96" w:lineRule="exact"/>
        <w:rPr>
          <w:sz w:val="20"/>
          <w:szCs w:val="20"/>
          <w:color w:val="auto"/>
        </w:rPr>
      </w:pPr>
    </w:p>
    <w:p>
      <w:pPr>
        <w:jc w:val="both"/>
        <w:ind w:left="420" w:right="60" w:firstLine="521"/>
        <w:spacing w:after="0" w:line="247" w:lineRule="auto"/>
        <w:rPr>
          <w:sz w:val="20"/>
          <w:szCs w:val="20"/>
          <w:color w:val="auto"/>
        </w:rPr>
      </w:pPr>
      <w:r>
        <w:rPr>
          <w:rFonts w:ascii="Arial" w:cs="Arial" w:eastAsia="Arial" w:hAnsi="Arial"/>
          <w:sz w:val="17"/>
          <w:szCs w:val="17"/>
          <w:color w:val="auto"/>
        </w:rPr>
        <w:t>Other income (expense), net was $0.6 million and $5.4 million for the years ended December 31, 2022 and 2023, respectively. The $4.8 million increase resulted from the additional interest income generated by our available-for-sale investment securities portfolio due to the net proceeds of $99.7 million arising from the sale of shares of our Series C convertible preferred stock in April and May 2023, as well as the increase in market yields available for such investment securities in comparison to the prior year period.</w:t>
      </w:r>
    </w:p>
    <w:p>
      <w:pPr>
        <w:spacing w:after="0" w:line="102"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0840"/>
          </w:cols>
          <w:pgMar w:left="320" w:top="439" w:right="7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Liquidity and Capital Resources</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98" w:lineRule="exact"/>
        <w:rPr>
          <w:sz w:val="20"/>
          <w:szCs w:val="20"/>
          <w:color w:val="auto"/>
        </w:rPr>
      </w:pPr>
    </w:p>
    <w:p>
      <w:pPr>
        <w:ind w:left="420" w:right="20" w:firstLine="521"/>
        <w:spacing w:after="0" w:line="270" w:lineRule="auto"/>
        <w:rPr>
          <w:sz w:val="20"/>
          <w:szCs w:val="20"/>
          <w:color w:val="auto"/>
        </w:rPr>
      </w:pPr>
      <w:r>
        <w:rPr>
          <w:rFonts w:ascii="Arial" w:cs="Arial" w:eastAsia="Arial" w:hAnsi="Arial"/>
          <w:sz w:val="17"/>
          <w:szCs w:val="17"/>
          <w:color w:val="auto"/>
        </w:rPr>
        <w:t>Through December 31, 2023, we have raised a total of $253.5 million to fund our operations primarily from the gross proceeds from the sale and issuance of our convertible preferred stock.</w:t>
      </w:r>
    </w:p>
    <w:p>
      <w:pPr>
        <w:spacing w:after="0" w:line="25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Future Funding Requirements</w:t>
      </w:r>
    </w:p>
    <w:p>
      <w:pPr>
        <w:spacing w:after="0" w:line="98" w:lineRule="exact"/>
        <w:rPr>
          <w:sz w:val="20"/>
          <w:szCs w:val="20"/>
          <w:color w:val="auto"/>
        </w:rPr>
      </w:pPr>
    </w:p>
    <w:p>
      <w:pPr>
        <w:ind w:left="420" w:right="180" w:firstLine="521"/>
        <w:spacing w:after="0"/>
        <w:rPr>
          <w:sz w:val="20"/>
          <w:szCs w:val="20"/>
          <w:color w:val="auto"/>
        </w:rPr>
      </w:pPr>
      <w:r>
        <w:rPr>
          <w:rFonts w:ascii="Arial" w:cs="Arial" w:eastAsia="Arial" w:hAnsi="Arial"/>
          <w:sz w:val="17"/>
          <w:szCs w:val="17"/>
          <w:color w:val="auto"/>
        </w:rPr>
        <w:t>As of December 31, 2023, we had cash, cash equivalents, and short-term investments of $120.8 million. Based upon our current operating plans, we believe that the estimated net proceeds from this offering, together with our existing cash, cash equivalents, and short-term investments, will be sufficient to fund our operations into the second half of 2026.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conducting preclinical studies, manufacturing ecDTx, developing our ecDNA diagnostic, and testing ecDTx in clinical trials is costly, and the timing of progress and expenses in these studies and trials is uncertain.</w:t>
      </w:r>
    </w:p>
    <w:p>
      <w:pPr>
        <w:spacing w:after="0" w:line="148" w:lineRule="exact"/>
        <w:rPr>
          <w:sz w:val="20"/>
          <w:szCs w:val="20"/>
          <w:color w:val="auto"/>
        </w:rPr>
      </w:pPr>
    </w:p>
    <w:p>
      <w:pPr>
        <w:ind w:left="420" w:firstLine="521"/>
        <w:spacing w:after="0" w:line="239" w:lineRule="auto"/>
        <w:rPr>
          <w:sz w:val="20"/>
          <w:szCs w:val="20"/>
          <w:color w:val="auto"/>
        </w:rPr>
      </w:pPr>
      <w:r>
        <w:rPr>
          <w:rFonts w:ascii="Arial" w:cs="Arial" w:eastAsia="Arial" w:hAnsi="Arial"/>
          <w:sz w:val="17"/>
          <w:szCs w:val="17"/>
          <w:color w:val="auto"/>
        </w:rPr>
        <w:t>We have incurred significant operating losses since our inception and, as of December 31, 2023, we had an accumulated deficit of $136.1 million. We expect to continue to incur losses for the foreseeable future, and we anticipate these losses will increase substantially as we continue our development of, seek regulatory approval for, and potentially commercialize any of our ecDTx and seek to discover, and develop additional ecDTx, conduct our ongoing and planned clinical trials and preclinical studies, continue our research and development activities, utilize third parties to manufacture our ecDTx and related raw materials, hire additional personnel, expand and protect our intellectual property, as well as incur additional costs associated with being a public company. If we obtain regulatory approval for any of our ecDTx, we expect to incur significant commercialization expenses related to product sales, marketing, manufacturing, and distribution. Our net losses may fluctuate significantly from quarter-to-quarter and year-to-year, depending on the timing of our clinical trials and preclinical studies and our other research and development activities and capital expenditures.</w:t>
      </w:r>
    </w:p>
    <w:p>
      <w:pPr>
        <w:spacing w:after="0" w:line="139" w:lineRule="exact"/>
        <w:rPr>
          <w:sz w:val="20"/>
          <w:szCs w:val="20"/>
          <w:color w:val="auto"/>
        </w:rPr>
      </w:pPr>
    </w:p>
    <w:p>
      <w:pPr>
        <w:ind w:left="940"/>
        <w:spacing w:after="0"/>
        <w:rPr>
          <w:sz w:val="20"/>
          <w:szCs w:val="20"/>
          <w:color w:val="auto"/>
        </w:rPr>
      </w:pPr>
      <w:r>
        <w:rPr>
          <w:rFonts w:ascii="Arial" w:cs="Arial" w:eastAsia="Arial" w:hAnsi="Arial"/>
          <w:sz w:val="17"/>
          <w:szCs w:val="17"/>
          <w:color w:val="auto"/>
        </w:rPr>
        <w:t>Our future capital requirements are difficult to predict and depend on many factors, including but not limited to:</w:t>
      </w:r>
    </w:p>
    <w:p>
      <w:pPr>
        <w:spacing w:after="0" w:line="111" w:lineRule="exact"/>
        <w:rPr>
          <w:sz w:val="20"/>
          <w:szCs w:val="20"/>
          <w:color w:val="auto"/>
        </w:rPr>
      </w:pPr>
    </w:p>
    <w:p>
      <w:pPr>
        <w:ind w:left="1660" w:right="100" w:hanging="418"/>
        <w:spacing w:after="0" w:line="252" w:lineRule="auto"/>
        <w:tabs>
          <w:tab w:leader="none" w:pos="1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initiation, type, number, scope, progress, expansions, results, costs, and timing of clinical trials and preclinical studies of our ecDTx that we are pursuing or may choose to pursue in the future, including the costs of any third-party products used as combination agents in our combination clinical trials;</w:t>
      </w:r>
    </w:p>
    <w:p>
      <w:pPr>
        <w:spacing w:after="0" w:line="74" w:lineRule="exact"/>
        <w:rPr>
          <w:rFonts w:ascii="Arial" w:cs="Arial" w:eastAsia="Arial" w:hAnsi="Arial"/>
          <w:sz w:val="17"/>
          <w:szCs w:val="17"/>
          <w:color w:val="auto"/>
        </w:rPr>
      </w:pPr>
    </w:p>
    <w:p>
      <w:pPr>
        <w:ind w:left="1660" w:right="40" w:hanging="418"/>
        <w:spacing w:after="0" w:line="270" w:lineRule="auto"/>
        <w:tabs>
          <w:tab w:leader="none" w:pos="1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costs and timing of manufacturing for our ecDTx, including commercial manufacture at sufficient scale, if any ecDTx is approved;</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costs and timing of developing ecDNA diagnostics, if required, and the outcome of their regulatory review;</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costs, timing, and outcome of regulatory meetings and reviews of our ecDTx;</w:t>
      </w:r>
    </w:p>
    <w:p>
      <w:pPr>
        <w:spacing w:after="0" w:line="111" w:lineRule="exact"/>
        <w:rPr>
          <w:rFonts w:ascii="Arial" w:cs="Arial" w:eastAsia="Arial" w:hAnsi="Arial"/>
          <w:sz w:val="17"/>
          <w:szCs w:val="17"/>
          <w:color w:val="auto"/>
        </w:rPr>
      </w:pPr>
    </w:p>
    <w:p>
      <w:pPr>
        <w:ind w:left="1660" w:right="260" w:hanging="418"/>
        <w:spacing w:after="0" w:line="270" w:lineRule="auto"/>
        <w:tabs>
          <w:tab w:leader="none" w:pos="1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costs of obtaining, maintaining, enforcing, and protecting our patents and other intellectual property and proprietary rights;</w:t>
      </w:r>
    </w:p>
    <w:p>
      <w:pPr>
        <w:spacing w:after="0" w:line="58" w:lineRule="exact"/>
        <w:rPr>
          <w:rFonts w:ascii="Arial" w:cs="Arial" w:eastAsia="Arial" w:hAnsi="Arial"/>
          <w:sz w:val="17"/>
          <w:szCs w:val="17"/>
          <w:color w:val="auto"/>
        </w:rPr>
      </w:pPr>
    </w:p>
    <w:p>
      <w:pPr>
        <w:ind w:left="1660" w:right="240" w:hanging="418"/>
        <w:spacing w:after="0" w:line="270" w:lineRule="auto"/>
        <w:tabs>
          <w:tab w:leader="none" w:pos="1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efforts to enhance operational systems and hire additional personnel to satisfy our obligations as a public company, including enhanced internal control over financial reporting;</w:t>
      </w:r>
    </w:p>
    <w:p>
      <w:pPr>
        <w:spacing w:after="0" w:line="8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0840"/>
          </w:cols>
          <w:pgMar w:left="320" w:top="439" w:right="7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1660" w:right="80" w:hanging="418"/>
        <w:spacing w:after="0" w:line="270" w:lineRule="auto"/>
        <w:tabs>
          <w:tab w:leader="none" w:pos="1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costs associated with hiring additional personnel and consultants as our clinical and preclinical activities increase and as we operate as a public company;</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costs and timing of establishing or securing sales and marketing capabilities if any ecDTx is approved;</w:t>
      </w:r>
    </w:p>
    <w:p>
      <w:pPr>
        <w:spacing w:after="0" w:line="111" w:lineRule="exact"/>
        <w:rPr>
          <w:rFonts w:ascii="Arial" w:cs="Arial" w:eastAsia="Arial" w:hAnsi="Arial"/>
          <w:sz w:val="17"/>
          <w:szCs w:val="17"/>
          <w:color w:val="auto"/>
        </w:rPr>
      </w:pPr>
    </w:p>
    <w:p>
      <w:pPr>
        <w:ind w:left="1660" w:right="220" w:hanging="418"/>
        <w:spacing w:after="0" w:line="270" w:lineRule="auto"/>
        <w:tabs>
          <w:tab w:leader="none" w:pos="1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ability to achieve sufficient market acceptance, coverage, and adequate reimbursement from third-party payors and adequate market share and revenue for any approved products;</w:t>
      </w:r>
    </w:p>
    <w:p>
      <w:pPr>
        <w:spacing w:after="0" w:line="58" w:lineRule="exact"/>
        <w:rPr>
          <w:rFonts w:ascii="Arial" w:cs="Arial" w:eastAsia="Arial" w:hAnsi="Arial"/>
          <w:sz w:val="17"/>
          <w:szCs w:val="17"/>
          <w:color w:val="auto"/>
        </w:rPr>
      </w:pPr>
    </w:p>
    <w:p>
      <w:pPr>
        <w:ind w:left="1660" w:right="720" w:hanging="418"/>
        <w:spacing w:after="0" w:line="270" w:lineRule="auto"/>
        <w:tabs>
          <w:tab w:leader="none" w:pos="1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patients’ willingness to pay out-of-pocket for any approved products in the absence of coverage and/or adequate reimbursement from third-party payors;</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terms and timing of establishing and maintaining collaborations, licenses, and other similar arrangements;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costs associated with any products or technologies that we may in-license or acquire; and</w:t>
      </w:r>
    </w:p>
    <w:p>
      <w:pPr>
        <w:spacing w:after="0" w:line="111" w:lineRule="exact"/>
        <w:rPr>
          <w:rFonts w:ascii="Arial" w:cs="Arial" w:eastAsia="Arial" w:hAnsi="Arial"/>
          <w:sz w:val="17"/>
          <w:szCs w:val="17"/>
          <w:color w:val="auto"/>
        </w:rPr>
      </w:pPr>
    </w:p>
    <w:p>
      <w:pPr>
        <w:ind w:left="1660" w:right="240" w:hanging="418"/>
        <w:spacing w:after="0" w:line="270" w:lineRule="auto"/>
        <w:tabs>
          <w:tab w:leader="none" w:pos="1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effects of competing technological and market developments as well as disruptions to and volatility in the credit and financial markets.</w:t>
      </w:r>
    </w:p>
    <w:p>
      <w:pPr>
        <w:spacing w:after="0" w:line="122" w:lineRule="exact"/>
        <w:rPr>
          <w:sz w:val="20"/>
          <w:szCs w:val="20"/>
          <w:color w:val="auto"/>
        </w:rPr>
      </w:pPr>
    </w:p>
    <w:p>
      <w:pPr>
        <w:ind w:left="420" w:right="40" w:firstLine="521"/>
        <w:spacing w:after="0" w:line="238" w:lineRule="auto"/>
        <w:rPr>
          <w:sz w:val="20"/>
          <w:szCs w:val="20"/>
          <w:color w:val="auto"/>
        </w:rPr>
      </w:pPr>
      <w:r>
        <w:rPr>
          <w:rFonts w:ascii="Arial" w:cs="Arial" w:eastAsia="Arial" w:hAnsi="Arial"/>
          <w:sz w:val="17"/>
          <w:szCs w:val="17"/>
          <w:color w:val="auto"/>
        </w:rPr>
        <w:t>We have no other committed sources of capital. Until we can generate a sufficient amount of product revenue to finance our cash requirements, if ever, we expect to finance our future cash needs primarily through equity offerings, debt financings, or other capital sources, including potential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If we raise additional funds through other collaborations or licensing arrangements with third parties, we may have to relinquish valuable rights to our future revenue streams, ecDTx, research programs, intellectual property or proprietary technology, or grant licenses on terms that may not be favorable to us. If we are unable to raise additional funds through equity or debt financings or other arrangements when needed, we may be required to delay, limit, reduce, or terminate our R&amp;D programs or other operations, or grant rights to develop and market ecDTx to third parties that we would otherwise prefer to develop and market ourselves, or on less favorable terms than we would otherwise choose.</w:t>
      </w:r>
    </w:p>
    <w:p>
      <w:pPr>
        <w:spacing w:after="0" w:line="27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Cash Flows</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Comparison of the Years Ended December 31, 2022 and 2023</w:t>
      </w:r>
    </w:p>
    <w:p>
      <w:pPr>
        <w:spacing w:after="0" w:line="98"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The following table summarizes our cash flows for each of the periods indicated:</w:t>
      </w:r>
    </w:p>
    <w:p>
      <w:pPr>
        <w:spacing w:after="0" w:line="200"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504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222"/>
              <w:spacing w:after="0" w:line="146" w:lineRule="exact"/>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78"/>
              <w:spacing w:after="0" w:line="146" w:lineRule="exact"/>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operating activities</w:t>
            </w:r>
          </w:p>
        </w:tc>
        <w:tc>
          <w:tcPr>
            <w:tcW w:w="196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(39,596)</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(46,855)</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(7,259)</w:t>
            </w:r>
          </w:p>
        </w:tc>
        <w:tc>
          <w:tcPr>
            <w:tcW w:w="0" w:type="dxa"/>
            <w:vAlign w:val="bottom"/>
          </w:tcPr>
          <w:p>
            <w:pPr>
              <w:spacing w:after="0"/>
              <w:rPr>
                <w:sz w:val="1"/>
                <w:szCs w:val="1"/>
                <w:color w:val="auto"/>
              </w:rPr>
            </w:pPr>
          </w:p>
        </w:tc>
      </w:tr>
      <w:tr>
        <w:trPr>
          <w:trHeight w:val="258"/>
        </w:trPr>
        <w:tc>
          <w:tcPr>
            <w:tcW w:w="5040" w:type="dxa"/>
            <w:vAlign w:val="bottom"/>
            <w:gridSpan w:val="2"/>
          </w:tcPr>
          <w:p>
            <w:pPr>
              <w:spacing w:after="0"/>
              <w:rPr>
                <w:sz w:val="20"/>
                <w:szCs w:val="20"/>
                <w:color w:val="auto"/>
              </w:rPr>
            </w:pPr>
            <w:r>
              <w:rPr>
                <w:rFonts w:ascii="Arial" w:cs="Arial" w:eastAsia="Arial" w:hAnsi="Arial"/>
                <w:sz w:val="17"/>
                <w:szCs w:val="17"/>
                <w:color w:val="auto"/>
              </w:rPr>
              <w:t>Net cash provided by investing activities</w:t>
            </w:r>
          </w:p>
        </w:tc>
        <w:tc>
          <w:tcPr>
            <w:tcW w:w="1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7"/>
                <w:szCs w:val="17"/>
                <w:color w:val="auto"/>
              </w:rPr>
              <w:t>16,132</w:t>
            </w:r>
          </w:p>
        </w:tc>
        <w:tc>
          <w:tcPr>
            <w:tcW w:w="180" w:type="dxa"/>
            <w:vAlign w:val="bottom"/>
          </w:tcPr>
          <w:p>
            <w:pPr>
              <w:spacing w:after="0"/>
              <w:rPr>
                <w:sz w:val="22"/>
                <w:szCs w:val="22"/>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7"/>
                <w:szCs w:val="17"/>
                <w:color w:val="auto"/>
              </w:rPr>
              <w:t>(38,260)</w:t>
            </w:r>
          </w:p>
        </w:tc>
        <w:tc>
          <w:tcPr>
            <w:tcW w:w="20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(54,392)</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0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financing activities</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2"/>
              </w:rPr>
              <w:t> </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      126</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2"/>
              </w:rPr>
              <w:t> </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97,897</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2"/>
              </w:rPr>
              <w:t> </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97,770</w:t>
            </w:r>
          </w:p>
        </w:tc>
        <w:tc>
          <w:tcPr>
            <w:tcW w:w="0" w:type="dxa"/>
            <w:vAlign w:val="bottom"/>
          </w:tcPr>
          <w:p>
            <w:pPr>
              <w:spacing w:after="0"/>
              <w:rPr>
                <w:sz w:val="1"/>
                <w:szCs w:val="1"/>
                <w:color w:val="auto"/>
              </w:rPr>
            </w:pPr>
          </w:p>
        </w:tc>
      </w:tr>
      <w:tr>
        <w:trPr>
          <w:trHeight w:val="20"/>
        </w:trPr>
        <w:tc>
          <w:tcPr>
            <w:tcW w:w="50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5040" w:type="dxa"/>
            <w:vAlign w:val="bottom"/>
            <w:gridSpan w:val="2"/>
          </w:tcPr>
          <w:p>
            <w:pPr>
              <w:spacing w:after="0"/>
              <w:rPr>
                <w:sz w:val="20"/>
                <w:szCs w:val="20"/>
                <w:color w:val="auto"/>
              </w:rPr>
            </w:pPr>
            <w:r>
              <w:rPr>
                <w:rFonts w:ascii="Arial" w:cs="Arial" w:eastAsia="Arial" w:hAnsi="Arial"/>
                <w:sz w:val="17"/>
                <w:szCs w:val="17"/>
                <w:color w:val="auto"/>
              </w:rPr>
              <w:t>Increase (decrease) in cash, cash equivalents, and restricted cash</w:t>
            </w:r>
          </w:p>
        </w:tc>
        <w:tc>
          <w:tcPr>
            <w:tcW w:w="1740" w:type="dxa"/>
            <w:vAlign w:val="bottom"/>
          </w:tcPr>
          <w:p>
            <w:pPr>
              <w:spacing w:after="0"/>
              <w:rPr>
                <w:sz w:val="23"/>
                <w:szCs w:val="23"/>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440"/>
              <w:spacing w:after="0"/>
              <w:rPr>
                <w:sz w:val="20"/>
                <w:szCs w:val="20"/>
                <w:color w:val="auto"/>
              </w:rPr>
            </w:pPr>
            <w:r>
              <w:rPr>
                <w:rFonts w:ascii="Arial" w:cs="Arial" w:eastAsia="Arial" w:hAnsi="Arial"/>
                <w:sz w:val="17"/>
                <w:szCs w:val="17"/>
                <w:color w:val="auto"/>
              </w:rPr>
              <w:t>(23,338)</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500"/>
              <w:spacing w:after="0"/>
              <w:rPr>
                <w:sz w:val="20"/>
                <w:szCs w:val="20"/>
                <w:color w:val="auto"/>
              </w:rPr>
            </w:pPr>
            <w:r>
              <w:rPr>
                <w:rFonts w:ascii="Arial" w:cs="Arial" w:eastAsia="Arial" w:hAnsi="Arial"/>
                <w:sz w:val="17"/>
                <w:szCs w:val="17"/>
                <w:color w:val="auto"/>
              </w:rPr>
              <w:t>12,782</w:t>
            </w:r>
          </w:p>
        </w:tc>
        <w:tc>
          <w:tcPr>
            <w:tcW w:w="200" w:type="dxa"/>
            <w:vAlign w:val="bottom"/>
          </w:tcPr>
          <w:p>
            <w:pPr>
              <w:jc w:val="right"/>
              <w:ind w:right="19"/>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36,119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740" w:type="dxa"/>
            <w:vAlign w:val="bottom"/>
            <w:vMerge w:val="restart"/>
          </w:tcPr>
          <w:p>
            <w:pPr>
              <w:jc w:val="right"/>
              <w:ind w:right="1395"/>
              <w:spacing w:after="0"/>
              <w:rPr>
                <w:sz w:val="20"/>
                <w:szCs w:val="20"/>
                <w:color w:val="auto"/>
              </w:rPr>
            </w:pPr>
            <w:r>
              <w:rPr>
                <w:rFonts w:ascii="Arial" w:cs="Arial" w:eastAsia="Arial" w:hAnsi="Arial"/>
                <w:sz w:val="17"/>
                <w:szCs w:val="17"/>
                <w:color w:val="auto"/>
              </w:rPr>
              <w:t>94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320" w:top="439" w:right="7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Operating Activities</w:t>
      </w:r>
    </w:p>
    <w:p>
      <w:pPr>
        <w:spacing w:after="0" w:line="96" w:lineRule="exact"/>
        <w:rPr>
          <w:sz w:val="20"/>
          <w:szCs w:val="20"/>
          <w:color w:val="auto"/>
        </w:rPr>
      </w:pPr>
    </w:p>
    <w:p>
      <w:pPr>
        <w:ind w:left="420" w:firstLine="521"/>
        <w:spacing w:after="0" w:line="239" w:lineRule="auto"/>
        <w:rPr>
          <w:sz w:val="20"/>
          <w:szCs w:val="20"/>
          <w:color w:val="auto"/>
        </w:rPr>
      </w:pPr>
      <w:r>
        <w:rPr>
          <w:rFonts w:ascii="Arial" w:cs="Arial" w:eastAsia="Arial" w:hAnsi="Arial"/>
          <w:sz w:val="17"/>
          <w:szCs w:val="17"/>
          <w:color w:val="auto"/>
        </w:rPr>
        <w:t>Net cash used in operating activities was $39.6 million and $46.9 million for the years ended December 31, 2022 and 2023, respectively. The net cash used in operating activities during the year ended December 31, 2022 was primarily due to our reported net loss of $45.9 million, net of noncash charges (including stock-based compensation expense, depreciation, and right-of-use asset amortization) totaling $5.4 million and a $0.9 million decrease of our net operating assets. The net cash used in operating activities during the year ended December 31, 2023 was primarily due to our reported net loss of $49.4 million and a $0.8 million increase in our net operating assets, adjusted for noncash charges (including stock-based compensation expense, depreciation, and right-of-use amortization) totaling $ 3.4 million. The increase in cash used in operations during the year ended December 31, 2022 in comparison to the year ended December 31, 2023 was primarily attributable to higher personnel-related costs and an increase in third-party spending associated with our discovery, development, and clinical activities.</w:t>
      </w:r>
    </w:p>
    <w:p>
      <w:pPr>
        <w:spacing w:after="0" w:line="282"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Investing Activities</w:t>
      </w:r>
    </w:p>
    <w:p>
      <w:pPr>
        <w:spacing w:after="0" w:line="96" w:lineRule="exact"/>
        <w:rPr>
          <w:sz w:val="20"/>
          <w:szCs w:val="20"/>
          <w:color w:val="auto"/>
        </w:rPr>
      </w:pPr>
    </w:p>
    <w:p>
      <w:pPr>
        <w:ind w:left="420" w:right="120" w:firstLine="521"/>
        <w:spacing w:after="0" w:line="247" w:lineRule="auto"/>
        <w:rPr>
          <w:sz w:val="20"/>
          <w:szCs w:val="20"/>
          <w:color w:val="auto"/>
        </w:rPr>
      </w:pPr>
      <w:r>
        <w:rPr>
          <w:rFonts w:ascii="Arial" w:cs="Arial" w:eastAsia="Arial" w:hAnsi="Arial"/>
          <w:sz w:val="17"/>
          <w:szCs w:val="17"/>
          <w:color w:val="auto"/>
        </w:rPr>
        <w:t>Investing activities consist primarily of the cash flows of purchases and maturities of investment securities and the cash outflow associated with purchases of property and equipment. Such activities resulted in a net outflow of funds of approximately $16.1 million during the year ended December 31, 2022, primarily from the net maturities of our available-for-sale securities portfolio, and a net outflow of funds of $38.3 million during the year ended December 31, 2023, primarily from net purchases of available-for-sale securities portfolio.</w:t>
      </w:r>
    </w:p>
    <w:p>
      <w:pPr>
        <w:spacing w:after="0" w:line="271"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Financing Activities</w:t>
      </w:r>
    </w:p>
    <w:p>
      <w:pPr>
        <w:spacing w:after="0" w:line="96" w:lineRule="exact"/>
        <w:rPr>
          <w:sz w:val="20"/>
          <w:szCs w:val="20"/>
          <w:color w:val="auto"/>
        </w:rPr>
      </w:pPr>
    </w:p>
    <w:p>
      <w:pPr>
        <w:ind w:left="420" w:right="100" w:firstLine="521"/>
        <w:spacing w:after="0" w:line="244" w:lineRule="auto"/>
        <w:rPr>
          <w:sz w:val="20"/>
          <w:szCs w:val="20"/>
          <w:color w:val="auto"/>
        </w:rPr>
      </w:pPr>
      <w:r>
        <w:rPr>
          <w:rFonts w:ascii="Arial" w:cs="Arial" w:eastAsia="Arial" w:hAnsi="Arial"/>
          <w:sz w:val="17"/>
          <w:szCs w:val="17"/>
          <w:color w:val="auto"/>
        </w:rPr>
        <w:t>Our financing activities generally consist of the proceeds from the sale of our convertible preferred stock and common stock. Net cash provided by financing activities was $0.1 million during the year ended December 31, 2022 as a result of the exercise of common stock options by our employees and consultants. Net cash provided by financing activities was $97.9 million during the year ended December 31, 2023 primarily due to the net proceeds generated from the sale and issuance of our Series C convertible preferred stock in April and May 2023.</w:t>
      </w:r>
    </w:p>
    <w:p>
      <w:pPr>
        <w:spacing w:after="0" w:line="271"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Contractual Obligations and Other Commitments</w:t>
      </w:r>
    </w:p>
    <w:p>
      <w:pPr>
        <w:spacing w:after="0" w:line="98" w:lineRule="exact"/>
        <w:rPr>
          <w:sz w:val="20"/>
          <w:szCs w:val="20"/>
          <w:color w:val="auto"/>
        </w:rPr>
      </w:pPr>
    </w:p>
    <w:p>
      <w:pPr>
        <w:ind w:left="420" w:right="60" w:firstLine="521"/>
        <w:spacing w:after="0" w:line="247" w:lineRule="auto"/>
        <w:rPr>
          <w:sz w:val="20"/>
          <w:szCs w:val="20"/>
          <w:color w:val="auto"/>
        </w:rPr>
      </w:pPr>
      <w:r>
        <w:rPr>
          <w:rFonts w:ascii="Arial" w:cs="Arial" w:eastAsia="Arial" w:hAnsi="Arial"/>
          <w:sz w:val="17"/>
          <w:szCs w:val="17"/>
          <w:color w:val="auto"/>
        </w:rPr>
        <w:t>We lease office and lab space under lease agreements with varying expiration dates through 2035. As of December 31, 2023, total future aggregate operating lease commitments was $74.2 million. During the normal course of our business, we enter into contracts for research and professional services, and for the purchase of lab supplies used in our research activities. These contracts generally provide for termination after a notice period, and, therefore, are cancelable contracts and not separately presented.</w:t>
      </w:r>
    </w:p>
    <w:p>
      <w:pPr>
        <w:spacing w:after="0" w:line="26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Off-Balance Sheet Arrangements</w:t>
      </w:r>
    </w:p>
    <w:p>
      <w:pPr>
        <w:spacing w:after="0" w:line="98" w:lineRule="exact"/>
        <w:rPr>
          <w:sz w:val="20"/>
          <w:szCs w:val="20"/>
          <w:color w:val="auto"/>
        </w:rPr>
      </w:pPr>
    </w:p>
    <w:p>
      <w:pPr>
        <w:ind w:left="420" w:firstLine="521"/>
        <w:spacing w:after="0" w:line="270" w:lineRule="auto"/>
        <w:rPr>
          <w:sz w:val="20"/>
          <w:szCs w:val="20"/>
          <w:color w:val="auto"/>
        </w:rPr>
      </w:pPr>
      <w:r>
        <w:rPr>
          <w:rFonts w:ascii="Arial" w:cs="Arial" w:eastAsia="Arial" w:hAnsi="Arial"/>
          <w:sz w:val="17"/>
          <w:szCs w:val="17"/>
          <w:color w:val="auto"/>
        </w:rPr>
        <w:t>Since our inception, we did not have, and we do not currently have, any off-balance sheet arrangements as defined under rules and regulations of the SEC.</w:t>
      </w:r>
    </w:p>
    <w:p>
      <w:pPr>
        <w:spacing w:after="0" w:line="250"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Critical Accounting Policies and Significant Estimates and Judgments</w:t>
      </w:r>
    </w:p>
    <w:p>
      <w:pPr>
        <w:spacing w:after="0" w:line="98" w:lineRule="exact"/>
        <w:rPr>
          <w:sz w:val="20"/>
          <w:szCs w:val="20"/>
          <w:color w:val="auto"/>
        </w:rPr>
      </w:pPr>
    </w:p>
    <w:p>
      <w:pPr>
        <w:ind w:left="420" w:right="420" w:firstLine="521"/>
        <w:spacing w:after="0" w:line="252"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U.S. generally accepted accounting principles (GAAP). The preparation of these financial statements requires us to</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0840"/>
          </w:cols>
          <w:pgMar w:left="320" w:top="439" w:right="7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line="242" w:lineRule="auto"/>
        <w:rPr>
          <w:sz w:val="20"/>
          <w:szCs w:val="20"/>
          <w:color w:val="auto"/>
        </w:rPr>
      </w:pPr>
      <w:r>
        <w:rPr>
          <w:rFonts w:ascii="Arial" w:cs="Arial" w:eastAsia="Arial" w:hAnsi="Arial"/>
          <w:sz w:val="17"/>
          <w:szCs w:val="17"/>
          <w:color w:val="auto"/>
        </w:rPr>
        <w:t>make estimates and judgments that affect the reported amounts of assets, liabilities, and expenses and the disclosure of contingent assets and liabilities in our financial statements. On an ongoing basis, we evaluate our estimates and judgments, including those related to accrued expenses and stock-based compensation.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46" w:lineRule="exact"/>
        <w:rPr>
          <w:sz w:val="20"/>
          <w:szCs w:val="20"/>
          <w:color w:val="auto"/>
        </w:rPr>
      </w:pPr>
    </w:p>
    <w:p>
      <w:pPr>
        <w:ind w:left="420" w:right="300" w:firstLine="521"/>
        <w:spacing w:after="0" w:line="252" w:lineRule="auto"/>
        <w:rPr>
          <w:sz w:val="20"/>
          <w:szCs w:val="20"/>
          <w:color w:val="auto"/>
        </w:rPr>
      </w:pPr>
      <w:r>
        <w:rPr>
          <w:rFonts w:ascii="Arial" w:cs="Arial" w:eastAsia="Arial" w:hAnsi="Arial"/>
          <w:sz w:val="17"/>
          <w:szCs w:val="17"/>
          <w:color w:val="auto"/>
        </w:rPr>
        <w:t>While our significant accounting policies are described in more detail in Note 2 to our financial statements included elsewhere in this prospectus, we believe the following accounting policies and estimates to be most critical to the preparation of our financial statements.</w:t>
      </w:r>
    </w:p>
    <w:p>
      <w:pPr>
        <w:spacing w:after="0" w:line="266"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Accrued R&amp;D Expenses</w:t>
      </w:r>
    </w:p>
    <w:p>
      <w:pPr>
        <w:spacing w:after="0" w:line="98" w:lineRule="exact"/>
        <w:rPr>
          <w:sz w:val="20"/>
          <w:szCs w:val="20"/>
          <w:color w:val="auto"/>
        </w:rPr>
      </w:pPr>
    </w:p>
    <w:p>
      <w:pPr>
        <w:ind w:left="420" w:right="60" w:firstLine="521"/>
        <w:spacing w:after="0" w:line="241" w:lineRule="auto"/>
        <w:rPr>
          <w:sz w:val="20"/>
          <w:szCs w:val="20"/>
          <w:color w:val="auto"/>
        </w:rPr>
      </w:pPr>
      <w:r>
        <w:rPr>
          <w:rFonts w:ascii="Arial" w:cs="Arial" w:eastAsia="Arial" w:hAnsi="Arial"/>
          <w:sz w:val="17"/>
          <w:szCs w:val="17"/>
          <w:color w:val="auto"/>
        </w:rPr>
        <w:t>As part of the process of preparing our financial statements, we are required to estimate our accrued R&amp;D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make estimates of our accrued R&amp;D expenses as of each balance sheet date based on facts and circumstances known to us at that time. The significant estimates in our accrued R&amp;D expenses include the costs incurred for services performed by our vendors in connection with services for which we have not yet been invoiced.</w:t>
      </w:r>
    </w:p>
    <w:p>
      <w:pPr>
        <w:spacing w:after="0" w:line="134" w:lineRule="exact"/>
        <w:rPr>
          <w:sz w:val="20"/>
          <w:szCs w:val="20"/>
          <w:color w:val="auto"/>
        </w:rPr>
      </w:pPr>
    </w:p>
    <w:p>
      <w:pPr>
        <w:jc w:val="both"/>
        <w:ind w:left="420" w:right="60" w:firstLine="521"/>
        <w:spacing w:after="0" w:line="252" w:lineRule="auto"/>
        <w:rPr>
          <w:sz w:val="20"/>
          <w:szCs w:val="20"/>
          <w:color w:val="auto"/>
        </w:rPr>
      </w:pPr>
      <w:r>
        <w:rPr>
          <w:rFonts w:ascii="Arial" w:cs="Arial" w:eastAsia="Arial" w:hAnsi="Arial"/>
          <w:sz w:val="17"/>
          <w:szCs w:val="17"/>
          <w:color w:val="auto"/>
        </w:rPr>
        <w:t>We base our expenses related to R&amp;D activities on our estimates of the services received and efforts expended pursuant to quotes and contracts with vendors that conduct R&amp;D on our behalf. The financial terms of these agreements are subject to negotiation, vary from contract to contract, and may result in uneven payment flows.</w:t>
      </w:r>
    </w:p>
    <w:p>
      <w:pPr>
        <w:spacing w:after="0" w:line="125" w:lineRule="exact"/>
        <w:rPr>
          <w:sz w:val="20"/>
          <w:szCs w:val="20"/>
          <w:color w:val="auto"/>
        </w:rPr>
      </w:pPr>
    </w:p>
    <w:p>
      <w:pPr>
        <w:ind w:left="420" w:firstLine="521"/>
        <w:spacing w:after="0" w:line="244" w:lineRule="auto"/>
        <w:rPr>
          <w:sz w:val="20"/>
          <w:szCs w:val="20"/>
          <w:color w:val="auto"/>
        </w:rPr>
      </w:pPr>
      <w:r>
        <w:rPr>
          <w:rFonts w:ascii="Arial" w:cs="Arial" w:eastAsia="Arial" w:hAnsi="Arial"/>
          <w:sz w:val="17"/>
          <w:szCs w:val="17"/>
          <w:color w:val="auto"/>
        </w:rPr>
        <w:t>There may be instances in which payments made to our vendors will exceed the level of services provided and result in a prepayment of the R&amp;D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Advance payments for goods and services that will be used in future R&amp;D activities are expensed when the activity has been performed or when the goods have been received rather than when the payment is made.</w:t>
      </w:r>
    </w:p>
    <w:p>
      <w:pPr>
        <w:spacing w:after="0" w:line="143" w:lineRule="exact"/>
        <w:rPr>
          <w:sz w:val="20"/>
          <w:szCs w:val="20"/>
          <w:color w:val="auto"/>
        </w:rPr>
      </w:pPr>
    </w:p>
    <w:p>
      <w:pPr>
        <w:jc w:val="both"/>
        <w:ind w:left="420" w:right="40" w:firstLine="521"/>
        <w:spacing w:after="0" w:line="247" w:lineRule="auto"/>
        <w:rPr>
          <w:sz w:val="20"/>
          <w:szCs w:val="20"/>
          <w:color w:val="auto"/>
        </w:rPr>
      </w:pPr>
      <w:r>
        <w:rPr>
          <w:rFonts w:ascii="Arial" w:cs="Arial" w:eastAsia="Arial" w:hAnsi="Arial"/>
          <w:sz w:val="17"/>
          <w:szCs w:val="17"/>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6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98" w:lineRule="exact"/>
        <w:rPr>
          <w:sz w:val="20"/>
          <w:szCs w:val="20"/>
          <w:color w:val="auto"/>
        </w:rPr>
      </w:pPr>
    </w:p>
    <w:p>
      <w:pPr>
        <w:ind w:left="420" w:right="200" w:firstLine="521"/>
        <w:spacing w:after="0" w:line="252" w:lineRule="auto"/>
        <w:rPr>
          <w:sz w:val="20"/>
          <w:szCs w:val="20"/>
          <w:color w:val="auto"/>
        </w:rPr>
      </w:pPr>
      <w:r>
        <w:rPr>
          <w:rFonts w:ascii="Arial" w:cs="Arial" w:eastAsia="Arial" w:hAnsi="Arial"/>
          <w:sz w:val="17"/>
          <w:szCs w:val="17"/>
          <w:color w:val="auto"/>
        </w:rPr>
        <w:t>Stock-based compensation expense represents the cost of the estimated grant date fair value of stock option awards amortized over the requisite service period of the awards (usually the vesting period) on a straight-line basis. We estimate the fair value of all stock option grants using the Black-Scholes option pricing model and recognize forfeitures as they occur.</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0840"/>
          </w:cols>
          <w:pgMar w:left="320" w:top="439" w:right="7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firstLine="521"/>
        <w:spacing w:after="0" w:line="270" w:lineRule="auto"/>
        <w:rPr>
          <w:sz w:val="20"/>
          <w:szCs w:val="20"/>
          <w:color w:val="auto"/>
        </w:rPr>
      </w:pPr>
      <w:r>
        <w:rPr>
          <w:rFonts w:ascii="Arial" w:cs="Arial" w:eastAsia="Arial" w:hAnsi="Arial"/>
          <w:sz w:val="17"/>
          <w:szCs w:val="17"/>
          <w:color w:val="auto"/>
        </w:rPr>
        <w:t>Estimating the fair value of equity awards at the grant date using valuation models, such as the Black-Scholes option pricing model, is affected by assumptions regarding a number of complex variables, including:</w:t>
      </w:r>
    </w:p>
    <w:p>
      <w:pPr>
        <w:spacing w:after="0" w:line="58" w:lineRule="exact"/>
        <w:rPr>
          <w:sz w:val="20"/>
          <w:szCs w:val="20"/>
          <w:color w:val="auto"/>
        </w:rPr>
      </w:pPr>
    </w:p>
    <w:p>
      <w:pPr>
        <w:ind w:left="1660" w:hanging="418"/>
        <w:spacing w:after="0"/>
        <w:tabs>
          <w:tab w:leader="none" w:pos="166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Fair Value of Common Stock</w:t>
      </w:r>
      <w:r>
        <w:rPr>
          <w:rFonts w:ascii="Arial" w:cs="Arial" w:eastAsia="Arial" w:hAnsi="Arial"/>
          <w:sz w:val="17"/>
          <w:szCs w:val="17"/>
          <w:color w:val="auto"/>
        </w:rPr>
        <w:t>. See the subsection titled “Determination of Fair Value of Our Common Stock” below.</w:t>
      </w:r>
    </w:p>
    <w:p>
      <w:pPr>
        <w:spacing w:after="0" w:line="111" w:lineRule="exact"/>
        <w:rPr>
          <w:rFonts w:ascii="Arial" w:cs="Arial" w:eastAsia="Arial" w:hAnsi="Arial"/>
          <w:sz w:val="17"/>
          <w:szCs w:val="17"/>
          <w:color w:val="auto"/>
        </w:rPr>
      </w:pPr>
    </w:p>
    <w:p>
      <w:pPr>
        <w:ind w:left="1660" w:right="80" w:hanging="418"/>
        <w:spacing w:after="0" w:line="247" w:lineRule="auto"/>
        <w:tabs>
          <w:tab w:leader="none" w:pos="166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 Given that our common stock has been privately held prior to this offering, there has no active trading</w:t>
      </w:r>
      <w:r>
        <w:rPr>
          <w:rFonts w:ascii="Arial" w:cs="Arial" w:eastAsia="Arial" w:hAnsi="Arial"/>
          <w:sz w:val="17"/>
          <w:szCs w:val="17"/>
          <w:i w:val="1"/>
          <w:iCs w:val="1"/>
          <w:color w:val="auto"/>
        </w:rPr>
        <w:t xml:space="preserve"> </w:t>
      </w:r>
      <w:r>
        <w:rPr>
          <w:rFonts w:ascii="Arial" w:cs="Arial" w:eastAsia="Arial" w:hAnsi="Arial"/>
          <w:sz w:val="17"/>
          <w:szCs w:val="17"/>
          <w:color w:val="auto"/>
        </w:rPr>
        <w:t>market for our common stock. The expected volatility assumption is based on volatilities of a peer group of similar companies whose share prices are publicly available. The peer group was developed based on companies in the biotechnology industry.</w:t>
      </w:r>
    </w:p>
    <w:p>
      <w:pPr>
        <w:spacing w:after="0" w:line="76" w:lineRule="exact"/>
        <w:rPr>
          <w:rFonts w:ascii="Arial" w:cs="Arial" w:eastAsia="Arial" w:hAnsi="Arial"/>
          <w:sz w:val="17"/>
          <w:szCs w:val="17"/>
          <w:color w:val="auto"/>
        </w:rPr>
      </w:pPr>
    </w:p>
    <w:p>
      <w:pPr>
        <w:ind w:left="1660" w:right="340" w:hanging="418"/>
        <w:spacing w:after="0" w:line="270" w:lineRule="auto"/>
        <w:tabs>
          <w:tab w:leader="none" w:pos="166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 We base the risk-free interest rate assumption on the U.S. Treasury’s rates for U.S. Treasury</w:t>
      </w:r>
      <w:r>
        <w:rPr>
          <w:rFonts w:ascii="Arial" w:cs="Arial" w:eastAsia="Arial" w:hAnsi="Arial"/>
          <w:sz w:val="17"/>
          <w:szCs w:val="17"/>
          <w:i w:val="1"/>
          <w:iCs w:val="1"/>
          <w:color w:val="auto"/>
        </w:rPr>
        <w:t xml:space="preserve"> </w:t>
      </w:r>
      <w:r>
        <w:rPr>
          <w:rFonts w:ascii="Arial" w:cs="Arial" w:eastAsia="Arial" w:hAnsi="Arial"/>
          <w:sz w:val="17"/>
          <w:szCs w:val="17"/>
          <w:color w:val="auto"/>
        </w:rPr>
        <w:t>zero-coupon bonds with maturities similar to those of the expected term of the award being valued.</w:t>
      </w:r>
    </w:p>
    <w:p>
      <w:pPr>
        <w:spacing w:after="0" w:line="58" w:lineRule="exact"/>
        <w:rPr>
          <w:rFonts w:ascii="Arial" w:cs="Arial" w:eastAsia="Arial" w:hAnsi="Arial"/>
          <w:sz w:val="17"/>
          <w:szCs w:val="17"/>
          <w:color w:val="auto"/>
        </w:rPr>
      </w:pPr>
    </w:p>
    <w:p>
      <w:pPr>
        <w:jc w:val="both"/>
        <w:ind w:left="1660" w:right="180" w:hanging="418"/>
        <w:spacing w:after="0" w:line="252" w:lineRule="auto"/>
        <w:tabs>
          <w:tab w:leader="none" w:pos="166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represents the period of time that options are expected to be outstanding. Because</w:t>
      </w:r>
      <w:r>
        <w:rPr>
          <w:rFonts w:ascii="Arial" w:cs="Arial" w:eastAsia="Arial" w:hAnsi="Arial"/>
          <w:sz w:val="17"/>
          <w:szCs w:val="17"/>
          <w:i w:val="1"/>
          <w:iCs w:val="1"/>
          <w:color w:val="auto"/>
        </w:rPr>
        <w:t xml:space="preserve"> </w:t>
      </w:r>
      <w:r>
        <w:rPr>
          <w:rFonts w:ascii="Arial" w:cs="Arial" w:eastAsia="Arial" w:hAnsi="Arial"/>
          <w:sz w:val="17"/>
          <w:szCs w:val="17"/>
          <w:color w:val="auto"/>
        </w:rPr>
        <w:t>we do not have significant historical exercise behavior, we determine the expected life assumption using the “simplified” method, which is an average of the contractual term of the option and its vesting period.</w:t>
      </w:r>
    </w:p>
    <w:p>
      <w:pPr>
        <w:spacing w:after="0" w:line="74" w:lineRule="exact"/>
        <w:rPr>
          <w:rFonts w:ascii="Arial" w:cs="Arial" w:eastAsia="Arial" w:hAnsi="Arial"/>
          <w:sz w:val="17"/>
          <w:szCs w:val="17"/>
          <w:color w:val="auto"/>
        </w:rPr>
      </w:pPr>
    </w:p>
    <w:p>
      <w:pPr>
        <w:ind w:left="1660" w:right="240" w:hanging="418"/>
        <w:spacing w:after="0" w:line="270" w:lineRule="auto"/>
        <w:tabs>
          <w:tab w:leader="none" w:pos="166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Expected Dividend Yield</w:t>
      </w:r>
      <w:r>
        <w:rPr>
          <w:rFonts w:ascii="Arial" w:cs="Arial" w:eastAsia="Arial" w:hAnsi="Arial"/>
          <w:sz w:val="17"/>
          <w:szCs w:val="17"/>
          <w:color w:val="auto"/>
        </w:rPr>
        <w:t>. We use an expected dividend yield of zero, as we have never paid dividends on our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and have no present intention of doing so in the foreseeable future.</w:t>
      </w:r>
    </w:p>
    <w:p>
      <w:pPr>
        <w:spacing w:after="0" w:line="122" w:lineRule="exact"/>
        <w:rPr>
          <w:sz w:val="20"/>
          <w:szCs w:val="20"/>
          <w:color w:val="auto"/>
        </w:rPr>
      </w:pPr>
    </w:p>
    <w:p>
      <w:pPr>
        <w:ind w:left="420" w:right="560"/>
        <w:spacing w:after="0" w:line="270" w:lineRule="auto"/>
        <w:rPr>
          <w:sz w:val="20"/>
          <w:szCs w:val="20"/>
          <w:color w:val="auto"/>
        </w:rPr>
      </w:pPr>
      <w:r>
        <w:rPr>
          <w:rFonts w:ascii="Arial" w:cs="Arial" w:eastAsia="Arial" w:hAnsi="Arial"/>
          <w:sz w:val="17"/>
          <w:szCs w:val="17"/>
          <w:color w:val="auto"/>
        </w:rPr>
        <w:t>These inputs are subjective and generally require significant analysis and judgment to develop. Changes in these assumptions can materially affect the fair value and ultimately how much stock-based compensation expense is recognized.</w:t>
      </w:r>
    </w:p>
    <w:p>
      <w:pPr>
        <w:spacing w:after="0" w:line="110" w:lineRule="exact"/>
        <w:rPr>
          <w:sz w:val="20"/>
          <w:szCs w:val="20"/>
          <w:color w:val="auto"/>
        </w:rPr>
      </w:pPr>
    </w:p>
    <w:p>
      <w:pPr>
        <w:ind w:left="420" w:firstLine="521"/>
        <w:spacing w:after="0" w:line="252" w:lineRule="auto"/>
        <w:rPr>
          <w:sz w:val="20"/>
          <w:szCs w:val="20"/>
          <w:color w:val="auto"/>
        </w:rPr>
      </w:pPr>
      <w:r>
        <w:rPr>
          <w:rFonts w:ascii="Arial" w:cs="Arial" w:eastAsia="Arial" w:hAnsi="Arial"/>
          <w:sz w:val="17"/>
          <w:szCs w:val="17"/>
          <w:color w:val="auto"/>
        </w:rPr>
        <w:t>The intrinsic value of all outstanding options as of December 31, 2023 was $33.4 million based on the assumed initial public offering price of $ 16.00 per share, which is the midpoint of the price range set forth on the cover of this prospectus, of which approximately $11.2 million was related to vested options and approximately $22.2 million was related to unvested options.</w:t>
      </w:r>
    </w:p>
    <w:p>
      <w:pPr>
        <w:spacing w:after="0" w:line="125" w:lineRule="exact"/>
        <w:rPr>
          <w:sz w:val="20"/>
          <w:szCs w:val="20"/>
          <w:color w:val="auto"/>
        </w:rPr>
      </w:pPr>
    </w:p>
    <w:p>
      <w:pPr>
        <w:ind w:left="420" w:firstLine="521"/>
        <w:spacing w:after="0" w:line="237" w:lineRule="auto"/>
        <w:rPr>
          <w:sz w:val="20"/>
          <w:szCs w:val="20"/>
          <w:color w:val="auto"/>
        </w:rPr>
      </w:pPr>
      <w:r>
        <w:rPr>
          <w:rFonts w:ascii="Arial" w:cs="Arial" w:eastAsia="Arial" w:hAnsi="Arial"/>
          <w:sz w:val="17"/>
          <w:szCs w:val="17"/>
          <w:color w:val="auto"/>
        </w:rPr>
        <w:t>In February 2024, we granted stock options to purchase approximately 0.8 million shares of our common stock at an exercise price of $8.19 per share, which generally vest over a requisite service period of four years. The exercise prices for the stock options we granted in February 2024 were equal to the fair value of a share of our common stock on the grant date as determined by our board of directors on the date of grant. In light of progress made towards completion of an IPO and information received in estimation of our initial public offering price range, we preliminarily established the fair value of the February 2024 grants for financial reporting purposes based on a straight-line interpolation from a third-party valuation of our common stock on September 15, 2023 to the midpoint of the initial price range for this offering in order to determine the appropriate stock-based compensation expense. We elected to use the September 15, 2023 third-party valuation as that was the first point in time when our development progress gave better visibility into the potential for an IPO (coupled with the initial filing of a draft Registration Statement), and since that time the continued progress on our research and development programs and an increased likelihood of an IPO resulted in a ratable increase in value throughout the applicable quarter. Therefore, while we have not yet prepared financial statements for the first quarter of 2024, we expect, solely for financial reporting purposes, to recognize stock-based compensation expense for the February 2024 grants of approximately $9.5 million, to be amortized over a weighted average term of 3.9 years. The amount of stock-based compensation expense related to these options is based upon our estimates, and could change as events and circumstances change. Upon completion of this offering, our common stock will be publicly traded and we will rely on the closing price of our common stock as reported on the date of grant to determine the fair value of our common stock.</w:t>
      </w:r>
    </w:p>
    <w:p>
      <w:pPr>
        <w:spacing w:after="0" w:line="11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0820"/>
          </w:cols>
          <w:pgMar w:left="320" w:top="439" w:right="7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Determination of Fair Value of Our Common Stock</w:t>
      </w:r>
    </w:p>
    <w:p>
      <w:pPr>
        <w:spacing w:after="0" w:line="96" w:lineRule="exact"/>
        <w:rPr>
          <w:sz w:val="20"/>
          <w:szCs w:val="20"/>
          <w:color w:val="auto"/>
        </w:rPr>
      </w:pPr>
    </w:p>
    <w:p>
      <w:pPr>
        <w:ind w:left="420" w:right="40" w:firstLine="521"/>
        <w:spacing w:after="0" w:line="238" w:lineRule="auto"/>
        <w:rPr>
          <w:sz w:val="20"/>
          <w:szCs w:val="20"/>
          <w:color w:val="auto"/>
        </w:rPr>
      </w:pPr>
      <w:r>
        <w:rPr>
          <w:rFonts w:ascii="Arial" w:cs="Arial" w:eastAsia="Arial" w:hAnsi="Arial"/>
          <w:sz w:val="17"/>
          <w:szCs w:val="17"/>
          <w:color w:val="auto"/>
        </w:rPr>
        <w:t>As there has been no public market for our common stock to date, the estimated fair value of our common stock has been determined by our board of directors as of the date of each option grant, with input from management, considering contemporaneous independent third-party valuations of common stock, and our board of directors’ assessment of additional objective and subjective factors that it believed were relevant and which may have changed from the date of the most recent valuation through the date of the grant, including: the prices at which we sold shares of our convertible preferred stock to outside investors in arms-length transactions, and the superior rights, preferences, and privileges of the convertible preferred stock relative to the common stock at the time of each grant; the progress of our company’s R&amp;D programs, including their stages of development, and our company’s business strategy; external market and other conditions affecting the biotechnology industry, and trends within the biotechnology industry; our company’s financial position, including cash on hand, and our historical and forecasted performance and operating results; the lack of an active public market for our company’s common stock; the likelihood of achieving a liquidity event for our company’s securityholders, such as an initial public offering or a sale of the company, taking into consideration prevailing market conditions; the hiring of key personnel and the experience of management; and the analysis of initial public offerings and the market performance of peer companies in the biopharmaceutical industry, as well as completed mergers and acquisitions of peer companies.</w:t>
      </w:r>
    </w:p>
    <w:p>
      <w:pPr>
        <w:spacing w:after="0" w:line="150" w:lineRule="exact"/>
        <w:rPr>
          <w:sz w:val="20"/>
          <w:szCs w:val="20"/>
          <w:color w:val="auto"/>
        </w:rPr>
      </w:pPr>
    </w:p>
    <w:p>
      <w:pPr>
        <w:ind w:left="420" w:right="40" w:firstLine="521"/>
        <w:spacing w:after="0" w:line="242" w:lineRule="auto"/>
        <w:rPr>
          <w:sz w:val="20"/>
          <w:szCs w:val="20"/>
          <w:color w:val="auto"/>
        </w:rPr>
      </w:pPr>
      <w:r>
        <w:rPr>
          <w:rFonts w:ascii="Arial" w:cs="Arial" w:eastAsia="Arial" w:hAnsi="Arial"/>
          <w:sz w:val="17"/>
          <w:szCs w:val="17"/>
          <w:color w:val="auto"/>
        </w:rPr>
        <w:t xml:space="preserve">These independent third-party valuations were performed in accordance with the guidance outlined in the American Institute of Certified Public Accountants’ Practice Aid,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xml:space="preserve"> (Practice Aid). The methodology to determine the fair value of our common stock included estimating the fair value of the enterprise using a market approach, which estimates the fair value of a company by including an estimation of the value of the business based on guideline public companies under a number of different scenarios. The Practice Aid identifies various available methods for allocating enterprise value across classes and series of capital stock to determine the estimated fair value of common stock at each valuation date.</w:t>
      </w:r>
    </w:p>
    <w:p>
      <w:pPr>
        <w:spacing w:after="0" w:line="133" w:lineRule="exact"/>
        <w:rPr>
          <w:sz w:val="20"/>
          <w:szCs w:val="20"/>
          <w:color w:val="auto"/>
        </w:rPr>
      </w:pPr>
    </w:p>
    <w:p>
      <w:pPr>
        <w:ind w:left="940"/>
        <w:spacing w:after="0"/>
        <w:rPr>
          <w:sz w:val="20"/>
          <w:szCs w:val="20"/>
          <w:color w:val="auto"/>
        </w:rPr>
      </w:pPr>
      <w:r>
        <w:rPr>
          <w:rFonts w:ascii="Arial" w:cs="Arial" w:eastAsia="Arial" w:hAnsi="Arial"/>
          <w:sz w:val="17"/>
          <w:szCs w:val="17"/>
          <w:color w:val="auto"/>
        </w:rPr>
        <w:t>In accordance with the Practice Aid, we considered the following methods:</w:t>
      </w:r>
    </w:p>
    <w:p>
      <w:pPr>
        <w:spacing w:after="0" w:line="111" w:lineRule="exact"/>
        <w:rPr>
          <w:sz w:val="20"/>
          <w:szCs w:val="20"/>
          <w:color w:val="auto"/>
        </w:rPr>
      </w:pPr>
    </w:p>
    <w:p>
      <w:pPr>
        <w:ind w:left="1660" w:right="40" w:hanging="418"/>
        <w:spacing w:after="0" w:line="244" w:lineRule="auto"/>
        <w:tabs>
          <w:tab w:leader="none" w:pos="166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Option Pricing Method (OPM)</w:t>
      </w:r>
      <w:r>
        <w:rPr>
          <w:rFonts w:ascii="Arial" w:cs="Arial" w:eastAsia="Arial" w:hAnsi="Arial"/>
          <w:sz w:val="17"/>
          <w:szCs w:val="17"/>
          <w:color w:val="auto"/>
        </w:rPr>
        <w:t>. Under the OPM, shares are valued by creating a series of call options with exercise prices</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the liquidation preferences and conversion terms of each equity class. The estimated fair values of the convertible preferred stock and common stock are inferred by analyzing these options. This method is appropriate to use when the range of possible future outcomes is so difficult to predict that estimates would be highly speculative, and dissolution or liquidation is not imminent.</w:t>
      </w:r>
    </w:p>
    <w:p>
      <w:pPr>
        <w:spacing w:after="0" w:line="79" w:lineRule="exact"/>
        <w:rPr>
          <w:rFonts w:ascii="Arial" w:cs="Arial" w:eastAsia="Arial" w:hAnsi="Arial"/>
          <w:sz w:val="17"/>
          <w:szCs w:val="17"/>
          <w:color w:val="auto"/>
        </w:rPr>
      </w:pPr>
    </w:p>
    <w:p>
      <w:pPr>
        <w:jc w:val="both"/>
        <w:ind w:left="1660" w:hanging="418"/>
        <w:spacing w:after="0" w:line="252" w:lineRule="auto"/>
        <w:tabs>
          <w:tab w:leader="none" w:pos="166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Probability-Weighted Expected Return Method (PWERM)</w:t>
      </w:r>
      <w:r>
        <w:rPr>
          <w:rFonts w:ascii="Arial" w:cs="Arial" w:eastAsia="Arial" w:hAnsi="Arial"/>
          <w:sz w:val="17"/>
          <w:szCs w:val="17"/>
          <w:color w:val="auto"/>
        </w:rPr>
        <w:t>. The PWERM is a scenario-based analysis that estimates value</w:t>
      </w:r>
      <w:r>
        <w:rPr>
          <w:rFonts w:ascii="Arial" w:cs="Arial" w:eastAsia="Arial" w:hAnsi="Arial"/>
          <w:sz w:val="17"/>
          <w:szCs w:val="17"/>
          <w:i w:val="1"/>
          <w:iCs w:val="1"/>
          <w:color w:val="auto"/>
        </w:rPr>
        <w:t xml:space="preserve"> </w:t>
      </w:r>
      <w:r>
        <w:rPr>
          <w:rFonts w:ascii="Arial" w:cs="Arial" w:eastAsia="Arial" w:hAnsi="Arial"/>
          <w:sz w:val="17"/>
          <w:szCs w:val="17"/>
          <w:color w:val="auto"/>
        </w:rPr>
        <w:t>per share based on the probability-weighted present value of expected future investment returns, considering each of the possible outcomes available to us, as well as the economic and control rights of each share class.</w:t>
      </w:r>
    </w:p>
    <w:p>
      <w:pPr>
        <w:spacing w:after="0" w:line="74" w:lineRule="exact"/>
        <w:rPr>
          <w:rFonts w:ascii="Arial" w:cs="Arial" w:eastAsia="Arial" w:hAnsi="Arial"/>
          <w:sz w:val="17"/>
          <w:szCs w:val="17"/>
          <w:color w:val="auto"/>
        </w:rPr>
      </w:pPr>
    </w:p>
    <w:p>
      <w:pPr>
        <w:ind w:left="1660" w:right="160" w:hanging="418"/>
        <w:spacing w:after="0" w:line="252" w:lineRule="auto"/>
        <w:tabs>
          <w:tab w:leader="none" w:pos="166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Hybrid Method</w:t>
      </w:r>
      <w:r>
        <w:rPr>
          <w:rFonts w:ascii="Arial" w:cs="Arial" w:eastAsia="Arial" w:hAnsi="Arial"/>
          <w:sz w:val="17"/>
          <w:szCs w:val="17"/>
          <w:color w:val="auto"/>
        </w:rPr>
        <w:t>. The Hybrid Method is a hybrid between PWERM and OPM, where the equity value probability-weighted</w:t>
      </w:r>
      <w:r>
        <w:rPr>
          <w:rFonts w:ascii="Arial" w:cs="Arial" w:eastAsia="Arial" w:hAnsi="Arial"/>
          <w:sz w:val="17"/>
          <w:szCs w:val="17"/>
          <w:i w:val="1"/>
          <w:iCs w:val="1"/>
          <w:color w:val="auto"/>
        </w:rPr>
        <w:t xml:space="preserve"> </w:t>
      </w:r>
      <w:r>
        <w:rPr>
          <w:rFonts w:ascii="Arial" w:cs="Arial" w:eastAsia="Arial" w:hAnsi="Arial"/>
          <w:sz w:val="17"/>
          <w:szCs w:val="17"/>
          <w:color w:val="auto"/>
        </w:rPr>
        <w:t>value across multiple scenarios but using the OPM to estimate the allocation of value within one or more of those scenarios.</w:t>
      </w:r>
    </w:p>
    <w:p>
      <w:pPr>
        <w:spacing w:after="0" w:line="125" w:lineRule="exact"/>
        <w:rPr>
          <w:sz w:val="20"/>
          <w:szCs w:val="20"/>
          <w:color w:val="auto"/>
        </w:rPr>
      </w:pPr>
    </w:p>
    <w:p>
      <w:pPr>
        <w:ind w:left="420" w:right="20" w:firstLine="521"/>
        <w:spacing w:after="0" w:line="242" w:lineRule="auto"/>
        <w:rPr>
          <w:sz w:val="20"/>
          <w:szCs w:val="20"/>
          <w:color w:val="auto"/>
        </w:rPr>
      </w:pPr>
      <w:r>
        <w:rPr>
          <w:rFonts w:ascii="Arial" w:cs="Arial" w:eastAsia="Arial" w:hAnsi="Arial"/>
          <w:sz w:val="17"/>
          <w:szCs w:val="17"/>
          <w:color w:val="auto"/>
        </w:rPr>
        <w:t>Based on our early stage of development, the difficulty in predicting the range of specific outcomes (and their likelihood), and other relevant factors, a Hybrid Method computing the probability-weighted value across two scenarios (the Current Value Method (CVM) scenario and the OPM scenario or, as applicable a market-adjusted OPM scenario) was considered most appropriate for valuations through April 2023. For options granted after April 2023, a Hybrid Method computing the probability-weighted value across an OPM scenario and an IPO scenario was determined to be the most appropriate valuation methodology given our development progress and the potential for an</w:t>
      </w:r>
    </w:p>
    <w:p>
      <w:pPr>
        <w:spacing w:after="0" w:line="10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0800"/>
          </w:cols>
          <w:pgMar w:left="320" w:top="439" w:right="7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both"/>
        <w:ind w:left="420" w:right="620"/>
        <w:spacing w:after="0" w:line="252" w:lineRule="auto"/>
        <w:rPr>
          <w:sz w:val="20"/>
          <w:szCs w:val="20"/>
          <w:color w:val="auto"/>
        </w:rPr>
      </w:pPr>
      <w:r>
        <w:rPr>
          <w:rFonts w:ascii="Arial" w:cs="Arial" w:eastAsia="Arial" w:hAnsi="Arial"/>
          <w:sz w:val="17"/>
          <w:szCs w:val="17"/>
          <w:color w:val="auto"/>
        </w:rPr>
        <w:t>eventual IPO. In determining the estimated fair value of our common stock, our board of directors also considered the fact that our stockholders could not freely trade our common stock in the public markets. Accordingly, we applied discounts to reflect the lack of marketability of our common stock based on the weighted-average expected time to liquidity.</w:t>
      </w:r>
    </w:p>
    <w:p>
      <w:pPr>
        <w:spacing w:after="0" w:line="138" w:lineRule="exact"/>
        <w:rPr>
          <w:sz w:val="20"/>
          <w:szCs w:val="20"/>
          <w:color w:val="auto"/>
        </w:rPr>
      </w:pPr>
    </w:p>
    <w:p>
      <w:pPr>
        <w:ind w:left="420" w:right="100" w:firstLine="521"/>
        <w:spacing w:after="0" w:line="247" w:lineRule="auto"/>
        <w:rPr>
          <w:sz w:val="20"/>
          <w:szCs w:val="20"/>
          <w:color w:val="auto"/>
        </w:rPr>
      </w:pPr>
      <w:r>
        <w:rPr>
          <w:rFonts w:ascii="Arial" w:cs="Arial" w:eastAsia="Arial" w:hAnsi="Arial"/>
          <w:sz w:val="17"/>
          <w:szCs w:val="17"/>
          <w:color w:val="auto"/>
        </w:rPr>
        <w:t>There are significant judgments and estimates inherent in the determination of the fair value of our common stock. These judgments and estimates include assumptions regarding our future operating performance, the time to completing an initial public offering or other liquidity event, and the determination of the appropriate valuation methods. If we had made different assumptions, our stock-based compensation expense, net loss, and net loss per share of common stock could have been significantly different.</w:t>
      </w:r>
    </w:p>
    <w:p>
      <w:pPr>
        <w:spacing w:after="0" w:line="128" w:lineRule="exact"/>
        <w:rPr>
          <w:sz w:val="20"/>
          <w:szCs w:val="20"/>
          <w:color w:val="auto"/>
        </w:rPr>
      </w:pPr>
    </w:p>
    <w:p>
      <w:pPr>
        <w:ind w:left="420" w:right="20" w:firstLine="521"/>
        <w:spacing w:after="0" w:line="247" w:lineRule="auto"/>
        <w:rPr>
          <w:sz w:val="20"/>
          <w:szCs w:val="20"/>
          <w:color w:val="auto"/>
        </w:rPr>
      </w:pPr>
      <w:r>
        <w:rPr>
          <w:rFonts w:ascii="Arial" w:cs="Arial" w:eastAsia="Arial" w:hAnsi="Arial"/>
          <w:sz w:val="17"/>
          <w:szCs w:val="17"/>
          <w:color w:val="auto"/>
        </w:rPr>
        <w:t>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or for any other such awards we may grant, as the fair value of our common stock will be determined based on the closing price of our common stock as reported on the date of grant on the primary stock exchange on which our common stock is traded.</w:t>
      </w:r>
    </w:p>
    <w:p>
      <w:pPr>
        <w:spacing w:after="0" w:line="26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98" w:lineRule="exact"/>
        <w:rPr>
          <w:sz w:val="20"/>
          <w:szCs w:val="20"/>
          <w:color w:val="auto"/>
        </w:rPr>
      </w:pPr>
    </w:p>
    <w:p>
      <w:pPr>
        <w:ind w:left="420" w:right="860" w:firstLine="521"/>
        <w:spacing w:after="0" w:line="270" w:lineRule="auto"/>
        <w:rPr>
          <w:sz w:val="20"/>
          <w:szCs w:val="20"/>
          <w:color w:val="auto"/>
        </w:rPr>
      </w:pPr>
      <w:r>
        <w:rPr>
          <w:rFonts w:ascii="Arial" w:cs="Arial" w:eastAsia="Arial" w:hAnsi="Arial"/>
          <w:sz w:val="17"/>
          <w:szCs w:val="17"/>
          <w:color w:val="auto"/>
        </w:rPr>
        <w:t>See Note 2 to our audited financial statements and unaudited condensed financial statements included elsewhere in this prospectus for recently adopted accounting pronouncements.</w:t>
      </w:r>
    </w:p>
    <w:p>
      <w:pPr>
        <w:spacing w:after="0" w:line="250"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98" w:lineRule="exact"/>
        <w:rPr>
          <w:sz w:val="20"/>
          <w:szCs w:val="20"/>
          <w:color w:val="auto"/>
        </w:rPr>
      </w:pPr>
    </w:p>
    <w:p>
      <w:pPr>
        <w:ind w:left="420" w:firstLine="521"/>
        <w:spacing w:after="0" w:line="244" w:lineRule="auto"/>
        <w:rPr>
          <w:sz w:val="20"/>
          <w:szCs w:val="20"/>
          <w:color w:val="auto"/>
        </w:rPr>
      </w:pPr>
      <w:r>
        <w:rPr>
          <w:rFonts w:ascii="Arial" w:cs="Arial" w:eastAsia="Arial" w:hAnsi="Arial"/>
          <w:sz w:val="17"/>
          <w:szCs w:val="17"/>
          <w:color w:val="auto"/>
        </w:rPr>
        <w:t>Our cash, cash equivalents, and short-term investments consist of cash held in readily available checking and money market accounts, as well as short-term debt securities. We are exposed to market risk related to fluctuations in interest rates and market prices. Our primary exposure to market risk is interest rate sensitivity, which is affected by changes in the general level of United States interest rates. However, because of the short-term nature of the instruments in our portfolio, a sudden change in market interest rates would not be expected to have a material impact on our financial condition or results of operations.</w:t>
      </w:r>
    </w:p>
    <w:p>
      <w:pPr>
        <w:spacing w:after="0" w:line="27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Foreign Currency</w:t>
      </w:r>
    </w:p>
    <w:p>
      <w:pPr>
        <w:spacing w:after="0" w:line="98" w:lineRule="exact"/>
        <w:rPr>
          <w:sz w:val="20"/>
          <w:szCs w:val="20"/>
          <w:color w:val="auto"/>
        </w:rPr>
      </w:pPr>
    </w:p>
    <w:p>
      <w:pPr>
        <w:ind w:left="420" w:right="440" w:firstLine="521"/>
        <w:spacing w:after="0" w:line="270" w:lineRule="auto"/>
        <w:rPr>
          <w:sz w:val="20"/>
          <w:szCs w:val="20"/>
          <w:color w:val="auto"/>
        </w:rPr>
      </w:pPr>
      <w:r>
        <w:rPr>
          <w:rFonts w:ascii="Arial" w:cs="Arial" w:eastAsia="Arial" w:hAnsi="Arial"/>
          <w:sz w:val="17"/>
          <w:szCs w:val="17"/>
          <w:color w:val="auto"/>
        </w:rPr>
        <w:t>We contract with vendors in foreign countries, including countries in Europe and the Asia Pacific. We are therefore subject to fluctuations in foreign currency rates in connection with these agreements. We do not hedge our foreign currency exchange rate risk.</w:t>
      </w:r>
    </w:p>
    <w:p>
      <w:pPr>
        <w:spacing w:after="0" w:line="110" w:lineRule="exact"/>
        <w:rPr>
          <w:sz w:val="20"/>
          <w:szCs w:val="20"/>
          <w:color w:val="auto"/>
        </w:rPr>
      </w:pPr>
    </w:p>
    <w:p>
      <w:pPr>
        <w:ind w:left="420" w:right="60" w:firstLine="521"/>
        <w:spacing w:after="0" w:line="252" w:lineRule="auto"/>
        <w:rPr>
          <w:sz w:val="20"/>
          <w:szCs w:val="20"/>
          <w:color w:val="auto"/>
        </w:rPr>
      </w:pPr>
      <w:r>
        <w:rPr>
          <w:rFonts w:ascii="Arial" w:cs="Arial" w:eastAsia="Arial" w:hAnsi="Arial"/>
          <w:sz w:val="17"/>
          <w:szCs w:val="17"/>
          <w:color w:val="auto"/>
        </w:rPr>
        <w:t>Net realized and unrealized gains and losses from foreign currency transactions are reported in other income (expense), net, in the statements of operations and comprehensive loss. The impact of foreign currency costs on our operations have been negligible for all periods presented.</w:t>
      </w:r>
    </w:p>
    <w:p>
      <w:pPr>
        <w:spacing w:after="0" w:line="266"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Inflation Risk</w:t>
      </w:r>
    </w:p>
    <w:p>
      <w:pPr>
        <w:spacing w:after="0" w:line="98" w:lineRule="exact"/>
        <w:rPr>
          <w:sz w:val="20"/>
          <w:szCs w:val="20"/>
          <w:color w:val="auto"/>
        </w:rPr>
      </w:pPr>
    </w:p>
    <w:p>
      <w:pPr>
        <w:ind w:left="420" w:right="600" w:firstLine="521"/>
        <w:spacing w:after="0" w:line="270" w:lineRule="auto"/>
        <w:rPr>
          <w:sz w:val="20"/>
          <w:szCs w:val="20"/>
          <w:color w:val="auto"/>
        </w:rPr>
      </w:pPr>
      <w:r>
        <w:rPr>
          <w:rFonts w:ascii="Arial" w:cs="Arial" w:eastAsia="Arial" w:hAnsi="Arial"/>
          <w:sz w:val="17"/>
          <w:szCs w:val="17"/>
          <w:color w:val="auto"/>
        </w:rPr>
        <w:t>Inflation generally affects us by increasing our cost of labor and clinical trial costs. We do not believe that inflation has had a material effect on our results of operations during the periods presented.</w:t>
      </w:r>
    </w:p>
    <w:p>
      <w:pPr>
        <w:spacing w:after="0" w:line="8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0840"/>
          </w:cols>
          <w:pgMar w:left="320" w:top="439" w:right="7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Emerging Growth Company and Smaller Reporting Company Status</w:t>
      </w:r>
    </w:p>
    <w:p>
      <w:pPr>
        <w:spacing w:after="0" w:line="98" w:lineRule="exact"/>
        <w:rPr>
          <w:sz w:val="20"/>
          <w:szCs w:val="20"/>
          <w:color w:val="auto"/>
        </w:rPr>
      </w:pPr>
    </w:p>
    <w:p>
      <w:pPr>
        <w:ind w:left="420" w:right="60" w:firstLine="521"/>
        <w:spacing w:after="0" w:line="241" w:lineRule="auto"/>
        <w:rPr>
          <w:sz w:val="20"/>
          <w:szCs w:val="20"/>
          <w:color w:val="auto"/>
        </w:rPr>
      </w:pPr>
      <w:r>
        <w:rPr>
          <w:rFonts w:ascii="Arial" w:cs="Arial" w:eastAsia="Arial" w:hAnsi="Arial"/>
          <w:sz w:val="17"/>
          <w:szCs w:val="17"/>
          <w:color w:val="auto"/>
        </w:rPr>
        <w:t>As an emerging growth company under the JOBS Act, we can take advantage of an extended transition period for complying with new or revised accounting standards. This period allows an emerging growth company to delay the adoption of certain accounting standards until those standards would otherwise apply to private companies. We have elected to avail ourselves of this exemption from new or revised accounting standards and, therefore, our financial statements may not be comparable to companies that comply with new or revised accounting pronouncements as of public company effective dates. We also intend to rely on other exemptions provided by the JOBS Act, including without limitation, not being required to comply with the auditor attestation requirements of Section 404(b) of Sarbanes-Oxley.</w:t>
      </w:r>
    </w:p>
    <w:p>
      <w:pPr>
        <w:spacing w:after="0" w:line="146" w:lineRule="exact"/>
        <w:rPr>
          <w:sz w:val="20"/>
          <w:szCs w:val="20"/>
          <w:color w:val="auto"/>
        </w:rPr>
      </w:pPr>
    </w:p>
    <w:p>
      <w:pPr>
        <w:ind w:left="420" w:right="80" w:firstLine="521"/>
        <w:spacing w:after="0" w:line="260" w:lineRule="auto"/>
        <w:rPr>
          <w:sz w:val="20"/>
          <w:szCs w:val="20"/>
          <w:color w:val="auto"/>
        </w:rPr>
      </w:pPr>
      <w:r>
        <w:rPr>
          <w:rFonts w:ascii="Arial" w:cs="Arial" w:eastAsia="Arial" w:hAnsi="Arial"/>
          <w:sz w:val="16"/>
          <w:szCs w:val="16"/>
          <w:color w:val="auto"/>
        </w:rPr>
        <w:t>We will remain an emerging growth company until the earliest of (i) the last day of the fiscal year following the fifth anniversary of the consummation of this offering; (ii) the last day of the fiscal year in which we have total annual gross revenue of at least $1.235 billion;</w:t>
      </w:r>
    </w:p>
    <w:p>
      <w:pPr>
        <w:spacing w:after="0" w:line="1" w:lineRule="exact"/>
        <w:rPr>
          <w:sz w:val="20"/>
          <w:szCs w:val="20"/>
          <w:color w:val="auto"/>
        </w:rPr>
      </w:pPr>
    </w:p>
    <w:p>
      <w:pPr>
        <w:ind w:left="420" w:hanging="9"/>
        <w:spacing w:after="0"/>
        <w:tabs>
          <w:tab w:leader="none" w:pos="694"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35" w:lineRule="exact"/>
        <w:rPr>
          <w:sz w:val="20"/>
          <w:szCs w:val="20"/>
          <w:color w:val="auto"/>
        </w:rPr>
      </w:pPr>
    </w:p>
    <w:p>
      <w:pPr>
        <w:ind w:left="420" w:right="220" w:firstLine="521"/>
        <w:spacing w:after="0" w:line="242" w:lineRule="auto"/>
        <w:rPr>
          <w:sz w:val="20"/>
          <w:szCs w:val="20"/>
          <w:color w:val="auto"/>
        </w:rPr>
      </w:pPr>
      <w:r>
        <w:rPr>
          <w:rFonts w:ascii="Arial" w:cs="Arial" w:eastAsia="Arial" w:hAnsi="Arial"/>
          <w:sz w:val="17"/>
          <w:szCs w:val="17"/>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08"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0760"/>
          </w:cols>
          <w:pgMar w:left="320" w:top="439" w:right="8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BUSINESS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Overview</w:t>
      </w:r>
    </w:p>
    <w:p>
      <w:pPr>
        <w:spacing w:after="0" w:line="98" w:lineRule="exact"/>
        <w:rPr>
          <w:sz w:val="20"/>
          <w:szCs w:val="20"/>
          <w:color w:val="auto"/>
        </w:rPr>
      </w:pPr>
    </w:p>
    <w:p>
      <w:pPr>
        <w:ind w:left="420" w:right="280" w:firstLine="521"/>
        <w:spacing w:after="0" w:line="244" w:lineRule="auto"/>
        <w:rPr>
          <w:sz w:val="20"/>
          <w:szCs w:val="20"/>
          <w:color w:val="auto"/>
        </w:rPr>
      </w:pPr>
      <w:r>
        <w:rPr>
          <w:rFonts w:ascii="Arial" w:cs="Arial" w:eastAsia="Arial" w:hAnsi="Arial"/>
          <w:sz w:val="17"/>
          <w:szCs w:val="17"/>
          <w:color w:val="auto"/>
        </w:rPr>
        <w:t>We are a clinical-stage oncology company dedicated to unlocking a new paradigm in cancer therapeutics that addresses the significant unmet need in patients with oncogene amplified tumors by targeting extrachromosomal DNA (ecDNA), a root cause of oncogene amplification observed in more than 14% of cancer patients. Our mission is to be the foremost biopharma company interrogating ecDNA biology to deliver transformative therapies that improve and extend the lives of patients with previously intractable oncogene amplified cancers.</w:t>
      </w:r>
    </w:p>
    <w:p>
      <w:pPr>
        <w:spacing w:after="0" w:line="131" w:lineRule="exact"/>
        <w:rPr>
          <w:sz w:val="20"/>
          <w:szCs w:val="20"/>
          <w:color w:val="auto"/>
        </w:rPr>
      </w:pPr>
    </w:p>
    <w:p>
      <w:pPr>
        <w:ind w:left="420" w:right="20" w:firstLine="521"/>
        <w:spacing w:after="0" w:line="238" w:lineRule="auto"/>
        <w:rPr>
          <w:sz w:val="20"/>
          <w:szCs w:val="20"/>
          <w:color w:val="auto"/>
        </w:rPr>
      </w:pPr>
      <w:r>
        <w:rPr>
          <w:rFonts w:ascii="Arial" w:cs="Arial" w:eastAsia="Arial" w:hAnsi="Arial"/>
          <w:sz w:val="17"/>
          <w:szCs w:val="17"/>
          <w:color w:val="auto"/>
        </w:rPr>
        <w:t>ecDNA are large circular units of nuclear DNA that are a primary mechanism of gene amplification and, like oncogene amplifications, are detected only in cancer cells, not in healthy cells. Despite tremendous advancements in treating cancer broadly, patients with oncogene amplified cancers generally derive little benefit from existing therapies, such as molecular targeted therapies or immunotherapies, and have worse survival rates than patients with other types of cancer. Using our proprietary Spyglass platform, we identify targets essential for ecDNA functionality in oncogene amplified cancer cells, then design and develop small molecule drugs called ecDNA-directed therapeutic candidates (ecDTx) to inhibit those targets, with the aim to prevent cancer cells from using ecDNA to express amplified oncogenes and grow, adapt, and become resistant to existing therapies. Instead of directly targeting the proteins produced by amplified oncogenes, which is the approach of traditional targeted therapies, our ecDTx are intended to be synthetic lethal in tumor cells reliant on ecDNA. In the context of drug development, synthetic lethality is a therapeutic approach wherein using a drug to pharmacologically inhibit one target is lethal to cancer cells harboring a specific genetic alteration to a second target, but not lethal to healthy cells that lack the genetic alteration to the second target. Accordingly, our ecDTx are designed to preferentially kill ecDNA-bearing cancer cells, but not healthy cells without ecDNA. They are engineered to disrupt the underlying cellular machinery that enables ecDNA to function properly, such as proteins essential for ecDNA replication, transcription, assembly, repair, and segregation.</w:t>
      </w:r>
    </w:p>
    <w:p>
      <w:pPr>
        <w:spacing w:after="0" w:line="138" w:lineRule="exact"/>
        <w:rPr>
          <w:sz w:val="20"/>
          <w:szCs w:val="20"/>
          <w:color w:val="auto"/>
        </w:rPr>
      </w:pPr>
    </w:p>
    <w:p>
      <w:pPr>
        <w:ind w:left="420" w:firstLine="521"/>
        <w:spacing w:after="0" w:line="238" w:lineRule="auto"/>
        <w:rPr>
          <w:sz w:val="20"/>
          <w:szCs w:val="20"/>
          <w:color w:val="auto"/>
        </w:rPr>
      </w:pPr>
      <w:r>
        <w:rPr>
          <w:rFonts w:ascii="Arial" w:cs="Arial" w:eastAsia="Arial" w:hAnsi="Arial"/>
          <w:sz w:val="17"/>
          <w:szCs w:val="17"/>
          <w:color w:val="auto"/>
        </w:rPr>
        <w:t>Our lead ecDTx, BBI-355, is a novel, oral, selective inhibitor of checkpoint kinase 1 (CHK1), which manages ecDNA replication and transcription in cancer cells. BBI-355 demonstrated CHK1 inhibition and tumor regressions in ecDNA-enabled preclinical cancer models and is currently being studied in a first-in-human, Phase 1/2 clinical trial in patients with oncogene amplified cancers. We refer to this trial as POTENTIATE (</w:t>
      </w:r>
      <w:r>
        <w:rPr>
          <w:rFonts w:ascii="Arial" w:cs="Arial" w:eastAsia="Arial" w:hAnsi="Arial"/>
          <w:sz w:val="17"/>
          <w:szCs w:val="17"/>
          <w:u w:val="single" w:color="auto"/>
          <w:color w:val="auto"/>
        </w:rPr>
        <w:t>P</w:t>
      </w:r>
      <w:r>
        <w:rPr>
          <w:rFonts w:ascii="Arial" w:cs="Arial" w:eastAsia="Arial" w:hAnsi="Arial"/>
          <w:sz w:val="17"/>
          <w:szCs w:val="17"/>
          <w:color w:val="auto"/>
        </w:rPr>
        <w:t xml:space="preserve">recision </w:t>
      </w:r>
      <w:r>
        <w:rPr>
          <w:rFonts w:ascii="Arial" w:cs="Arial" w:eastAsia="Arial" w:hAnsi="Arial"/>
          <w:sz w:val="17"/>
          <w:szCs w:val="17"/>
          <w:u w:val="single" w:color="auto"/>
          <w:color w:val="auto"/>
        </w:rPr>
        <w:t>O</w:t>
      </w:r>
      <w:r>
        <w:rPr>
          <w:rFonts w:ascii="Arial" w:cs="Arial" w:eastAsia="Arial" w:hAnsi="Arial"/>
          <w:sz w:val="17"/>
          <w:szCs w:val="17"/>
          <w:color w:val="auto"/>
        </w:rPr>
        <w:t xml:space="preserve">ncology </w:t>
      </w:r>
      <w:r>
        <w:rPr>
          <w:rFonts w:ascii="Arial" w:cs="Arial" w:eastAsia="Arial" w:hAnsi="Arial"/>
          <w:sz w:val="17"/>
          <w:szCs w:val="17"/>
          <w:u w:val="single" w:color="auto"/>
          <w:color w:val="auto"/>
        </w:rPr>
        <w:t>T</w:t>
      </w:r>
      <w:r>
        <w:rPr>
          <w:rFonts w:ascii="Arial" w:cs="Arial" w:eastAsia="Arial" w:hAnsi="Arial"/>
          <w:sz w:val="17"/>
          <w:szCs w:val="17"/>
          <w:color w:val="auto"/>
        </w:rPr>
        <w:t xml:space="preserve">rial </w:t>
      </w:r>
      <w:r>
        <w:rPr>
          <w:rFonts w:ascii="Arial" w:cs="Arial" w:eastAsia="Arial" w:hAnsi="Arial"/>
          <w:sz w:val="17"/>
          <w:szCs w:val="17"/>
          <w:u w:val="single" w:color="auto"/>
          <w:color w:val="auto"/>
        </w:rPr>
        <w:t>E</w:t>
      </w:r>
      <w:r>
        <w:rPr>
          <w:rFonts w:ascii="Arial" w:cs="Arial" w:eastAsia="Arial" w:hAnsi="Arial"/>
          <w:sz w:val="17"/>
          <w:szCs w:val="17"/>
          <w:color w:val="auto"/>
        </w:rPr>
        <w:t xml:space="preserve">valuating </w:t>
      </w:r>
      <w:r>
        <w:rPr>
          <w:rFonts w:ascii="Arial" w:cs="Arial" w:eastAsia="Arial" w:hAnsi="Arial"/>
          <w:sz w:val="17"/>
          <w:szCs w:val="17"/>
          <w:u w:val="single" w:color="auto"/>
          <w:color w:val="auto"/>
        </w:rPr>
        <w:t>N</w:t>
      </w:r>
      <w:r>
        <w:rPr>
          <w:rFonts w:ascii="Arial" w:cs="Arial" w:eastAsia="Arial" w:hAnsi="Arial"/>
          <w:sz w:val="17"/>
          <w:szCs w:val="17"/>
          <w:color w:val="auto"/>
        </w:rPr>
        <w:t xml:space="preserve">ovel </w:t>
      </w:r>
      <w:r>
        <w:rPr>
          <w:rFonts w:ascii="Arial" w:cs="Arial" w:eastAsia="Arial" w:hAnsi="Arial"/>
          <w:sz w:val="17"/>
          <w:szCs w:val="17"/>
          <w:u w:val="single" w:color="auto"/>
          <w:color w:val="auto"/>
        </w:rPr>
        <w:t>T</w:t>
      </w:r>
      <w:r>
        <w:rPr>
          <w:rFonts w:ascii="Arial" w:cs="Arial" w:eastAsia="Arial" w:hAnsi="Arial"/>
          <w:sz w:val="17"/>
          <w:szCs w:val="17"/>
          <w:color w:val="auto"/>
        </w:rPr>
        <w:t xml:space="preserve">herapeutic </w:t>
      </w:r>
      <w:r>
        <w:rPr>
          <w:rFonts w:ascii="Arial" w:cs="Arial" w:eastAsia="Arial" w:hAnsi="Arial"/>
          <w:sz w:val="17"/>
          <w:szCs w:val="17"/>
          <w:u w:val="single" w:color="auto"/>
          <w:color w:val="auto"/>
        </w:rPr>
        <w:t>I</w:t>
      </w:r>
      <w:r>
        <w:rPr>
          <w:rFonts w:ascii="Arial" w:cs="Arial" w:eastAsia="Arial" w:hAnsi="Arial"/>
          <w:sz w:val="17"/>
          <w:szCs w:val="17"/>
          <w:color w:val="auto"/>
        </w:rPr>
        <w:t xml:space="preserve">nterrupting </w:t>
      </w:r>
      <w:r>
        <w:rPr>
          <w:rFonts w:ascii="Arial" w:cs="Arial" w:eastAsia="Arial" w:hAnsi="Arial"/>
          <w:sz w:val="17"/>
          <w:szCs w:val="17"/>
          <w:u w:val="single" w:color="auto"/>
          <w:color w:val="auto"/>
        </w:rPr>
        <w:t>A</w:t>
      </w:r>
      <w:r>
        <w:rPr>
          <w:rFonts w:ascii="Arial" w:cs="Arial" w:eastAsia="Arial" w:hAnsi="Arial"/>
          <w:sz w:val="17"/>
          <w:szCs w:val="17"/>
          <w:color w:val="auto"/>
        </w:rPr>
        <w:t xml:space="preserve">mplifications </w:t>
      </w:r>
      <w:r>
        <w:rPr>
          <w:rFonts w:ascii="Arial" w:cs="Arial" w:eastAsia="Arial" w:hAnsi="Arial"/>
          <w:sz w:val="17"/>
          <w:szCs w:val="17"/>
          <w:u w:val="single" w:color="auto"/>
          <w:color w:val="auto"/>
        </w:rPr>
        <w:t>T</w:t>
      </w:r>
      <w:r>
        <w:rPr>
          <w:rFonts w:ascii="Arial" w:cs="Arial" w:eastAsia="Arial" w:hAnsi="Arial"/>
          <w:sz w:val="17"/>
          <w:szCs w:val="17"/>
          <w:color w:val="auto"/>
        </w:rPr>
        <w:t xml:space="preserve">ied to </w:t>
      </w:r>
      <w:r>
        <w:rPr>
          <w:rFonts w:ascii="Arial" w:cs="Arial" w:eastAsia="Arial" w:hAnsi="Arial"/>
          <w:sz w:val="17"/>
          <w:szCs w:val="17"/>
          <w:u w:val="single" w:color="auto"/>
          <w:color w:val="auto"/>
        </w:rPr>
        <w:t>e</w:t>
      </w:r>
      <w:r>
        <w:rPr>
          <w:rFonts w:ascii="Arial" w:cs="Arial" w:eastAsia="Arial" w:hAnsi="Arial"/>
          <w:sz w:val="17"/>
          <w:szCs w:val="17"/>
          <w:color w:val="auto"/>
        </w:rPr>
        <w:t>cDNA). We expect to have preliminary clinical proof of concept safety and antitumor activity data of BBI-355 as a single agent and in combination with targeted therapies from the POTENTIATE trial in the second half of 2024 from approximately 50 to 90 total enrolled patients (single agent cohorts N=~30 to 40, combination cohorts N=~20 to 50). Our second ecDTx, BBI-825, is a novel, oral, selective inhibitor of ribonucleotide reductase (RNR), which is essential for ecDNA assembly and repair in cancer cells. BBI-825 demonstrated RNR inhibition and tumor regressions in amplification-enabled preclinical cancer models. In February 2024, we initiated a first-in-human, Phase 1/2 clinical trial of BBI-825 in patients with resistance gene amplifications. We refer to this trial as STARMAP (</w:t>
      </w:r>
      <w:r>
        <w:rPr>
          <w:rFonts w:ascii="Arial" w:cs="Arial" w:eastAsia="Arial" w:hAnsi="Arial"/>
          <w:sz w:val="17"/>
          <w:szCs w:val="17"/>
          <w:u w:val="single" w:color="auto"/>
          <w:color w:val="auto"/>
        </w:rPr>
        <w:t>S</w:t>
      </w:r>
      <w:r>
        <w:rPr>
          <w:rFonts w:ascii="Arial" w:cs="Arial" w:eastAsia="Arial" w:hAnsi="Arial"/>
          <w:sz w:val="17"/>
          <w:szCs w:val="17"/>
          <w:color w:val="auto"/>
        </w:rPr>
        <w:t xml:space="preserve">tudy </w:t>
      </w:r>
      <w:r>
        <w:rPr>
          <w:rFonts w:ascii="Arial" w:cs="Arial" w:eastAsia="Arial" w:hAnsi="Arial"/>
          <w:sz w:val="17"/>
          <w:szCs w:val="17"/>
          <w:u w:val="single" w:color="auto"/>
          <w:color w:val="auto"/>
        </w:rPr>
        <w:t>T</w:t>
      </w:r>
      <w:r>
        <w:rPr>
          <w:rFonts w:ascii="Arial" w:cs="Arial" w:eastAsia="Arial" w:hAnsi="Arial"/>
          <w:sz w:val="17"/>
          <w:szCs w:val="17"/>
          <w:color w:val="auto"/>
        </w:rPr>
        <w:t xml:space="preserve">reating </w:t>
      </w:r>
      <w:r>
        <w:rPr>
          <w:rFonts w:ascii="Arial" w:cs="Arial" w:eastAsia="Arial" w:hAnsi="Arial"/>
          <w:sz w:val="17"/>
          <w:szCs w:val="17"/>
          <w:u w:val="single" w:color="auto"/>
          <w:color w:val="auto"/>
        </w:rPr>
        <w:t>A</w:t>
      </w:r>
      <w:r>
        <w:rPr>
          <w:rFonts w:ascii="Arial" w:cs="Arial" w:eastAsia="Arial" w:hAnsi="Arial"/>
          <w:sz w:val="17"/>
          <w:szCs w:val="17"/>
          <w:color w:val="auto"/>
        </w:rPr>
        <w:t xml:space="preserve">cquired </w:t>
      </w:r>
      <w:r>
        <w:rPr>
          <w:rFonts w:ascii="Arial" w:cs="Arial" w:eastAsia="Arial" w:hAnsi="Arial"/>
          <w:sz w:val="17"/>
          <w:szCs w:val="17"/>
          <w:u w:val="single" w:color="auto"/>
          <w:color w:val="auto"/>
        </w:rPr>
        <w:t>R</w:t>
      </w:r>
      <w:r>
        <w:rPr>
          <w:rFonts w:ascii="Arial" w:cs="Arial" w:eastAsia="Arial" w:hAnsi="Arial"/>
          <w:sz w:val="17"/>
          <w:szCs w:val="17"/>
          <w:color w:val="auto"/>
        </w:rPr>
        <w:t xml:space="preserve">esistance: </w:t>
      </w:r>
      <w:r>
        <w:rPr>
          <w:rFonts w:ascii="Arial" w:cs="Arial" w:eastAsia="Arial" w:hAnsi="Arial"/>
          <w:sz w:val="17"/>
          <w:szCs w:val="17"/>
          <w:u w:val="single" w:color="auto"/>
          <w:color w:val="auto"/>
        </w:rPr>
        <w:t>MAP</w:t>
      </w:r>
      <w:r>
        <w:rPr>
          <w:rFonts w:ascii="Arial" w:cs="Arial" w:eastAsia="Arial" w:hAnsi="Arial"/>
          <w:sz w:val="17"/>
          <w:szCs w:val="17"/>
          <w:color w:val="auto"/>
        </w:rPr>
        <w:t>K Amplifications). We expect to have preliminary clinical proof of concept safety and antitumor activity data of BBI-825 in combination with targeted therapies from the STARMAP trial in the second half of 2025. Our third ecDTx program is directed at a previously undrugged kinesin target essential for ecDNA segregation and inheritance during cell division. We are advancing our third ecDTx program through drug discovery to candidate identification and expect to submit an investigational new drug application (IND) in the first half of 2026.</w:t>
      </w:r>
    </w:p>
    <w:p>
      <w:pPr>
        <w:spacing w:after="0" w:line="148" w:lineRule="exact"/>
        <w:rPr>
          <w:sz w:val="20"/>
          <w:szCs w:val="20"/>
          <w:color w:val="auto"/>
        </w:rPr>
      </w:pPr>
    </w:p>
    <w:p>
      <w:pPr>
        <w:ind w:left="420" w:right="60" w:firstLine="521"/>
        <w:spacing w:after="0" w:line="252" w:lineRule="auto"/>
        <w:rPr>
          <w:sz w:val="20"/>
          <w:szCs w:val="20"/>
          <w:color w:val="auto"/>
        </w:rPr>
      </w:pPr>
      <w:r>
        <w:rPr>
          <w:rFonts w:ascii="Arial" w:cs="Arial" w:eastAsia="Arial" w:hAnsi="Arial"/>
          <w:sz w:val="17"/>
          <w:szCs w:val="17"/>
          <w:color w:val="auto"/>
        </w:rPr>
        <w:t>To assist in identifying patients that may benefit from our ecDTx, we have developed an ecDNA diagnostic, which we internally call ECHO (</w:t>
      </w:r>
      <w:r>
        <w:rPr>
          <w:rFonts w:ascii="Arial" w:cs="Arial" w:eastAsia="Arial" w:hAnsi="Arial"/>
          <w:sz w:val="17"/>
          <w:szCs w:val="17"/>
          <w:u w:val="single" w:color="auto"/>
          <w:color w:val="auto"/>
        </w:rPr>
        <w:t>ec</w:t>
      </w:r>
      <w:r>
        <w:rPr>
          <w:rFonts w:ascii="Arial" w:cs="Arial" w:eastAsia="Arial" w:hAnsi="Arial"/>
          <w:sz w:val="17"/>
          <w:szCs w:val="17"/>
          <w:color w:val="auto"/>
        </w:rPr>
        <w:t xml:space="preserve">DNA </w:t>
      </w:r>
      <w:r>
        <w:rPr>
          <w:rFonts w:ascii="Arial" w:cs="Arial" w:eastAsia="Arial" w:hAnsi="Arial"/>
          <w:sz w:val="17"/>
          <w:szCs w:val="17"/>
          <w:u w:val="single" w:color="auto"/>
          <w:color w:val="auto"/>
        </w:rPr>
        <w:t>H</w:t>
      </w:r>
      <w:r>
        <w:rPr>
          <w:rFonts w:ascii="Arial" w:cs="Arial" w:eastAsia="Arial" w:hAnsi="Arial"/>
          <w:sz w:val="17"/>
          <w:szCs w:val="17"/>
          <w:color w:val="auto"/>
        </w:rPr>
        <w:t xml:space="preserve">arboring </w:t>
      </w:r>
      <w:r>
        <w:rPr>
          <w:rFonts w:ascii="Arial" w:cs="Arial" w:eastAsia="Arial" w:hAnsi="Arial"/>
          <w:sz w:val="17"/>
          <w:szCs w:val="17"/>
          <w:u w:val="single" w:color="auto"/>
          <w:color w:val="auto"/>
        </w:rPr>
        <w:t>O</w:t>
      </w:r>
      <w:r>
        <w:rPr>
          <w:rFonts w:ascii="Arial" w:cs="Arial" w:eastAsia="Arial" w:hAnsi="Arial"/>
          <w:sz w:val="17"/>
          <w:szCs w:val="17"/>
          <w:color w:val="auto"/>
        </w:rPr>
        <w:t>ncogenes), to detect ecDNA in patient tumor samples. This test analyzes the genomic data output from routine next-generation sequencing</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0800"/>
          </w:cols>
          <w:pgMar w:left="320" w:top="439" w:right="7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100"/>
        <w:spacing w:after="0" w:line="244" w:lineRule="auto"/>
        <w:rPr>
          <w:sz w:val="20"/>
          <w:szCs w:val="20"/>
          <w:color w:val="auto"/>
        </w:rPr>
      </w:pPr>
      <w:r>
        <w:rPr>
          <w:rFonts w:ascii="Arial" w:cs="Arial" w:eastAsia="Arial" w:hAnsi="Arial"/>
          <w:sz w:val="17"/>
          <w:szCs w:val="17"/>
          <w:color w:val="auto"/>
        </w:rPr>
        <w:t xml:space="preserve">(NGS) assays that are commonly used by commercial reference and academic laboratories to profile patient tumor samples. We are working with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company to develop this diagnostic test into a clinical trial assay, which we intend to use in our ongoing Phase 1/2 POTENTIATE clinical trial. The FDA has determined that the ecDNA diagnostic is a non-significant risk device when used in patient selection for the POTENTIATE trial, meaning that we will not be required to obtain FDA approval of an Investigational Device Exemption (IDE) for the use of the ecDNA diagnostic in this trial.</w:t>
      </w:r>
    </w:p>
    <w:p>
      <w:pPr>
        <w:spacing w:after="0" w:line="143" w:lineRule="exact"/>
        <w:rPr>
          <w:sz w:val="20"/>
          <w:szCs w:val="20"/>
          <w:color w:val="auto"/>
        </w:rPr>
      </w:pPr>
    </w:p>
    <w:p>
      <w:pPr>
        <w:ind w:left="420" w:right="40" w:firstLine="521"/>
        <w:spacing w:after="0" w:line="244" w:lineRule="auto"/>
        <w:rPr>
          <w:sz w:val="20"/>
          <w:szCs w:val="20"/>
          <w:color w:val="auto"/>
        </w:rPr>
      </w:pPr>
      <w:r>
        <w:rPr>
          <w:rFonts w:ascii="Arial" w:cs="Arial" w:eastAsia="Arial" w:hAnsi="Arial"/>
          <w:sz w:val="17"/>
          <w:szCs w:val="17"/>
          <w:color w:val="auto"/>
        </w:rPr>
        <w:t>Our current pipeline consists of three ecDTx programs directed against three different ecDNA targets, as well as our ecDNA diagnostic. We also continue to identify new ecDNA targets, both novel and previously clinically validated, through our proprietary Spyglass platform. We have built our Spyglass platform to identify specific, druggable targets essential to ecDNA formation and function in cancer cells. To our knowledge, Spyglass is the only platform in the biopharma industry focused on identifying ecDNA-enabled vulnerabilities in cancer. All of our ecDTx have been discovered internally, and we retain global rights for all of our programs.</w:t>
      </w:r>
    </w:p>
    <w:p>
      <w:pPr>
        <w:spacing w:after="0" w:line="131" w:lineRule="exact"/>
        <w:rPr>
          <w:sz w:val="20"/>
          <w:szCs w:val="20"/>
          <w:color w:val="auto"/>
        </w:rPr>
      </w:pPr>
    </w:p>
    <w:p>
      <w:pPr>
        <w:ind w:left="420" w:firstLine="521"/>
        <w:spacing w:after="0" w:line="239" w:lineRule="auto"/>
        <w:rPr>
          <w:sz w:val="20"/>
          <w:szCs w:val="20"/>
          <w:color w:val="auto"/>
        </w:rPr>
      </w:pPr>
      <w:r>
        <w:rPr>
          <w:rFonts w:ascii="Arial" w:cs="Arial" w:eastAsia="Arial" w:hAnsi="Arial"/>
          <w:sz w:val="17"/>
          <w:szCs w:val="17"/>
          <w:color w:val="auto"/>
        </w:rPr>
        <w:t>As we are, to our knowledge, the first company formed to develop new cancer medicines directed at ecDNA and the only company to date to bring an ecDTx into the clinic to treat cancer patients, we consider ourselves to be the world’s leading ecDNA company. Our efforts build on the work of our scientific founders and advisors, including Dr. Paul Mischel, who is a globally recognized leader in the ecDNA field, having authored more than 20 peer-reviewed publications on ecDNA and the team leader for the National Institute of Health’s (NIH) and Cancer Research United Kingdom’s (CRUK) Cancer Grand Challenges team devoted to ecDNA and its role in cancer.</w:t>
      </w:r>
    </w:p>
    <w:p>
      <w:pPr>
        <w:spacing w:after="0" w:line="1" w:lineRule="exact"/>
        <w:rPr>
          <w:sz w:val="20"/>
          <w:szCs w:val="20"/>
          <w:color w:val="auto"/>
        </w:rPr>
      </w:pPr>
    </w:p>
    <w:p>
      <w:pPr>
        <w:ind w:left="420" w:right="380"/>
        <w:spacing w:after="0" w:line="250" w:lineRule="auto"/>
        <w:rPr>
          <w:sz w:val="20"/>
          <w:szCs w:val="20"/>
          <w:color w:val="auto"/>
        </w:rPr>
      </w:pPr>
      <w:r>
        <w:rPr>
          <w:rFonts w:ascii="Arial" w:cs="Arial" w:eastAsia="Arial" w:hAnsi="Arial"/>
          <w:sz w:val="17"/>
          <w:szCs w:val="17"/>
          <w:color w:val="auto"/>
        </w:rPr>
        <w:t>Dr. Mischel is the Chairman of our Scientific Advisory Board. We leverage this unique expertise to identify new cancer targets that are synthetic lethal in ecDNA-bearing cancer cells and to develop new medicines for patients with oncogene amplified cancers.</w:t>
      </w:r>
    </w:p>
    <w:p>
      <w:pPr>
        <w:spacing w:after="0" w:line="26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Our Pipeline and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1120775</wp:posOffset>
            </wp:positionH>
            <wp:positionV relativeFrom="paragraph">
              <wp:posOffset>137795</wp:posOffset>
            </wp:positionV>
            <wp:extent cx="4908550" cy="22555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908550" cy="225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20" w:right="420" w:firstLine="521"/>
        <w:spacing w:after="0" w:line="247" w:lineRule="auto"/>
        <w:rPr>
          <w:sz w:val="20"/>
          <w:szCs w:val="20"/>
          <w:color w:val="auto"/>
        </w:rPr>
      </w:pPr>
      <w:r>
        <w:rPr>
          <w:rFonts w:ascii="Arial" w:cs="Arial" w:eastAsia="Arial" w:hAnsi="Arial"/>
          <w:sz w:val="17"/>
          <w:szCs w:val="17"/>
          <w:color w:val="auto"/>
        </w:rPr>
        <w:t>Our lead ecDTx, BBI-355, is a novel, oral, selective small molecule CHK1 inhibitor being studied in the ongoing first-in-human, Phase 1/2 POTENTIATE clinical trial in patients with oncogene amplified cancers. CHK1 is a master regulator of cells’ response to replication stress (RS). RS is elevated in ecDNA-enabled oncogene amplified cancer cells and, because of this, represents a key vulnerability of those cells. BBI-355 is designed to exploit the elevated RS in ecDNA-enabled oncogene amplified</w:t>
      </w:r>
    </w:p>
    <w:p>
      <w:pPr>
        <w:spacing w:after="0" w:line="10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0840"/>
          </w:cols>
          <w:pgMar w:left="320" w:top="439" w:right="7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20"/>
        <w:spacing w:after="0" w:line="238" w:lineRule="auto"/>
        <w:rPr>
          <w:sz w:val="20"/>
          <w:szCs w:val="20"/>
          <w:color w:val="auto"/>
        </w:rPr>
      </w:pPr>
      <w:r>
        <w:rPr>
          <w:rFonts w:ascii="Arial" w:cs="Arial" w:eastAsia="Arial" w:hAnsi="Arial"/>
          <w:sz w:val="17"/>
          <w:szCs w:val="17"/>
          <w:color w:val="auto"/>
        </w:rPr>
        <w:t xml:space="preserve">cancer cells by disrupting proper CHK1 function in regulating RS, and thereby facilitating catastrophic RS to preferentially kill cancer cells relative to healthy cells. We believe that using CHK1 inhibition as a therapeutic strategy to target ecDNA-induced RS coupled with our approach to specifically identify patients whose tumors harbor ecDNA differentiates us from other biopharma industry efforts to therapeutically target CHK1 or other components of the cellular RS response. In addition, BBI-355 is orally administered, which, unlike intravenous (IV) dosing of a CHK1 inhibitor, allows for continuous or chronic intermittent dosing, which we believe is critical for targeting ecDNA biology. BBI-355 showed inhibition of CHK1 in a host of tumor cell lines and demonstrated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single agent tumor growth inhibition or tumor regressions across a range of tumor models representing different oncogene amplifications and tumor types. BBI-355 also demonstrated synergistic tumor growth inhibition or tumor regressions when combined with targeted therapies, both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across multiple oncogene amplification tumor settings. We expect to have preliminary clinical proof of concept safety and antitumor activity data of BBI-355 as a single agent and in combination with targeted therapies from our ongoing POTENTIATE clinical trial in the second half of 2024 from approximately 50 to 90 total enrolled patients (single agent cohorts N=~30 to 40, combination cohorts N=~20 to 50).</w:t>
      </w:r>
    </w:p>
    <w:p>
      <w:pPr>
        <w:spacing w:after="0" w:line="153" w:lineRule="exact"/>
        <w:rPr>
          <w:sz w:val="20"/>
          <w:szCs w:val="20"/>
          <w:color w:val="auto"/>
        </w:rPr>
      </w:pPr>
    </w:p>
    <w:p>
      <w:pPr>
        <w:ind w:left="420" w:firstLine="521"/>
        <w:spacing w:after="0" w:line="229" w:lineRule="auto"/>
        <w:rPr>
          <w:sz w:val="20"/>
          <w:szCs w:val="20"/>
          <w:color w:val="auto"/>
        </w:rPr>
      </w:pPr>
      <w:r>
        <w:rPr>
          <w:rFonts w:ascii="Arial" w:cs="Arial" w:eastAsia="Arial" w:hAnsi="Arial"/>
          <w:sz w:val="17"/>
          <w:szCs w:val="17"/>
          <w:color w:val="auto"/>
        </w:rPr>
        <w:t xml:space="preserve">Our second ecDTx, BBI-825, is a novel, oral, selective small molecule RNR inhibitor. In February 2024, we initiated the first-in-human, Phase 1/2 STARMAP clinical trial in patients with resistance gene amplifications. RNR is a rate-limiting enzyme responsible for cellular production of deoxyribonucleotide triphosphates (dNTPs), the building blocks of DNA, and essential to the assembly and repair of ecDNA. The premise for this ecDTx program is based on the observation that RNR inhibition starved ecDNA-reliant cancer cells of dNTPs, depleted ecDNA, and was synthetic lethal in certain oncogene amplified cancer models. BBI-825 has demonstrated preclinical proof of concept in multiple tumor types and across different oncogene amplifications, including both driver oncogene and resistance settings. BBI-825 demonstrated RNR inhibition in a host of tumor cell lines and showed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single agent tumor growth inhibition and synergistic activity, including tumor regressions, when combined with specific targeted therapies in amplification-enabled tumor models, in particular, cancer models that develop resistance amplifications in response to mitogen activated protein kinase (MAPK) pathway targeting therapies, such as BRAF</w:t>
      </w:r>
      <w:r>
        <w:rPr>
          <w:rFonts w:ascii="Arial" w:cs="Arial" w:eastAsia="Arial" w:hAnsi="Arial"/>
          <w:sz w:val="25"/>
          <w:szCs w:val="25"/>
          <w:color w:val="auto"/>
          <w:vertAlign w:val="superscript"/>
        </w:rPr>
        <w:t>V600</w:t>
      </w:r>
      <w:r>
        <w:rPr>
          <w:rFonts w:ascii="Arial" w:cs="Arial" w:eastAsia="Arial" w:hAnsi="Arial"/>
          <w:sz w:val="17"/>
          <w:szCs w:val="17"/>
          <w:color w:val="auto"/>
        </w:rPr>
        <w:t xml:space="preserve"> and KRAS</w:t>
      </w:r>
      <w:r>
        <w:rPr>
          <w:rFonts w:ascii="Arial" w:cs="Arial" w:eastAsia="Arial" w:hAnsi="Arial"/>
          <w:sz w:val="25"/>
          <w:szCs w:val="25"/>
          <w:color w:val="auto"/>
          <w:vertAlign w:val="superscript"/>
        </w:rPr>
        <w:t>G12C</w:t>
      </w:r>
      <w:r>
        <w:rPr>
          <w:rFonts w:ascii="Arial" w:cs="Arial" w:eastAsia="Arial" w:hAnsi="Arial"/>
          <w:sz w:val="17"/>
          <w:szCs w:val="17"/>
          <w:color w:val="auto"/>
        </w:rPr>
        <w:t xml:space="preserve"> inhibitors. We expect to have preliminary clinical proof of concept safety and antitumor activity data of BBI-825 in combination with targeted therapies from the STARMAP clinical trial in the second half of 2025.</w:t>
      </w:r>
    </w:p>
    <w:p>
      <w:pPr>
        <w:spacing w:after="0" w:line="135" w:lineRule="exact"/>
        <w:rPr>
          <w:sz w:val="20"/>
          <w:szCs w:val="20"/>
          <w:color w:val="auto"/>
        </w:rPr>
      </w:pPr>
    </w:p>
    <w:p>
      <w:pPr>
        <w:ind w:left="420" w:right="40" w:firstLine="521"/>
        <w:spacing w:after="0" w:line="247" w:lineRule="auto"/>
        <w:rPr>
          <w:sz w:val="20"/>
          <w:szCs w:val="20"/>
          <w:color w:val="auto"/>
        </w:rPr>
      </w:pPr>
      <w:r>
        <w:rPr>
          <w:rFonts w:ascii="Arial" w:cs="Arial" w:eastAsia="Arial" w:hAnsi="Arial"/>
          <w:sz w:val="17"/>
          <w:szCs w:val="17"/>
          <w:color w:val="auto"/>
        </w:rPr>
        <w:t>Our third ecDTx program is directed to ecDNA segregation, which we identified as a unique node of ecDNA vulnerability via our Spyglass platform. Specifically, we are targeting a kinesin involved with the cellular mechanism for segregation of ecDNA, and its resulting inheritance, into dividing cells. We are advancing our third ecDTx program through drug discovery to candidate identification and expect to submit an IND in the first half of 2026.</w:t>
      </w:r>
    </w:p>
    <w:p>
      <w:pPr>
        <w:spacing w:after="0" w:line="128" w:lineRule="exact"/>
        <w:rPr>
          <w:sz w:val="20"/>
          <w:szCs w:val="20"/>
          <w:color w:val="auto"/>
        </w:rPr>
      </w:pPr>
    </w:p>
    <w:p>
      <w:pPr>
        <w:ind w:left="420" w:right="80" w:firstLine="521"/>
        <w:spacing w:after="0" w:line="244" w:lineRule="auto"/>
        <w:rPr>
          <w:sz w:val="20"/>
          <w:szCs w:val="20"/>
          <w:color w:val="auto"/>
        </w:rPr>
      </w:pPr>
      <w:r>
        <w:rPr>
          <w:rFonts w:ascii="Arial" w:cs="Arial" w:eastAsia="Arial" w:hAnsi="Arial"/>
          <w:sz w:val="17"/>
          <w:szCs w:val="17"/>
          <w:color w:val="auto"/>
        </w:rPr>
        <w:t>We continue to leverage Spyglass to identify and preclinically validate additional ecDNA-essential targets. These candidate targets span multiple, diverse ecDNA synthetic lethal nodes in oncogene amplified cancers. In addition to our three ecDTx programs described above, we have preclinically validated multiple additional ecDNA targets and have initiated ecDTx drug discovery efforts to identify candidates against such targets. We expect to continue to identify and preclinically validate additional ecDNA targets using our Spyglass platform in the future.</w:t>
      </w:r>
    </w:p>
    <w:p>
      <w:pPr>
        <w:spacing w:after="0" w:line="143" w:lineRule="exact"/>
        <w:rPr>
          <w:sz w:val="20"/>
          <w:szCs w:val="20"/>
          <w:color w:val="auto"/>
        </w:rPr>
      </w:pPr>
    </w:p>
    <w:p>
      <w:pPr>
        <w:ind w:left="940"/>
        <w:spacing w:after="0"/>
        <w:rPr>
          <w:sz w:val="20"/>
          <w:szCs w:val="20"/>
          <w:color w:val="auto"/>
        </w:rPr>
      </w:pPr>
      <w:r>
        <w:rPr>
          <w:rFonts w:ascii="Arial" w:cs="Arial" w:eastAsia="Arial" w:hAnsi="Arial"/>
          <w:sz w:val="17"/>
          <w:szCs w:val="17"/>
          <w:color w:val="auto"/>
        </w:rPr>
        <w:t>We believe our unique approach to developing ecDTx has many potential benefits for patients, including:</w:t>
      </w:r>
    </w:p>
    <w:p>
      <w:pPr>
        <w:spacing w:after="0" w:line="111" w:lineRule="exact"/>
        <w:rPr>
          <w:sz w:val="20"/>
          <w:szCs w:val="20"/>
          <w:color w:val="auto"/>
        </w:rPr>
      </w:pPr>
    </w:p>
    <w:p>
      <w:pPr>
        <w:ind w:left="1660" w:hanging="418"/>
        <w:spacing w:after="0"/>
        <w:tabs>
          <w:tab w:leader="none" w:pos="1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addressing oncogene amplified cancers, a type of cancer without effective treatment options;</w:t>
      </w:r>
    </w:p>
    <w:p>
      <w:pPr>
        <w:spacing w:after="0" w:line="111" w:lineRule="exact"/>
        <w:rPr>
          <w:rFonts w:ascii="Arial" w:cs="Arial" w:eastAsia="Arial" w:hAnsi="Arial"/>
          <w:sz w:val="17"/>
          <w:szCs w:val="17"/>
          <w:color w:val="auto"/>
        </w:rPr>
      </w:pPr>
    </w:p>
    <w:p>
      <w:pPr>
        <w:ind w:left="1660" w:right="220" w:hanging="418"/>
        <w:spacing w:after="0" w:line="270" w:lineRule="auto"/>
        <w:tabs>
          <w:tab w:leader="none" w:pos="1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identifying patients whose tumors have ecDNA and are likely to benefit from our ecDTx by using our proprietary ecDNA diagnostic; and</w:t>
      </w:r>
    </w:p>
    <w:p>
      <w:pPr>
        <w:spacing w:after="0" w:line="8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0840"/>
          </w:cols>
          <w:pgMar w:left="320" w:top="439" w:right="7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1660" w:right="440" w:hanging="418"/>
        <w:spacing w:after="0" w:line="270" w:lineRule="auto"/>
        <w:tabs>
          <w:tab w:leader="none" w:pos="1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employing a tumor-agnostic development strategy, focusing on oncogene amplified cancers across a broad range of tumor types and amplified oncogene drivers.</w:t>
      </w:r>
    </w:p>
    <w:p>
      <w:pPr>
        <w:spacing w:after="0" w:line="122" w:lineRule="exact"/>
        <w:rPr>
          <w:sz w:val="20"/>
          <w:szCs w:val="20"/>
          <w:color w:val="auto"/>
        </w:rPr>
      </w:pPr>
    </w:p>
    <w:p>
      <w:pPr>
        <w:ind w:left="420" w:firstLine="521"/>
        <w:spacing w:after="0" w:line="239" w:lineRule="auto"/>
        <w:rPr>
          <w:sz w:val="20"/>
          <w:szCs w:val="20"/>
          <w:color w:val="auto"/>
        </w:rPr>
      </w:pPr>
      <w:r>
        <w:rPr>
          <w:rFonts w:ascii="Arial" w:cs="Arial" w:eastAsia="Arial" w:hAnsi="Arial"/>
          <w:sz w:val="17"/>
          <w:szCs w:val="17"/>
          <w:color w:val="auto"/>
        </w:rPr>
        <w:t>Since our inception, we have raised $252.1 million from leading life science investors, including our 5% or greater stockholders, ARCH Venture Partners, Fidelity Management &amp; Research Company LLC, RA Capital Management, Leaps by Bayer, Nextech Invest, and Vertex Ventures HC, as well as other investors. Prospective investors should not rely on the investment decisions of our existing investors, as these investors may have different risk tolerances and strategies and have purchased their shares in prior offerings at prices lower than the price offered to the public in this offering. In addition, some of these investors may not be subject to reporting requirements under Section 16 of the Exchange Act, and, thus, prospective investors may not necessarily know the total amount of investment by each of the prior investors and if and when some of the prior investors decide to sell any of their shares. See the sections titled “Certain Relationships and Related Person Transactions” and “Principal Stockholders” for more information on prior purchases by and current holdings of these stockholders.</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Our Strategy</w:t>
      </w:r>
    </w:p>
    <w:p>
      <w:pPr>
        <w:spacing w:after="0" w:line="98" w:lineRule="exact"/>
        <w:rPr>
          <w:sz w:val="20"/>
          <w:szCs w:val="20"/>
          <w:color w:val="auto"/>
        </w:rPr>
      </w:pPr>
    </w:p>
    <w:p>
      <w:pPr>
        <w:ind w:left="420" w:right="40" w:firstLine="521"/>
        <w:spacing w:after="0" w:line="244" w:lineRule="auto"/>
        <w:rPr>
          <w:sz w:val="20"/>
          <w:szCs w:val="20"/>
          <w:color w:val="auto"/>
        </w:rPr>
      </w:pPr>
      <w:r>
        <w:rPr>
          <w:rFonts w:ascii="Arial" w:cs="Arial" w:eastAsia="Arial" w:hAnsi="Arial"/>
          <w:sz w:val="17"/>
          <w:szCs w:val="17"/>
          <w:color w:val="auto"/>
        </w:rPr>
        <w:t>Our mission is to be the foremost biopharma company interrogating ecDNA biology to deliver transformative therapies that improve and extend the lives of patients with previously intractable oncogene amplified cancers. To accomplish this mission, our strategy is to leverage our unique expertise in ecDNA biology and its role in oncogene amplified cancer to pioneer the discovery, development, and commercialization of novel ecDTx for these patients who are not successfully treated by existing therapeutic options. The principal components of our strategy are to:</w:t>
      </w:r>
    </w:p>
    <w:p>
      <w:pPr>
        <w:spacing w:after="0" w:line="80" w:lineRule="exact"/>
        <w:rPr>
          <w:sz w:val="20"/>
          <w:szCs w:val="20"/>
          <w:color w:val="auto"/>
        </w:rPr>
      </w:pPr>
    </w:p>
    <w:p>
      <w:pPr>
        <w:ind w:left="1660" w:hanging="418"/>
        <w:spacing w:after="0" w:line="239" w:lineRule="auto"/>
        <w:tabs>
          <w:tab w:leader="none" w:pos="166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Advance our lead ecDTx, BBI-355, a CHK1 inhibitor, through clinical development and regulatory approval in patients with oncogene amplified cancers enabled by ecDNA</w:t>
      </w:r>
      <w:r>
        <w:rPr>
          <w:rFonts w:ascii="Arial" w:cs="Arial" w:eastAsia="Arial" w:hAnsi="Arial"/>
          <w:sz w:val="17"/>
          <w:szCs w:val="17"/>
          <w:color w:val="auto"/>
        </w:rPr>
        <w:t>. We believe that with the optimized biochemical profile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BBI-355, including its oral route of administration, along with our differentiated precision oncology development strategy and approach to identify patients with oncogene amplifications on ecDNA using our ecDNA diagnostic, we can overcome the historical challenges encountered with prior CHK1 inhibitors. As of February 21, 2024, we have enrolled 22 patients in our Phase 1/2 POTENTIATE clinical trial of BBI-355 in patients with oncogene amplified cancers, and we expect to have preliminary clinical proof of concept safety and antitumor activity data of BBI-355 as a single agent and in combination with targeted therapies from the POTENTIATE trial in the second half of 2024 from approximately 50 to 90 total enrolled patients (single agent cohorts N=~30 to 40, combination cohorts N=~20 to 50).</w:t>
      </w:r>
    </w:p>
    <w:p>
      <w:pPr>
        <w:spacing w:after="0" w:line="87" w:lineRule="exact"/>
        <w:rPr>
          <w:rFonts w:ascii="Arial" w:cs="Arial" w:eastAsia="Arial" w:hAnsi="Arial"/>
          <w:sz w:val="17"/>
          <w:szCs w:val="17"/>
          <w:color w:val="auto"/>
        </w:rPr>
      </w:pPr>
    </w:p>
    <w:p>
      <w:pPr>
        <w:ind w:left="1660" w:hanging="418"/>
        <w:spacing w:after="0" w:line="239" w:lineRule="auto"/>
        <w:tabs>
          <w:tab w:leader="none" w:pos="166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Advance our second ecDTx, BBI-825, an RNR inhibitor through clinical development and regulatory approval in patients whose cancers harbor resistance amplifications</w:t>
      </w:r>
      <w:r>
        <w:rPr>
          <w:rFonts w:ascii="Arial" w:cs="Arial" w:eastAsia="Arial" w:hAnsi="Arial"/>
          <w:sz w:val="17"/>
          <w:szCs w:val="17"/>
          <w:color w:val="auto"/>
        </w:rPr>
        <w:t>. We believe that an oral RNR inhibitor intentionally designed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RNR selectivity would be significantly differentiated from prior, non-selective RNR inhibitors, such as gemcitabine. In preclinical models, BBI-825 demonstrated RNR selectivity as well as inhibition of RNR. BBI-825 demonstrated tumor growth inhibition, including regressions, in both the prevention and treatment of amplification-mediated resistance in MAPK pathway-activated tumors in preclinical studies. In February 2024, we initiated the first-in-human, Phase 1/2 STARMAP clinical trial of BBI-825 in patients with resistance gene amplifications. We expect to have preliminary clinical proof of concept safety and antitumor activity data of BBI-825 in combination with targeted therapies from the STARMAP trial in the second half of 2025.</w:t>
      </w:r>
    </w:p>
    <w:p>
      <w:pPr>
        <w:spacing w:after="0" w:line="87" w:lineRule="exact"/>
        <w:rPr>
          <w:rFonts w:ascii="Arial" w:cs="Arial" w:eastAsia="Arial" w:hAnsi="Arial"/>
          <w:sz w:val="17"/>
          <w:szCs w:val="17"/>
          <w:color w:val="auto"/>
        </w:rPr>
      </w:pPr>
    </w:p>
    <w:p>
      <w:pPr>
        <w:ind w:left="1660" w:right="340" w:hanging="418"/>
        <w:spacing w:after="0" w:line="252" w:lineRule="auto"/>
        <w:tabs>
          <w:tab w:leader="none" w:pos="166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Advance our ecDTx 3 program to identify a development candidate and progress it into IND-enabling studies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Spyglass, we have gained a deeper understanding of unique ecDNA segregation mechanisms during cell division and identified a kinesin target</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0820"/>
          </w:cols>
          <w:pgMar w:left="320" w:top="439" w:right="7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1660" w:right="100"/>
        <w:spacing w:after="0" w:line="242" w:lineRule="auto"/>
        <w:rPr>
          <w:sz w:val="20"/>
          <w:szCs w:val="20"/>
          <w:color w:val="auto"/>
        </w:rPr>
      </w:pPr>
      <w:r>
        <w:rPr>
          <w:rFonts w:ascii="Arial" w:cs="Arial" w:eastAsia="Arial" w:hAnsi="Arial"/>
          <w:sz w:val="17"/>
          <w:szCs w:val="17"/>
          <w:color w:val="auto"/>
        </w:rPr>
        <w:t>essential for ecDNA segregation, whose inhibition is synthetic lethal to ecDNA-enabled cancer cells. Our third ecDTx program is directed to this kinesin, which is a member of a class of known druggable proteins, but for which there are no approved drugs and to our knowledge no other publicly disclosed drug discovery efforts. We have identified small molecule inhibitors of this target and are currently advancing these scaffolds through hit-to-lead generation. We are advancing our third ecDTx program through drug discovery to candidate identification and expect to submit an IND in the first half of 2026.</w:t>
      </w:r>
    </w:p>
    <w:p>
      <w:pPr>
        <w:spacing w:after="0" w:line="82" w:lineRule="exact"/>
        <w:rPr>
          <w:sz w:val="20"/>
          <w:szCs w:val="20"/>
          <w:color w:val="auto"/>
        </w:rPr>
      </w:pPr>
    </w:p>
    <w:p>
      <w:pPr>
        <w:ind w:left="1660" w:right="60" w:hanging="418"/>
        <w:spacing w:after="0" w:line="255" w:lineRule="auto"/>
        <w:tabs>
          <w:tab w:leader="none" w:pos="1660"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Deploy our proprietary ecDNA diagnostic, ECHO, to identify patients most likely to benefit from our ecDTx</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ecDNA diagnostic is a software algorithm intended to detect ecDNA in patient tumor samples by analyzing the genomic data of those samples available from routine NGS tests that are commonly used by commercial reference and academic laboratories for profiling patient tumors. We are working with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company to develop our ecDNA diagnostic into a clinical trial assay for patient selection in clinical trials of our ecDTx, including our ongoing Phase 1/2 POTENTIATE clinical trial of BBI-355. The FDA has determined that the ecDNA diagnostic is a non-significant risk device when used in patient selection for the POTENTIATE trial, meaning that we will not be required to obtain FDA approval of an Investigational Device Exemption (IDE) for the use of the ecDNA diagnostic in this trial. To our knowledge, this will be the first ecDNA diagnostic in clinical use. As data from our ecDTx clinical studies progress, we intend to discuss with the FDA whether the ecDNA diagnostic will be appropriate or required to enable commercialization of our ecDTx.</w:t>
      </w:r>
    </w:p>
    <w:p>
      <w:pPr>
        <w:spacing w:after="0" w:line="76" w:lineRule="exact"/>
        <w:rPr>
          <w:rFonts w:ascii="Arial" w:cs="Arial" w:eastAsia="Arial" w:hAnsi="Arial"/>
          <w:sz w:val="16"/>
          <w:szCs w:val="16"/>
          <w:color w:val="auto"/>
        </w:rPr>
      </w:pPr>
    </w:p>
    <w:p>
      <w:pPr>
        <w:ind w:left="1660" w:right="40" w:hanging="418"/>
        <w:spacing w:after="0" w:line="239" w:lineRule="auto"/>
        <w:tabs>
          <w:tab w:leader="none" w:pos="166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Leverage Spyglass to continue to identify and preclinically validate additional ecDNA targets to expand our pipeline of novel ecDTx</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utilize Spyglass to identify targets that exploit cellular vulnerabilities of ecDNA-enabled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cancers. Our target identification efforts to date have revealed multiple distinct nodes of vulnerability within the lifecycle of ecDNA. We continuously incorporate new models, tools, and technologies into our Spyglass platform to identify novel points of synthetic lethality in ecDNA-enabled cancers. In addition to our three ecDTx programs described above, we have preclinically validated multiple additional ecDNA targets and have initiated ecDTx drug discovery efforts to identify potential candidates against such targets. We continue to deploy Spyglass to identify and preclinically validate additional ecDNA-essential targets, with the belief that such ecDNA targets could constitute future potential ecDTx development opportunities.</w:t>
      </w:r>
    </w:p>
    <w:p>
      <w:pPr>
        <w:spacing w:after="0" w:line="87" w:lineRule="exact"/>
        <w:rPr>
          <w:rFonts w:ascii="Arial" w:cs="Arial" w:eastAsia="Arial" w:hAnsi="Arial"/>
          <w:sz w:val="17"/>
          <w:szCs w:val="17"/>
          <w:color w:val="auto"/>
        </w:rPr>
      </w:pPr>
    </w:p>
    <w:p>
      <w:pPr>
        <w:ind w:left="1660" w:hanging="418"/>
        <w:spacing w:after="0" w:line="241" w:lineRule="auto"/>
        <w:tabs>
          <w:tab w:leader="none" w:pos="166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Opportunistically pursue strategic collaborations to accelerate development timelines and maximize the commercial potential of our ecDTx</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large number of potential intervention points in the ecDNA life cycle identified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our Spyglass platform has the potential to provide us with more ecDNA targets, ecDTx, and clinical development strategies than we may be able to pursue on our own. We believe this abundance of potential treatment opportunities may afford an opportunity to selectively enter strategic collaborations involving ecDNA targets, our ecDTx, our ecDNA diagnostic test, or our Spyglass platform to maximize the patient benefit and long-term value of our research and development portfolio.</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Our History and Team</w:t>
      </w:r>
    </w:p>
    <w:p>
      <w:pPr>
        <w:spacing w:after="0" w:line="98" w:lineRule="exact"/>
        <w:rPr>
          <w:sz w:val="20"/>
          <w:szCs w:val="20"/>
          <w:color w:val="auto"/>
        </w:rPr>
      </w:pPr>
    </w:p>
    <w:p>
      <w:pPr>
        <w:ind w:left="420" w:right="60" w:firstLine="521"/>
        <w:spacing w:after="0" w:line="244" w:lineRule="auto"/>
        <w:rPr>
          <w:sz w:val="20"/>
          <w:szCs w:val="20"/>
          <w:color w:val="auto"/>
        </w:rPr>
      </w:pPr>
      <w:r>
        <w:rPr>
          <w:rFonts w:ascii="Arial" w:cs="Arial" w:eastAsia="Arial" w:hAnsi="Arial"/>
          <w:sz w:val="17"/>
          <w:szCs w:val="17"/>
          <w:color w:val="auto"/>
        </w:rPr>
        <w:t>Our company was founded in 2018 by a leading healthcare investor, ARCH Venture Partners, and the world’s leading academic researchers in the burgeoning field of ecDNA. One of our scientific co-founders, Paul Mischel, M.D., Institute Scholar ChEM-H and Vice Chair of Research and Professor for the Department of Pathology at Stanford University, and member of the National Academy of Medicine, is internationally recognized for his expertise in ecDNA and cancer biology. Dr. Mischel serves as the Chairman of our Scientific Advisory Board.</w:t>
      </w:r>
    </w:p>
    <w:p>
      <w:pPr>
        <w:spacing w:after="0" w:line="105"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0820"/>
          </w:cols>
          <w:pgMar w:left="320" w:top="439" w:right="7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940"/>
        <w:spacing w:after="0"/>
        <w:rPr>
          <w:sz w:val="20"/>
          <w:szCs w:val="20"/>
          <w:color w:val="auto"/>
        </w:rPr>
      </w:pPr>
      <w:r>
        <w:rPr>
          <w:rFonts w:ascii="Arial" w:cs="Arial" w:eastAsia="Arial" w:hAnsi="Arial"/>
          <w:sz w:val="17"/>
          <w:szCs w:val="17"/>
          <w:color w:val="auto"/>
        </w:rPr>
        <w:t>Our other scientific co-founders include:</w:t>
      </w:r>
    </w:p>
    <w:p>
      <w:pPr>
        <w:spacing w:after="0" w:line="111" w:lineRule="exact"/>
        <w:rPr>
          <w:sz w:val="20"/>
          <w:szCs w:val="20"/>
          <w:color w:val="auto"/>
        </w:rPr>
      </w:pPr>
    </w:p>
    <w:p>
      <w:pPr>
        <w:ind w:left="1660" w:right="40" w:hanging="418"/>
        <w:spacing w:after="0" w:line="270" w:lineRule="auto"/>
        <w:tabs>
          <w:tab w:leader="none" w:pos="1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Vineet Bafna, Ph.D., Professor of Computer Science &amp; Engineering at the University of California, San Diego; co-founder of Digital Proteomics; current member of our Scientific Advisory Board.</w:t>
      </w:r>
    </w:p>
    <w:p>
      <w:pPr>
        <w:spacing w:after="0" w:line="58" w:lineRule="exact"/>
        <w:rPr>
          <w:rFonts w:ascii="Arial" w:cs="Arial" w:eastAsia="Arial" w:hAnsi="Arial"/>
          <w:sz w:val="17"/>
          <w:szCs w:val="17"/>
          <w:color w:val="auto"/>
        </w:rPr>
      </w:pPr>
    </w:p>
    <w:p>
      <w:pPr>
        <w:ind w:left="1660" w:right="180" w:hanging="418"/>
        <w:spacing w:after="0" w:line="247" w:lineRule="auto"/>
        <w:tabs>
          <w:tab w:leader="none" w:pos="1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Howard Chang, M.D., Ph.D., Director of the Center for Personal Dynamic Regulomes and the Virginia and D.K. Ludwig Professor of Cancer Genomics at Stanford University; co-founder of Accent Therapeutics, Cartography Biosciences, Epinomics, and Orbital Therapeutics; Howard Hughes Medical Investigator; member of the National Academy of Sciences; current member of our Scientific Advisory Board.</w:t>
      </w:r>
    </w:p>
    <w:p>
      <w:pPr>
        <w:spacing w:after="0" w:line="76" w:lineRule="exact"/>
        <w:rPr>
          <w:rFonts w:ascii="Arial" w:cs="Arial" w:eastAsia="Arial" w:hAnsi="Arial"/>
          <w:sz w:val="17"/>
          <w:szCs w:val="17"/>
          <w:color w:val="auto"/>
        </w:rPr>
      </w:pPr>
    </w:p>
    <w:p>
      <w:pPr>
        <w:ind w:left="1660" w:right="200" w:hanging="418"/>
        <w:spacing w:after="0" w:line="276" w:lineRule="auto"/>
        <w:tabs>
          <w:tab w:leader="none" w:pos="1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Ben Cravatt, Ph.D., Professor and Gilula Chair of Chemical Biology at The Scripps Research Institute; co-founder of Abide Therapeutics, ActiveX Biosciences, Belharra Therapeutics, and Vividion Therapeutics; recipient of the 2022 Wolf Prize for chemistry; member of the National Academy of Sciences; current member of our Scientific Advisory Board.</w:t>
      </w:r>
    </w:p>
    <w:p>
      <w:pPr>
        <w:spacing w:after="0" w:line="55" w:lineRule="exact"/>
        <w:rPr>
          <w:rFonts w:ascii="Arial" w:cs="Arial" w:eastAsia="Arial" w:hAnsi="Arial"/>
          <w:sz w:val="16"/>
          <w:szCs w:val="16"/>
          <w:color w:val="auto"/>
        </w:rPr>
      </w:pPr>
    </w:p>
    <w:p>
      <w:pPr>
        <w:ind w:left="1660" w:right="520" w:hanging="418"/>
        <w:spacing w:after="0" w:line="270" w:lineRule="auto"/>
        <w:tabs>
          <w:tab w:leader="none" w:pos="1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Prashant Mali, Ph.D., Professor of Bioengineering at the University of California, San Diego; co-founder of Navega Therapeutics and Shape Therapeutics.</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Roel Verhaak, Ph.D., Professor in the Department of Neurosurgery at Yale University School of Medicine.</w:t>
      </w:r>
    </w:p>
    <w:p>
      <w:pPr>
        <w:spacing w:after="0" w:line="175" w:lineRule="exact"/>
        <w:rPr>
          <w:sz w:val="20"/>
          <w:szCs w:val="20"/>
          <w:color w:val="auto"/>
        </w:rPr>
      </w:pPr>
    </w:p>
    <w:p>
      <w:pPr>
        <w:ind w:left="420" w:right="200" w:firstLine="521"/>
        <w:spacing w:after="0" w:line="252" w:lineRule="auto"/>
        <w:rPr>
          <w:sz w:val="20"/>
          <w:szCs w:val="20"/>
          <w:color w:val="auto"/>
        </w:rPr>
      </w:pPr>
      <w:r>
        <w:rPr>
          <w:rFonts w:ascii="Arial" w:cs="Arial" w:eastAsia="Arial" w:hAnsi="Arial"/>
          <w:sz w:val="17"/>
          <w:szCs w:val="17"/>
          <w:color w:val="auto"/>
        </w:rPr>
        <w:t>In 2022, a team led by Dr. Mischel and multiple Boundless Bio scientific co-founders was declared as one of the winners of the Cancer Grand Challenges, a global initiative funded by Cancer Research UK (CRUK) and the National Cancer Institute (NCI), to further investigate the pathogenesis of ecDNA in cancer.</w:t>
      </w:r>
    </w:p>
    <w:p>
      <w:pPr>
        <w:spacing w:after="0" w:line="125" w:lineRule="exact"/>
        <w:rPr>
          <w:sz w:val="20"/>
          <w:szCs w:val="20"/>
          <w:color w:val="auto"/>
        </w:rPr>
      </w:pPr>
    </w:p>
    <w:p>
      <w:pPr>
        <w:ind w:left="420" w:right="420" w:firstLine="521"/>
        <w:spacing w:after="0" w:line="270" w:lineRule="auto"/>
        <w:rPr>
          <w:sz w:val="20"/>
          <w:szCs w:val="20"/>
          <w:color w:val="auto"/>
        </w:rPr>
      </w:pPr>
      <w:r>
        <w:rPr>
          <w:rFonts w:ascii="Arial" w:cs="Arial" w:eastAsia="Arial" w:hAnsi="Arial"/>
          <w:sz w:val="17"/>
          <w:szCs w:val="17"/>
          <w:color w:val="auto"/>
        </w:rPr>
        <w:t>One of our industry co-founders is Jonathan Lim, M.D., Co-founder, CEO, and Chairman of Erasca, Venture Partner at ARCH Venture Partners, and former Co-founder and CEO of Ignyta. Dr. Lim serves as the Chairman of our Board of Directors.</w:t>
      </w:r>
    </w:p>
    <w:p>
      <w:pPr>
        <w:spacing w:after="0" w:line="110" w:lineRule="exact"/>
        <w:rPr>
          <w:sz w:val="20"/>
          <w:szCs w:val="20"/>
          <w:color w:val="auto"/>
        </w:rPr>
      </w:pPr>
    </w:p>
    <w:p>
      <w:pPr>
        <w:ind w:left="420" w:firstLine="521"/>
        <w:spacing w:after="0" w:line="242" w:lineRule="auto"/>
        <w:rPr>
          <w:sz w:val="20"/>
          <w:szCs w:val="20"/>
          <w:color w:val="auto"/>
        </w:rPr>
      </w:pPr>
      <w:r>
        <w:rPr>
          <w:rFonts w:ascii="Arial" w:cs="Arial" w:eastAsia="Arial" w:hAnsi="Arial"/>
          <w:sz w:val="17"/>
          <w:szCs w:val="17"/>
          <w:color w:val="auto"/>
        </w:rPr>
        <w:t>In support of our mission to deliver the world’s first ecDTx to patients with oncogene amplified cancers, we have assembled a highly qualified management team with deep experience in precision oncology, drug discovery and development, diagnostic development, company building, capital raising, and strategic partnerships and acquisitions. This team hails from leading oncology-focused organizations such as Ignyta, Loxo Oncology, Sierra Oncology, Halozyme Therapeutics, and Inhibrx, leading pharmaceutical companies such as Bristol-Myers Squibb, Genentech/Roche, Eli Lilly, Merck, and Novartis, and leading investment banks such as Morgan Stanley &amp; Co. LLC and Goldman Sachs &amp; Co. LLC.</w:t>
      </w:r>
    </w:p>
    <w:p>
      <w:pPr>
        <w:spacing w:after="0" w:line="146" w:lineRule="exact"/>
        <w:rPr>
          <w:sz w:val="20"/>
          <w:szCs w:val="20"/>
          <w:color w:val="auto"/>
        </w:rPr>
      </w:pPr>
    </w:p>
    <w:p>
      <w:pPr>
        <w:ind w:left="420" w:right="20" w:firstLine="521"/>
        <w:spacing w:after="0" w:line="229" w:lineRule="auto"/>
        <w:rPr>
          <w:sz w:val="20"/>
          <w:szCs w:val="20"/>
          <w:color w:val="auto"/>
        </w:rPr>
      </w:pPr>
      <w:r>
        <w:rPr>
          <w:rFonts w:ascii="Arial" w:cs="Arial" w:eastAsia="Arial" w:hAnsi="Arial"/>
          <w:sz w:val="17"/>
          <w:szCs w:val="17"/>
          <w:color w:val="auto"/>
        </w:rPr>
        <w:t>Our management team is led by our President and Chief Executive Officer, Zachary Hornby, who formerly served as Chief Operating Officer and Chief Financial Officer at Ignyta (acquired by Roche/Genentech). At Ignyta, he led the operational team that developed Rozlytrek</w:t>
      </w:r>
      <w:r>
        <w:rPr>
          <w:rFonts w:ascii="Arial" w:cs="Arial" w:eastAsia="Arial" w:hAnsi="Arial"/>
          <w:sz w:val="25"/>
          <w:szCs w:val="25"/>
          <w:color w:val="auto"/>
          <w:vertAlign w:val="superscript"/>
        </w:rPr>
        <w:t>™</w:t>
      </w:r>
      <w:r>
        <w:rPr>
          <w:rFonts w:ascii="Arial" w:cs="Arial" w:eastAsia="Arial" w:hAnsi="Arial"/>
          <w:sz w:val="17"/>
          <w:szCs w:val="17"/>
          <w:color w:val="auto"/>
        </w:rPr>
        <w:t xml:space="preserve">, which is globally approved and commercialized for patients with </w:t>
      </w:r>
      <w:r>
        <w:rPr>
          <w:rFonts w:ascii="Arial" w:cs="Arial" w:eastAsia="Arial" w:hAnsi="Arial"/>
          <w:sz w:val="17"/>
          <w:szCs w:val="17"/>
          <w:i w:val="1"/>
          <w:iCs w:val="1"/>
          <w:color w:val="auto"/>
        </w:rPr>
        <w:t>NTRK+</w:t>
      </w:r>
      <w:r>
        <w:rPr>
          <w:rFonts w:ascii="Arial" w:cs="Arial" w:eastAsia="Arial" w:hAnsi="Arial"/>
          <w:sz w:val="17"/>
          <w:szCs w:val="17"/>
          <w:color w:val="auto"/>
        </w:rPr>
        <w:t xml:space="preserve"> solid tumors and </w:t>
      </w:r>
      <w:r>
        <w:rPr>
          <w:rFonts w:ascii="Arial" w:cs="Arial" w:eastAsia="Arial" w:hAnsi="Arial"/>
          <w:sz w:val="17"/>
          <w:szCs w:val="17"/>
          <w:i w:val="1"/>
          <w:iCs w:val="1"/>
          <w:color w:val="auto"/>
        </w:rPr>
        <w:t>ROS1+</w:t>
      </w:r>
      <w:r>
        <w:rPr>
          <w:rFonts w:ascii="Arial" w:cs="Arial" w:eastAsia="Arial" w:hAnsi="Arial"/>
          <w:sz w:val="17"/>
          <w:szCs w:val="17"/>
          <w:color w:val="auto"/>
        </w:rPr>
        <w:t xml:space="preserve"> non-small cell lung cancer. Our Chief Scientific Officer, Chris Hassig, Ph.D., brings over 20 years of oncology research, target discovery, and drug development experience to Boundless Bio. Dr. Hassig was most recently Chief Scientific Officer at Sierra Oncology (acquired by GlaxoSmithKline) where he spearheaded research efforts for the company’s pipeline against several oncology and hematology targets. Our Chief Medical Officer, Klaus Wagner, M.D., Ph.D., is a practicing oncologist who most recently served as Chief Medical Officer and Executive Vice President at Inhibrx (acquisition by Sanofi pending), where he led an integrated clinical development organization that was responsible for advancing three oncology programs from pre-IND into clinical development. Our Chief Financial Officer, Jami Rubin, most recently served as Chief Financial Officer at EQRx (acquired by Revolution Medicines) where she led the go public and capital raising process.</w:t>
      </w:r>
    </w:p>
    <w:p>
      <w:pPr>
        <w:spacing w:after="0" w:line="10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0780"/>
          </w:cols>
          <w:pgMar w:left="320" w:top="439" w:right="7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Evolution of Precision Oncology</w:t>
      </w:r>
    </w:p>
    <w:p>
      <w:pPr>
        <w:spacing w:after="0" w:line="98" w:lineRule="exact"/>
        <w:rPr>
          <w:sz w:val="20"/>
          <w:szCs w:val="20"/>
          <w:color w:val="auto"/>
        </w:rPr>
      </w:pPr>
    </w:p>
    <w:p>
      <w:pPr>
        <w:jc w:val="both"/>
        <w:ind w:left="420" w:right="120" w:firstLine="521"/>
        <w:spacing w:after="0" w:line="252" w:lineRule="auto"/>
        <w:rPr>
          <w:sz w:val="20"/>
          <w:szCs w:val="20"/>
          <w:color w:val="auto"/>
        </w:rPr>
      </w:pPr>
      <w:r>
        <w:rPr>
          <w:rFonts w:ascii="Arial" w:cs="Arial" w:eastAsia="Arial" w:hAnsi="Arial"/>
          <w:sz w:val="17"/>
          <w:szCs w:val="17"/>
          <w:color w:val="auto"/>
        </w:rPr>
        <w:t>Cancer is the second leading cause of mortality in the United States, accounting for approximately 1,900,000 new diagnoses and 600,000 deaths on an annual basis. There are many genetic aberrations, including mutations, fusions, and amplifications that lead to the malignant cellular growth that results in cancer.</w:t>
      </w:r>
    </w:p>
    <w:p>
      <w:pPr>
        <w:spacing w:after="0" w:line="138" w:lineRule="exact"/>
        <w:rPr>
          <w:sz w:val="20"/>
          <w:szCs w:val="20"/>
          <w:color w:val="auto"/>
        </w:rPr>
      </w:pPr>
    </w:p>
    <w:p>
      <w:pPr>
        <w:ind w:left="420" w:firstLine="521"/>
        <w:spacing w:after="0" w:line="242" w:lineRule="auto"/>
        <w:rPr>
          <w:sz w:val="20"/>
          <w:szCs w:val="20"/>
          <w:color w:val="auto"/>
        </w:rPr>
      </w:pPr>
      <w:r>
        <w:rPr>
          <w:rFonts w:ascii="Arial" w:cs="Arial" w:eastAsia="Arial" w:hAnsi="Arial"/>
          <w:sz w:val="17"/>
          <w:szCs w:val="17"/>
          <w:color w:val="auto"/>
        </w:rPr>
        <w:t>The first approved precision oncology drugs were predominately directed at the proteins produced by oncogenes hyperactivated by gene mutations or gene fusions. These drugs targeted specific types of receptor tyrosine kinases such as BCR-ABL, HER2, EGFR, ALK, and others. Since 2001, the FDA has approved more than 40 tyrosine kinase inhibitors (TKIs) for the treatment of cancer. This initial class of precision oncology drugs, also known as targeted therapies, generated more than $20 billion of worldwide sales in 2022. Much of the commercial success of these targeted therapies is due to their capacity to drive deeper and more durable responses than conventional chemotherapy regimens while minimizing unwanted side effects and damage to normal healthy tissues.</w:t>
      </w:r>
    </w:p>
    <w:p>
      <w:pPr>
        <w:spacing w:after="0" w:line="133" w:lineRule="exact"/>
        <w:rPr>
          <w:sz w:val="20"/>
          <w:szCs w:val="20"/>
          <w:color w:val="auto"/>
        </w:rPr>
      </w:pPr>
    </w:p>
    <w:p>
      <w:pPr>
        <w:ind w:left="420" w:right="160" w:firstLine="521"/>
        <w:spacing w:after="0" w:line="242" w:lineRule="auto"/>
        <w:rPr>
          <w:sz w:val="20"/>
          <w:szCs w:val="20"/>
          <w:color w:val="auto"/>
        </w:rPr>
      </w:pPr>
      <w:r>
        <w:rPr>
          <w:rFonts w:ascii="Arial" w:cs="Arial" w:eastAsia="Arial" w:hAnsi="Arial"/>
          <w:sz w:val="17"/>
          <w:szCs w:val="17"/>
          <w:color w:val="auto"/>
        </w:rPr>
        <w:t xml:space="preserve">An evolution in the understanding of tumor biology coupled with an improved ability to segment subsets of tumors based on genomic alterations has led to the development of new therapies that transcend single tumor or organ-targeted cancers. This improved molecular understanding of cancer resulted in the approval of therapies that address specific genomic features of tumors but are tumor type agnostic; some examples are the TRK inhibitors, including entrectinib and larotrectinib, for the treatment of tumors with </w:t>
      </w:r>
      <w:r>
        <w:rPr>
          <w:rFonts w:ascii="Arial" w:cs="Arial" w:eastAsia="Arial" w:hAnsi="Arial"/>
          <w:sz w:val="17"/>
          <w:szCs w:val="17"/>
          <w:i w:val="1"/>
          <w:iCs w:val="1"/>
          <w:color w:val="auto"/>
        </w:rPr>
        <w:t>NTRK</w:t>
      </w:r>
      <w:r>
        <w:rPr>
          <w:rFonts w:ascii="Arial" w:cs="Arial" w:eastAsia="Arial" w:hAnsi="Arial"/>
          <w:sz w:val="17"/>
          <w:szCs w:val="17"/>
          <w:color w:val="auto"/>
        </w:rPr>
        <w:t xml:space="preserve"> gene fusions. This trend for tumor-agnostic indications represented a breakthrough in patient identification, drug development, clinical trial designs, and speed to market approvals, albeit benefitting relatively modest sized patient populations.</w:t>
      </w:r>
    </w:p>
    <w:p>
      <w:pPr>
        <w:spacing w:after="0" w:line="133" w:lineRule="exact"/>
        <w:rPr>
          <w:sz w:val="20"/>
          <w:szCs w:val="20"/>
          <w:color w:val="auto"/>
        </w:rPr>
      </w:pPr>
    </w:p>
    <w:p>
      <w:pPr>
        <w:ind w:left="420" w:right="20" w:firstLine="521"/>
        <w:spacing w:after="0" w:line="204" w:lineRule="auto"/>
        <w:rPr>
          <w:sz w:val="20"/>
          <w:szCs w:val="20"/>
          <w:color w:val="auto"/>
        </w:rPr>
      </w:pPr>
      <w:r>
        <w:rPr>
          <w:rFonts w:ascii="Arial" w:cs="Arial" w:eastAsia="Arial" w:hAnsi="Arial"/>
          <w:sz w:val="17"/>
          <w:szCs w:val="17"/>
          <w:color w:val="auto"/>
        </w:rPr>
        <w:t xml:space="preserve">Despite these advances of the precision oncology field, treatment resistance is still an unfortunate inevitability in cancer. The predominant resistance mechanisms to targeted therapies are secondary mutations of the treatment target (e.g., </w:t>
      </w:r>
      <w:r>
        <w:rPr>
          <w:rFonts w:ascii="Arial" w:cs="Arial" w:eastAsia="Arial" w:hAnsi="Arial"/>
          <w:sz w:val="17"/>
          <w:szCs w:val="17"/>
          <w:i w:val="1"/>
          <w:iCs w:val="1"/>
          <w:color w:val="auto"/>
        </w:rPr>
        <w:t>EGFR</w:t>
      </w:r>
      <w:r>
        <w:rPr>
          <w:rFonts w:ascii="Arial" w:cs="Arial" w:eastAsia="Arial" w:hAnsi="Arial"/>
          <w:sz w:val="25"/>
          <w:szCs w:val="25"/>
          <w:i w:val="1"/>
          <w:iCs w:val="1"/>
          <w:color w:val="auto"/>
          <w:vertAlign w:val="superscript"/>
        </w:rPr>
        <w:t>T790M</w:t>
      </w:r>
      <w:r>
        <w:rPr>
          <w:rFonts w:ascii="Arial" w:cs="Arial" w:eastAsia="Arial" w:hAnsi="Arial"/>
          <w:sz w:val="17"/>
          <w:szCs w:val="17"/>
          <w:color w:val="auto"/>
        </w:rPr>
        <w:t xml:space="preserve">, </w:t>
      </w:r>
      <w:r>
        <w:rPr>
          <w:rFonts w:ascii="Arial" w:cs="Arial" w:eastAsia="Arial" w:hAnsi="Arial"/>
          <w:sz w:val="17"/>
          <w:szCs w:val="17"/>
          <w:i w:val="1"/>
          <w:iCs w:val="1"/>
          <w:color w:val="auto"/>
        </w:rPr>
        <w:t>ALK</w:t>
      </w:r>
      <w:r>
        <w:rPr>
          <w:rFonts w:ascii="Arial" w:cs="Arial" w:eastAsia="Arial" w:hAnsi="Arial"/>
          <w:sz w:val="25"/>
          <w:szCs w:val="25"/>
          <w:i w:val="1"/>
          <w:iCs w:val="1"/>
          <w:color w:val="auto"/>
          <w:vertAlign w:val="superscript"/>
        </w:rPr>
        <w:t>G1202R</w:t>
      </w:r>
      <w:r>
        <w:rPr>
          <w:rFonts w:ascii="Arial" w:cs="Arial" w:eastAsia="Arial" w:hAnsi="Arial"/>
          <w:sz w:val="17"/>
          <w:szCs w:val="17"/>
          <w:color w:val="auto"/>
        </w:rPr>
        <w:t>), other means of pathway activation, and oncogene or resistance gene amplifications. The quest to address resistance has given rise to a newer generation of targeted therapies and treatment modalities, mostly directed at secondary mutations and alternative pathways. However, there are still very few approved or investigational therapies in development for patients with gene amplifications.</w:t>
      </w:r>
    </w:p>
    <w:p>
      <w:pPr>
        <w:spacing w:after="0" w:line="27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Significant Unmet Medical Need in Oncogene Amplified Cancers</w:t>
      </w:r>
    </w:p>
    <w:p>
      <w:pPr>
        <w:spacing w:after="0" w:line="98" w:lineRule="exact"/>
        <w:rPr>
          <w:sz w:val="20"/>
          <w:szCs w:val="20"/>
          <w:color w:val="auto"/>
        </w:rPr>
      </w:pPr>
    </w:p>
    <w:p>
      <w:pPr>
        <w:ind w:left="420" w:firstLine="521"/>
        <w:spacing w:after="0" w:line="241" w:lineRule="auto"/>
        <w:rPr>
          <w:sz w:val="20"/>
          <w:szCs w:val="20"/>
          <w:color w:val="auto"/>
        </w:rPr>
      </w:pPr>
      <w:r>
        <w:rPr>
          <w:rFonts w:ascii="Arial" w:cs="Arial" w:eastAsia="Arial" w:hAnsi="Arial"/>
          <w:sz w:val="17"/>
          <w:szCs w:val="17"/>
          <w:color w:val="auto"/>
        </w:rPr>
        <w:t>While progress in treating cancers with other forms of oncogenic driver alterations continues to advance, patients whose cancers harbor oncogene amplifications remain a high unmet medical need. Cancers with gene amplifications are characterized by the abnormal presence of more than two copies of any gene within the human genome; when more than eight copies of a gene are present, this is often referred to as high copy number gene amplification. Genes whose activating mutation or amplification are associated with cancer are referred to as oncogenes. According to analyses of large cancer patient databases, greater than 25% of all cancer cases involve oncogene amplifications, suggesting that in the U.S. alone the oncogene amplified cancer population may represent more than 400,000 new patients each year across multiple tumor types.</w:t>
      </w:r>
    </w:p>
    <w:p>
      <w:pPr>
        <w:spacing w:after="0" w:line="10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0800"/>
          </w:cols>
          <w:pgMar w:left="320" w:top="439" w:right="7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firstLine="521"/>
        <w:spacing w:after="0" w:line="252" w:lineRule="auto"/>
        <w:rPr>
          <w:sz w:val="20"/>
          <w:szCs w:val="20"/>
          <w:color w:val="auto"/>
        </w:rPr>
      </w:pPr>
      <w:r>
        <w:rPr>
          <w:rFonts w:ascii="Arial" w:cs="Arial" w:eastAsia="Arial" w:hAnsi="Arial"/>
          <w:sz w:val="17"/>
          <w:szCs w:val="17"/>
          <w:color w:val="auto"/>
        </w:rPr>
        <w:t>Patients whose tumors harbor oncogene amplification have significantly worse survival compared to the broader cancer population. As seen in the figure below, patients with oncogene amplifications also have significantly worse survival compared to patients with other forms of driver mutations of the same oncogenes.</w:t>
      </w:r>
    </w:p>
    <w:p>
      <w:pPr>
        <w:spacing w:after="0" w:line="266" w:lineRule="exact"/>
        <w:rPr>
          <w:sz w:val="20"/>
          <w:szCs w:val="20"/>
          <w:color w:val="auto"/>
        </w:rPr>
      </w:pPr>
    </w:p>
    <w:p>
      <w:pPr>
        <w:ind w:left="860"/>
        <w:spacing w:after="0"/>
        <w:rPr>
          <w:sz w:val="20"/>
          <w:szCs w:val="20"/>
          <w:color w:val="auto"/>
        </w:rPr>
      </w:pPr>
      <w:r>
        <w:rPr>
          <w:rFonts w:ascii="Arial" w:cs="Arial" w:eastAsia="Arial" w:hAnsi="Arial"/>
          <w:sz w:val="17"/>
          <w:szCs w:val="17"/>
          <w:b w:val="1"/>
          <w:bCs w:val="1"/>
          <w:color w:val="auto"/>
        </w:rPr>
        <w:t>Cancer Patients with Oncogene Amplifications Have Worse Survival Than Those with Oncogene Mutations or Fusions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2005330</wp:posOffset>
            </wp:positionH>
            <wp:positionV relativeFrom="paragraph">
              <wp:posOffset>137795</wp:posOffset>
            </wp:positionV>
            <wp:extent cx="3140075" cy="30016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140075" cy="300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820" w:right="220"/>
        <w:spacing w:after="0" w:line="268" w:lineRule="auto"/>
        <w:rPr>
          <w:sz w:val="20"/>
          <w:szCs w:val="20"/>
          <w:color w:val="auto"/>
        </w:rPr>
      </w:pPr>
      <w:r>
        <w:rPr>
          <w:rFonts w:ascii="Arial" w:cs="Arial" w:eastAsia="Arial" w:hAnsi="Arial"/>
          <w:sz w:val="15"/>
          <w:szCs w:val="15"/>
          <w:color w:val="auto"/>
        </w:rPr>
        <w:t xml:space="preserve">Patients with primary or metastatic cancers with amplifications, point mutations, fusions, or skipping deletions, of these genes: </w:t>
      </w:r>
      <w:r>
        <w:rPr>
          <w:rFonts w:ascii="Arial" w:cs="Arial" w:eastAsia="Arial" w:hAnsi="Arial"/>
          <w:sz w:val="15"/>
          <w:szCs w:val="15"/>
          <w:i w:val="1"/>
          <w:iCs w:val="1"/>
          <w:color w:val="auto"/>
        </w:rPr>
        <w:t>AR, ALK, ARAF,</w:t>
      </w:r>
      <w:r>
        <w:rPr>
          <w:rFonts w:ascii="Arial" w:cs="Arial" w:eastAsia="Arial" w:hAnsi="Arial"/>
          <w:sz w:val="15"/>
          <w:szCs w:val="15"/>
          <w:color w:val="auto"/>
        </w:rPr>
        <w:t xml:space="preserve"> </w:t>
      </w:r>
      <w:r>
        <w:rPr>
          <w:rFonts w:ascii="Arial" w:cs="Arial" w:eastAsia="Arial" w:hAnsi="Arial"/>
          <w:sz w:val="15"/>
          <w:szCs w:val="15"/>
          <w:i w:val="1"/>
          <w:iCs w:val="1"/>
          <w:color w:val="auto"/>
        </w:rPr>
        <w:t>BRAF, CCND1, CDK4, CDK6, EGFR, ERBB2, FGFR1, FGFR2, FGFR3, FGFR4, HRAS, IDH1, IDH2, KIT, KRAS, MAP2K1, MAP2K2, MAP2K4, MDM2, MET, MYC, NF1, NRAS, NTRK1, NTRK2, NTRK3, PDGFB, PDGFRA, PDGFRB, PIK3CA, RAF1, RET, ROS1</w:t>
      </w:r>
    </w:p>
    <w:p>
      <w:pPr>
        <w:spacing w:after="0" w:line="61" w:lineRule="exact"/>
        <w:rPr>
          <w:sz w:val="20"/>
          <w:szCs w:val="20"/>
          <w:color w:val="auto"/>
        </w:rPr>
      </w:pPr>
    </w:p>
    <w:p>
      <w:pPr>
        <w:ind w:left="820"/>
        <w:spacing w:after="0"/>
        <w:rPr>
          <w:sz w:val="20"/>
          <w:szCs w:val="20"/>
          <w:color w:val="auto"/>
        </w:rPr>
      </w:pPr>
      <w:r>
        <w:rPr>
          <w:rFonts w:ascii="Arial" w:cs="Arial" w:eastAsia="Arial" w:hAnsi="Arial"/>
          <w:sz w:val="15"/>
          <w:szCs w:val="15"/>
          <w:color w:val="auto"/>
        </w:rPr>
        <w:t>cBioPortal analysis using MSK-MET (N=14,674 patients) and MSK-IMPACT (N= 1,115 patients), p-value =&lt; 0.0001)</w:t>
      </w:r>
    </w:p>
    <w:p>
      <w:pPr>
        <w:spacing w:after="0" w:line="172" w:lineRule="exact"/>
        <w:rPr>
          <w:sz w:val="20"/>
          <w:szCs w:val="20"/>
          <w:color w:val="auto"/>
        </w:rPr>
      </w:pPr>
    </w:p>
    <w:p>
      <w:pPr>
        <w:ind w:left="820" w:right="40"/>
        <w:spacing w:after="0" w:line="262" w:lineRule="auto"/>
        <w:rPr>
          <w:sz w:val="20"/>
          <w:szCs w:val="20"/>
          <w:color w:val="auto"/>
        </w:rPr>
      </w:pPr>
      <w:r>
        <w:rPr>
          <w:rFonts w:ascii="Arial" w:cs="Arial" w:eastAsia="Arial" w:hAnsi="Arial"/>
          <w:sz w:val="15"/>
          <w:szCs w:val="15"/>
          <w:color w:val="auto"/>
        </w:rPr>
        <w:t>A p-value is the probability that the reported result was achieved purely by chance, such that a p-value of less than or equal to 0.05 means that there is a less than or equal to 5% probability that the difference between the control group and the treatment group is purely due to chance. A p-value of 0.05 or less typically represents a statistically significant result. The FDA’s evidentiary standard of efficacy when evaluating the results of a clinical trial generally relies on a p-value of less than or equal to 0.05.</w:t>
      </w:r>
    </w:p>
    <w:p>
      <w:pPr>
        <w:spacing w:after="0" w:line="9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0800"/>
          </w:cols>
          <w:pgMar w:left="320" w:top="439" w:right="7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both"/>
        <w:ind w:left="420" w:right="220" w:firstLine="521"/>
        <w:spacing w:after="0" w:line="252" w:lineRule="auto"/>
        <w:rPr>
          <w:sz w:val="20"/>
          <w:szCs w:val="20"/>
          <w:color w:val="auto"/>
        </w:rPr>
      </w:pPr>
      <w:r>
        <w:rPr>
          <w:rFonts w:ascii="Arial" w:cs="Arial" w:eastAsia="Arial" w:hAnsi="Arial"/>
          <w:sz w:val="17"/>
          <w:szCs w:val="17"/>
          <w:color w:val="auto"/>
        </w:rPr>
        <w:t>Despite the advancements in precision medicine and targeted therapies for these other forms of driver oncogene alterations, as well as immunotherapies for patients whose cancers lack driver oncogenes, both targeted therapies and immunotherapies have proven largely ineffective in oncogene-amplified cancers.</w:t>
      </w:r>
    </w:p>
    <w:p>
      <w:pPr>
        <w:spacing w:after="0" w:line="266" w:lineRule="exact"/>
        <w:rPr>
          <w:sz w:val="20"/>
          <w:szCs w:val="20"/>
          <w:color w:val="auto"/>
        </w:rPr>
      </w:pPr>
    </w:p>
    <w:p>
      <w:pPr>
        <w:ind w:left="2540"/>
        <w:spacing w:after="0"/>
        <w:rPr>
          <w:sz w:val="20"/>
          <w:szCs w:val="20"/>
          <w:color w:val="auto"/>
        </w:rPr>
      </w:pPr>
      <w:r>
        <w:rPr>
          <w:rFonts w:ascii="Arial" w:cs="Arial" w:eastAsia="Arial" w:hAnsi="Arial"/>
          <w:sz w:val="17"/>
          <w:szCs w:val="17"/>
          <w:b w:val="1"/>
          <w:bCs w:val="1"/>
          <w:color w:val="auto"/>
        </w:rPr>
        <w:t>Examples of Targeted Therapies Not Approved for Oncogene Amplifications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1120775</wp:posOffset>
            </wp:positionH>
            <wp:positionV relativeFrom="paragraph">
              <wp:posOffset>137795</wp:posOffset>
            </wp:positionV>
            <wp:extent cx="4908550" cy="18091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908550" cy="180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0" w:firstLine="521"/>
        <w:spacing w:after="0" w:line="239" w:lineRule="auto"/>
        <w:rPr>
          <w:sz w:val="20"/>
          <w:szCs w:val="20"/>
          <w:color w:val="auto"/>
        </w:rPr>
      </w:pPr>
      <w:r>
        <w:rPr>
          <w:rFonts w:ascii="Arial" w:cs="Arial" w:eastAsia="Arial" w:hAnsi="Arial"/>
          <w:sz w:val="17"/>
          <w:szCs w:val="17"/>
          <w:color w:val="auto"/>
        </w:rPr>
        <w:t xml:space="preserve">Targeted agents that have shown efficacy in patients whose cancers are driven by other oncogene alterations, including point mutations, gene fusions, or skipping deletions, have generally failed to demonstrate robust efficacy in patients whose tumors are driven by oncogene amplification. The lack of approved therapies targeting oncogene amplified tumors is despite extensive clinical testing of targeted agents in oncogene amplified cancer populations. Clinical studies have shown limited success in treating patients with </w:t>
      </w:r>
      <w:r>
        <w:rPr>
          <w:rFonts w:ascii="Arial" w:cs="Arial" w:eastAsia="Arial" w:hAnsi="Arial"/>
          <w:sz w:val="17"/>
          <w:szCs w:val="17"/>
          <w:i w:val="1"/>
          <w:iCs w:val="1"/>
          <w:color w:val="auto"/>
        </w:rPr>
        <w:t>EGFR</w:t>
      </w:r>
      <w:r>
        <w:rPr>
          <w:rFonts w:ascii="Arial" w:cs="Arial" w:eastAsia="Arial" w:hAnsi="Arial"/>
          <w:sz w:val="17"/>
          <w:szCs w:val="17"/>
          <w:color w:val="auto"/>
        </w:rPr>
        <w:t xml:space="preserve">, </w:t>
      </w:r>
      <w:r>
        <w:rPr>
          <w:rFonts w:ascii="Arial" w:cs="Arial" w:eastAsia="Arial" w:hAnsi="Arial"/>
          <w:sz w:val="17"/>
          <w:szCs w:val="17"/>
          <w:i w:val="1"/>
          <w:iCs w:val="1"/>
          <w:color w:val="auto"/>
        </w:rPr>
        <w:t>FGFR</w:t>
      </w:r>
      <w:r>
        <w:rPr>
          <w:rFonts w:ascii="Arial" w:cs="Arial" w:eastAsia="Arial" w:hAnsi="Arial"/>
          <w:sz w:val="17"/>
          <w:szCs w:val="17"/>
          <w:color w:val="auto"/>
        </w:rPr>
        <w:t>, and</w:t>
      </w:r>
      <w:r>
        <w:rPr>
          <w:rFonts w:ascii="Arial" w:cs="Arial" w:eastAsia="Arial" w:hAnsi="Arial"/>
          <w:sz w:val="17"/>
          <w:szCs w:val="17"/>
          <w:i w:val="1"/>
          <w:iCs w:val="1"/>
          <w:color w:val="auto"/>
        </w:rPr>
        <w:t xml:space="preserve"> CDK4 </w:t>
      </w:r>
      <w:r>
        <w:rPr>
          <w:rFonts w:ascii="Arial" w:cs="Arial" w:eastAsia="Arial" w:hAnsi="Arial"/>
          <w:sz w:val="17"/>
          <w:szCs w:val="17"/>
          <w:color w:val="auto"/>
        </w:rPr>
        <w:t>amplified solid tumors with matching molecular targeted therapies. For example, approved and clinical-stage CDK4/6</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inhibitors showed only a collective 2% overall response rate (ORR) in </w:t>
      </w:r>
      <w:r>
        <w:rPr>
          <w:rFonts w:ascii="Arial" w:cs="Arial" w:eastAsia="Arial" w:hAnsi="Arial"/>
          <w:sz w:val="17"/>
          <w:szCs w:val="17"/>
          <w:i w:val="1"/>
          <w:iCs w:val="1"/>
          <w:color w:val="auto"/>
        </w:rPr>
        <w:t>CDK4</w:t>
      </w:r>
      <w:r>
        <w:rPr>
          <w:rFonts w:ascii="Arial" w:cs="Arial" w:eastAsia="Arial" w:hAnsi="Arial"/>
          <w:sz w:val="17"/>
          <w:szCs w:val="17"/>
          <w:color w:val="auto"/>
        </w:rPr>
        <w:t xml:space="preserve"> amplified tumors, and FGFR inhibitors showed only a collective 13% ORR in patients with </w:t>
      </w:r>
      <w:r>
        <w:rPr>
          <w:rFonts w:ascii="Arial" w:cs="Arial" w:eastAsia="Arial" w:hAnsi="Arial"/>
          <w:sz w:val="17"/>
          <w:szCs w:val="17"/>
          <w:i w:val="1"/>
          <w:iCs w:val="1"/>
          <w:color w:val="auto"/>
        </w:rPr>
        <w:t>FGFR</w:t>
      </w:r>
      <w:r>
        <w:rPr>
          <w:rFonts w:ascii="Arial" w:cs="Arial" w:eastAsia="Arial" w:hAnsi="Arial"/>
          <w:sz w:val="17"/>
          <w:szCs w:val="17"/>
          <w:color w:val="auto"/>
        </w:rPr>
        <w:t xml:space="preserve"> amplified tumors. This unfortunate trend has been observed across several classes of targeted agents when tested in oncogene-amplified tumors. In fact, despite continuous advancement of the precision oncology field, of the more than 170 FDA approved targeted therapies to date, only HER2 inhibitors have ever been approved for oncogene amplified or overexpressed cancer populations.</w:t>
      </w:r>
    </w:p>
    <w:p>
      <w:pPr>
        <w:spacing w:after="0" w:line="11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0800"/>
          </w:cols>
          <w:pgMar w:left="320" w:top="439" w:right="7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center"/>
        <w:ind w:left="760" w:right="200"/>
        <w:spacing w:after="0" w:line="280" w:lineRule="auto"/>
        <w:rPr>
          <w:sz w:val="20"/>
          <w:szCs w:val="20"/>
          <w:color w:val="auto"/>
        </w:rPr>
      </w:pPr>
      <w:r>
        <w:rPr>
          <w:rFonts w:ascii="Arial" w:cs="Arial" w:eastAsia="Arial" w:hAnsi="Arial"/>
          <w:sz w:val="17"/>
          <w:szCs w:val="17"/>
          <w:b w:val="1"/>
          <w:bCs w:val="1"/>
          <w:color w:val="auto"/>
        </w:rPr>
        <w:t xml:space="preserve">FGFR Inhibitors Demonstrated Less Clinical Benefit in Patients with </w:t>
      </w:r>
      <w:r>
        <w:rPr>
          <w:rFonts w:ascii="Arial" w:cs="Arial" w:eastAsia="Arial" w:hAnsi="Arial"/>
          <w:sz w:val="17"/>
          <w:szCs w:val="17"/>
          <w:b w:val="1"/>
          <w:bCs w:val="1"/>
          <w:i w:val="1"/>
          <w:iCs w:val="1"/>
          <w:color w:val="auto"/>
        </w:rPr>
        <w:t>FGFR</w:t>
      </w:r>
      <w:r>
        <w:rPr>
          <w:rFonts w:ascii="Arial" w:cs="Arial" w:eastAsia="Arial" w:hAnsi="Arial"/>
          <w:sz w:val="17"/>
          <w:szCs w:val="17"/>
          <w:b w:val="1"/>
          <w:bCs w:val="1"/>
          <w:color w:val="auto"/>
        </w:rPr>
        <w:t xml:space="preserve"> Amplifications Than in Patients with Other </w:t>
      </w:r>
      <w:r>
        <w:rPr>
          <w:rFonts w:ascii="Arial" w:cs="Arial" w:eastAsia="Arial" w:hAnsi="Arial"/>
          <w:sz w:val="17"/>
          <w:szCs w:val="17"/>
          <w:b w:val="1"/>
          <w:bCs w:val="1"/>
          <w:i w:val="1"/>
          <w:iCs w:val="1"/>
          <w:color w:val="auto"/>
        </w:rPr>
        <w:t>FGFR</w:t>
      </w:r>
      <w:r>
        <w:rPr>
          <w:rFonts w:ascii="Arial" w:cs="Arial" w:eastAsia="Arial" w:hAnsi="Arial"/>
          <w:sz w:val="17"/>
          <w:szCs w:val="17"/>
          <w:b w:val="1"/>
          <w:bCs w:val="1"/>
          <w:color w:val="auto"/>
        </w:rPr>
        <w:t xml:space="preserve"> Alterations (Mutations, Fusions)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1689100</wp:posOffset>
            </wp:positionH>
            <wp:positionV relativeFrom="paragraph">
              <wp:posOffset>93980</wp:posOffset>
            </wp:positionV>
            <wp:extent cx="3772535" cy="27260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772535"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20" w:firstLine="521"/>
        <w:spacing w:after="0" w:line="244" w:lineRule="auto"/>
        <w:rPr>
          <w:sz w:val="20"/>
          <w:szCs w:val="20"/>
          <w:color w:val="auto"/>
        </w:rPr>
      </w:pPr>
      <w:r>
        <w:rPr>
          <w:rFonts w:ascii="Arial" w:cs="Arial" w:eastAsia="Arial" w:hAnsi="Arial"/>
          <w:sz w:val="17"/>
          <w:szCs w:val="17"/>
          <w:color w:val="auto"/>
        </w:rPr>
        <w:t>The presence of oncogene amplification is also associated with a lack of response when patients are treated with immunotherapies, for instance immune checkpoint inhibitors such as pembrolizumab. Furthermore, immune checkpoint inhibitors have been associated with rapid clinical worsening, known as hyper-progression, in patients with oncogene amplified tumors. There is growing evidence that oncogene amplifications could be one of the mechanisms that cancers use to escape immune surveillance or alter the tumor immune environment to avoid being eliminated by the immune system.</w:t>
      </w:r>
    </w:p>
    <w:p>
      <w:pPr>
        <w:spacing w:after="0" w:line="271"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Role of extrachromosomal DNA (ecDNA) in Oncogene Amplified Cancers</w:t>
      </w:r>
    </w:p>
    <w:p>
      <w:pPr>
        <w:spacing w:after="0" w:line="98" w:lineRule="exact"/>
        <w:rPr>
          <w:sz w:val="20"/>
          <w:szCs w:val="20"/>
          <w:color w:val="auto"/>
        </w:rPr>
      </w:pPr>
    </w:p>
    <w:p>
      <w:pPr>
        <w:ind w:left="420" w:right="60" w:firstLine="521"/>
        <w:spacing w:after="0" w:line="242" w:lineRule="auto"/>
        <w:rPr>
          <w:sz w:val="20"/>
          <w:szCs w:val="20"/>
          <w:color w:val="auto"/>
        </w:rPr>
      </w:pPr>
      <w:r>
        <w:rPr>
          <w:rFonts w:ascii="Arial" w:cs="Arial" w:eastAsia="Arial" w:hAnsi="Arial"/>
          <w:sz w:val="17"/>
          <w:szCs w:val="17"/>
          <w:color w:val="auto"/>
        </w:rPr>
        <w:t>Chromosomal instability and tumor variability, or heterogeneity, account for many failures of targeted therapies in patients with cancer. Oncogene amplification is a consequence of chromosomal instability, arising through either numerical and/or structural alterations in chromosomes including the formation of ecDNA. It has long been recognized that oncogenes can be amplified not only on chromosomes but also on ecDNA. However, the frequency, importance, and specific role of ecDNA in cancer biology have not been well understood until recently. We believe the emerging science of ecDNA, first elucidated by our scientific founders and now the core focus of our Company, brings a new understanding of oncogene amplifications in cancer.</w:t>
      </w:r>
    </w:p>
    <w:p>
      <w:pPr>
        <w:spacing w:after="0" w:line="10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0820"/>
          </w:cols>
          <w:pgMar w:left="320" w:top="439" w:right="7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120" w:firstLine="521"/>
        <w:spacing w:after="0" w:line="244" w:lineRule="auto"/>
        <w:rPr>
          <w:sz w:val="20"/>
          <w:szCs w:val="20"/>
          <w:color w:val="auto"/>
        </w:rPr>
      </w:pPr>
      <w:r>
        <w:rPr>
          <w:rFonts w:ascii="Arial" w:cs="Arial" w:eastAsia="Arial" w:hAnsi="Arial"/>
          <w:sz w:val="17"/>
          <w:szCs w:val="17"/>
          <w:color w:val="auto"/>
        </w:rPr>
        <w:t>ecDNA are cancer-specific, circular fragments of genomic DNA that encode full-length genes and regulatory regions such as promoters. ecDNA are physically separate from chromosomes, but still reside in the nucleus, and have unique properties that make them a common cellular mechanism for oncogene amplification. ecDNA often range in size from 2-5 megabase pairs in length and are visible through various forms of microscopy, as seen in the figure below. They have been observed in cancer cells by pathologists for more than 60 years, but until recently their function was unknown.</w:t>
      </w:r>
    </w:p>
    <w:p>
      <w:pPr>
        <w:spacing w:after="0" w:line="271" w:lineRule="exact"/>
        <w:rPr>
          <w:sz w:val="20"/>
          <w:szCs w:val="20"/>
          <w:color w:val="auto"/>
        </w:rPr>
      </w:pPr>
    </w:p>
    <w:p>
      <w:pPr>
        <w:ind w:left="3640"/>
        <w:spacing w:after="0"/>
        <w:rPr>
          <w:sz w:val="20"/>
          <w:szCs w:val="20"/>
          <w:color w:val="auto"/>
        </w:rPr>
      </w:pPr>
      <w:r>
        <w:rPr>
          <w:rFonts w:ascii="Arial" w:cs="Arial" w:eastAsia="Arial" w:hAnsi="Arial"/>
          <w:sz w:val="17"/>
          <w:szCs w:val="17"/>
          <w:b w:val="1"/>
          <w:bCs w:val="1"/>
          <w:color w:val="auto"/>
        </w:rPr>
        <w:t>Microscopy Images of Chromosomes and ecDNA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137795</wp:posOffset>
            </wp:positionV>
            <wp:extent cx="3618230" cy="18091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618230" cy="180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0" w:right="80" w:firstLine="521"/>
        <w:spacing w:after="0" w:line="252" w:lineRule="auto"/>
        <w:rPr>
          <w:sz w:val="20"/>
          <w:szCs w:val="20"/>
          <w:color w:val="auto"/>
        </w:rPr>
      </w:pPr>
      <w:r>
        <w:rPr>
          <w:rFonts w:ascii="Arial" w:cs="Arial" w:eastAsia="Arial" w:hAnsi="Arial"/>
          <w:sz w:val="17"/>
          <w:szCs w:val="17"/>
          <w:color w:val="auto"/>
        </w:rPr>
        <w:t xml:space="preserve">Some of the most common driver oncogenes, such as </w:t>
      </w:r>
      <w:r>
        <w:rPr>
          <w:rFonts w:ascii="Arial" w:cs="Arial" w:eastAsia="Arial" w:hAnsi="Arial"/>
          <w:sz w:val="17"/>
          <w:szCs w:val="17"/>
          <w:i w:val="1"/>
          <w:iCs w:val="1"/>
          <w:color w:val="auto"/>
        </w:rPr>
        <w:t>EGFR</w:t>
      </w:r>
      <w:r>
        <w:rPr>
          <w:rFonts w:ascii="Arial" w:cs="Arial" w:eastAsia="Arial" w:hAnsi="Arial"/>
          <w:sz w:val="17"/>
          <w:szCs w:val="17"/>
          <w:color w:val="auto"/>
        </w:rPr>
        <w:t xml:space="preserve">, </w:t>
      </w:r>
      <w:r>
        <w:rPr>
          <w:rFonts w:ascii="Arial" w:cs="Arial" w:eastAsia="Arial" w:hAnsi="Arial"/>
          <w:sz w:val="17"/>
          <w:szCs w:val="17"/>
          <w:i w:val="1"/>
          <w:iCs w:val="1"/>
          <w:color w:val="auto"/>
        </w:rPr>
        <w:t>MYC</w:t>
      </w:r>
      <w:r>
        <w:rPr>
          <w:rFonts w:ascii="Arial" w:cs="Arial" w:eastAsia="Arial" w:hAnsi="Arial"/>
          <w:sz w:val="17"/>
          <w:szCs w:val="17"/>
          <w:color w:val="auto"/>
        </w:rPr>
        <w:t xml:space="preserve">, </w:t>
      </w:r>
      <w:r>
        <w:rPr>
          <w:rFonts w:ascii="Arial" w:cs="Arial" w:eastAsia="Arial" w:hAnsi="Arial"/>
          <w:sz w:val="17"/>
          <w:szCs w:val="17"/>
          <w:i w:val="1"/>
          <w:iCs w:val="1"/>
          <w:color w:val="auto"/>
        </w:rPr>
        <w:t>KRAS</w:t>
      </w:r>
      <w:r>
        <w:rPr>
          <w:rFonts w:ascii="Arial" w:cs="Arial" w:eastAsia="Arial" w:hAnsi="Arial"/>
          <w:sz w:val="17"/>
          <w:szCs w:val="17"/>
          <w:color w:val="auto"/>
        </w:rPr>
        <w:t xml:space="preserve">, </w:t>
      </w:r>
      <w:r>
        <w:rPr>
          <w:rFonts w:ascii="Arial" w:cs="Arial" w:eastAsia="Arial" w:hAnsi="Arial"/>
          <w:sz w:val="17"/>
          <w:szCs w:val="17"/>
          <w:i w:val="1"/>
          <w:iCs w:val="1"/>
          <w:color w:val="auto"/>
        </w:rPr>
        <w:t>FGFR</w:t>
      </w:r>
      <w:r>
        <w:rPr>
          <w:rFonts w:ascii="Arial" w:cs="Arial" w:eastAsia="Arial" w:hAnsi="Arial"/>
          <w:sz w:val="17"/>
          <w:szCs w:val="17"/>
          <w:color w:val="auto"/>
        </w:rPr>
        <w:t>, etc., are found to be amplified on ecDNA and can confer a selective fitness advantage to cancer cells. Oncogenes amplified on ecDNA have several features that distinguish them from amplifications located on chromosomes, including:</w:t>
      </w:r>
    </w:p>
    <w:p>
      <w:pPr>
        <w:spacing w:after="0" w:line="74" w:lineRule="exact"/>
        <w:rPr>
          <w:sz w:val="20"/>
          <w:szCs w:val="20"/>
          <w:color w:val="auto"/>
        </w:rPr>
      </w:pPr>
    </w:p>
    <w:p>
      <w:pPr>
        <w:ind w:left="1660" w:right="220" w:hanging="418"/>
        <w:spacing w:after="0" w:line="244" w:lineRule="auto"/>
        <w:tabs>
          <w:tab w:leader="none" w:pos="166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Overexpression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Genes on ecDNA behave differently from genes on chromosomes because ecDNA are not properly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regulated at the epigenetic level. ecDNA have a circular structure that is less tightly compacted compared to chromosomes, allowing easier access to their DNA. The easier access of the DNA to the cellular transcriptional machinery results in highly transcriptionally active genes that are often more actively expressed than genes located on chromosomes.</w:t>
      </w:r>
    </w:p>
    <w:p>
      <w:pPr>
        <w:spacing w:after="0" w:line="79" w:lineRule="exact"/>
        <w:rPr>
          <w:rFonts w:ascii="Arial" w:cs="Arial" w:eastAsia="Arial" w:hAnsi="Arial"/>
          <w:sz w:val="17"/>
          <w:szCs w:val="17"/>
          <w:color w:val="auto"/>
        </w:rPr>
      </w:pPr>
    </w:p>
    <w:p>
      <w:pPr>
        <w:ind w:left="1660" w:hanging="418"/>
        <w:spacing w:after="0" w:line="247" w:lineRule="auto"/>
        <w:tabs>
          <w:tab w:leader="none" w:pos="166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Heterogeneity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ecDNA lack centromeres, a critical regulatory component of chromosomal segregation in cell division.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Thus, in contrast to chromosomes, ecDNA can segregate unequally during cell division. This property supports a non-Mendelian inheritance pattern for ecDNA, enabling extreme gene copy number changes in relatively few cell divisions and extensive copy number heterogeneity, thereby driving rapid adaptability and tumor evolution.</w:t>
      </w:r>
    </w:p>
    <w:p>
      <w:pPr>
        <w:spacing w:after="0" w:line="128" w:lineRule="exact"/>
        <w:rPr>
          <w:sz w:val="20"/>
          <w:szCs w:val="20"/>
          <w:color w:val="auto"/>
        </w:rPr>
      </w:pPr>
    </w:p>
    <w:p>
      <w:pPr>
        <w:ind w:left="420" w:right="480"/>
        <w:spacing w:after="0" w:line="270" w:lineRule="auto"/>
        <w:rPr>
          <w:sz w:val="20"/>
          <w:szCs w:val="20"/>
          <w:color w:val="auto"/>
        </w:rPr>
      </w:pPr>
      <w:r>
        <w:rPr>
          <w:rFonts w:ascii="Arial" w:cs="Arial" w:eastAsia="Arial" w:hAnsi="Arial"/>
          <w:sz w:val="17"/>
          <w:szCs w:val="17"/>
          <w:color w:val="auto"/>
        </w:rPr>
        <w:t>These features distinguish oncogene amplification on ecDNA from other forms of oncogenic alterations and uniquely enable ecDNA-bearing tumors to adapt and evade approved therapeutics such as targeted therapies.</w:t>
      </w:r>
    </w:p>
    <w:p>
      <w:pPr>
        <w:spacing w:after="0" w:line="8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0840"/>
          </w:cols>
          <w:pgMar w:left="320" w:top="439" w:right="7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1620"/>
        <w:spacing w:after="0"/>
        <w:rPr>
          <w:sz w:val="20"/>
          <w:szCs w:val="20"/>
          <w:color w:val="auto"/>
        </w:rPr>
      </w:pPr>
      <w:r>
        <w:rPr>
          <w:rFonts w:ascii="Arial" w:cs="Arial" w:eastAsia="Arial" w:hAnsi="Arial"/>
          <w:sz w:val="17"/>
          <w:szCs w:val="17"/>
          <w:b w:val="1"/>
          <w:bCs w:val="1"/>
          <w:color w:val="auto"/>
        </w:rPr>
        <w:t>Circular Shape of ecDNA Enhances Transcriptional Activity, Leading to High Oncogene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137795</wp:posOffset>
            </wp:positionV>
            <wp:extent cx="3716020" cy="2685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716020" cy="268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180"/>
        <w:spacing w:after="0"/>
        <w:rPr>
          <w:sz w:val="20"/>
          <w:szCs w:val="20"/>
          <w:color w:val="auto"/>
        </w:rPr>
      </w:pPr>
      <w:r>
        <w:rPr>
          <w:rFonts w:ascii="Arial" w:cs="Arial" w:eastAsia="Arial" w:hAnsi="Arial"/>
          <w:sz w:val="17"/>
          <w:szCs w:val="17"/>
          <w:b w:val="1"/>
          <w:bCs w:val="1"/>
          <w:color w:val="auto"/>
        </w:rPr>
        <w:t>ecDNA Are Inherited via a Non-Mendelian Pattern, Leading to Genomic Heterogeneity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1113155</wp:posOffset>
            </wp:positionH>
            <wp:positionV relativeFrom="paragraph">
              <wp:posOffset>137795</wp:posOffset>
            </wp:positionV>
            <wp:extent cx="4916805" cy="22713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916805"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20" w:firstLine="521"/>
        <w:spacing w:after="0" w:line="242" w:lineRule="auto"/>
        <w:rPr>
          <w:sz w:val="20"/>
          <w:szCs w:val="20"/>
          <w:color w:val="auto"/>
        </w:rPr>
      </w:pPr>
      <w:r>
        <w:rPr>
          <w:rFonts w:ascii="Arial" w:cs="Arial" w:eastAsia="Arial" w:hAnsi="Arial"/>
          <w:sz w:val="17"/>
          <w:szCs w:val="17"/>
          <w:color w:val="auto"/>
        </w:rPr>
        <w:t>Until recently, the presence of ecDNA in cancer was thought to be a rare event, approximately 1.4% of cancers, and of unclear significance. In 2014, it was demonstrated that ecDNA-enabled gene amplifications are a primary driver of oncogenesis and play a critical role in driving tumor heterogeneity and enabling resistance to targeted therapies. In 2017, it was further demonstrated that ecDNA-enabled gene amplifications were observed in many human cancer types but almost never found in normal cells. More recent publications have shown ecDNA-enabled gene amplifications to be present in more than 14% of cancer patients, suggesting an incident population of approximately 750,000 new</w:t>
      </w:r>
    </w:p>
    <w:p>
      <w:pPr>
        <w:spacing w:after="0" w:line="10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0780"/>
          </w:cols>
          <w:pgMar w:left="320" w:top="439" w:right="7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140"/>
        <w:spacing w:after="0" w:line="252" w:lineRule="auto"/>
        <w:rPr>
          <w:sz w:val="20"/>
          <w:szCs w:val="20"/>
          <w:color w:val="auto"/>
        </w:rPr>
      </w:pPr>
      <w:r>
        <w:rPr>
          <w:rFonts w:ascii="Arial" w:cs="Arial" w:eastAsia="Arial" w:hAnsi="Arial"/>
          <w:sz w:val="17"/>
          <w:szCs w:val="17"/>
          <w:color w:val="auto"/>
        </w:rPr>
        <w:t>patients each year in the major addressable markets of the United States, European Union, and Japan, of which approximately 200,000 new patients are in the United States each year. More than half of all cancer cases with high-copy number gene amplification (copy number value &gt;8) have been observed to be in association with ecDNA.</w:t>
      </w:r>
    </w:p>
    <w:p>
      <w:pPr>
        <w:spacing w:after="0" w:line="266" w:lineRule="exact"/>
        <w:rPr>
          <w:sz w:val="20"/>
          <w:szCs w:val="20"/>
          <w:color w:val="auto"/>
        </w:rPr>
      </w:pPr>
    </w:p>
    <w:p>
      <w:pPr>
        <w:jc w:val="center"/>
        <w:ind w:left="820"/>
        <w:spacing w:after="0" w:line="280" w:lineRule="auto"/>
        <w:rPr>
          <w:sz w:val="20"/>
          <w:szCs w:val="20"/>
          <w:color w:val="auto"/>
        </w:rPr>
      </w:pPr>
      <w:r>
        <w:rPr>
          <w:rFonts w:ascii="Arial" w:cs="Arial" w:eastAsia="Arial" w:hAnsi="Arial"/>
          <w:sz w:val="17"/>
          <w:szCs w:val="17"/>
          <w:b w:val="1"/>
          <w:bCs w:val="1"/>
          <w:color w:val="auto"/>
        </w:rPr>
        <w:t>Incident Population of Cancer Patients with ecDNA in the United States, European Union, and Japan is Estimated to be 750,000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93980</wp:posOffset>
            </wp:positionV>
            <wp:extent cx="2539365" cy="27178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39365" cy="271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20" w:right="20" w:firstLine="521"/>
        <w:spacing w:after="0" w:line="247" w:lineRule="auto"/>
        <w:rPr>
          <w:sz w:val="20"/>
          <w:szCs w:val="20"/>
          <w:color w:val="auto"/>
        </w:rPr>
      </w:pPr>
      <w:r>
        <w:rPr>
          <w:rFonts w:ascii="Arial" w:cs="Arial" w:eastAsia="Arial" w:hAnsi="Arial"/>
          <w:sz w:val="17"/>
          <w:szCs w:val="17"/>
          <w:color w:val="auto"/>
        </w:rPr>
        <w:t>As seen in the figure below, many of the most aggressive tumor types contain the highest prevalence of ecDNA, including approximately 60% of glioblastomas and just under 50% of sarcomas. In fact, ecDNA was observed in more than 25% of the cases of the following tumor types: glioblastoma, esophageal cancer, sarcoma, ovarian cancer, bladder cancer, non-small cell lung cancer (NSCLC), squamous cell carcinoma, breast cancer, head and neck squamous cell carcinoma, and gastric cancer.</w:t>
      </w:r>
    </w:p>
    <w:p>
      <w:pPr>
        <w:spacing w:after="0" w:line="10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0760"/>
          </w:cols>
          <w:pgMar w:left="320" w:top="439" w:right="8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2520"/>
        <w:spacing w:after="0"/>
        <w:rPr>
          <w:sz w:val="20"/>
          <w:szCs w:val="20"/>
          <w:color w:val="auto"/>
        </w:rPr>
      </w:pPr>
      <w:r>
        <w:rPr>
          <w:rFonts w:ascii="Arial" w:cs="Arial" w:eastAsia="Arial" w:hAnsi="Arial"/>
          <w:sz w:val="17"/>
          <w:szCs w:val="17"/>
          <w:b w:val="1"/>
          <w:bCs w:val="1"/>
          <w:color w:val="auto"/>
        </w:rPr>
        <w:t>ecDNA Occur Broadly Across Tumor Types but Not in Normal Healthy Tissue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1120775</wp:posOffset>
            </wp:positionH>
            <wp:positionV relativeFrom="paragraph">
              <wp:posOffset>137795</wp:posOffset>
            </wp:positionV>
            <wp:extent cx="4908550" cy="21583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908550" cy="2158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20" w:firstLine="521"/>
        <w:spacing w:after="0" w:line="247" w:lineRule="auto"/>
        <w:rPr>
          <w:sz w:val="20"/>
          <w:szCs w:val="20"/>
          <w:color w:val="auto"/>
        </w:rPr>
      </w:pPr>
      <w:r>
        <w:rPr>
          <w:rFonts w:ascii="Arial" w:cs="Arial" w:eastAsia="Arial" w:hAnsi="Arial"/>
          <w:sz w:val="17"/>
          <w:szCs w:val="17"/>
          <w:color w:val="auto"/>
        </w:rPr>
        <w:t>Unfortunately, due to ecDNA’s unique properties in cancer cells, as seen in the figure below, patients whose cancers harbor ecDNA-enabled oncogene amplification experience significantly shorter survival than cancer patients whose tumors are driven by other molecular alterations, such as mutations, fusions, or even linear (non-ecDNA) amplifications. These data strongly indicate that patients with ecDNA-enabled cancers are in dire need of a new therapeutic paradigm.</w:t>
      </w:r>
    </w:p>
    <w:p>
      <w:pPr>
        <w:spacing w:after="0" w:line="269"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Patients with Oncogene Amplification on ecDNA Have Worse Survival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1924050</wp:posOffset>
            </wp:positionH>
            <wp:positionV relativeFrom="paragraph">
              <wp:posOffset>137795</wp:posOffset>
            </wp:positionV>
            <wp:extent cx="3293745" cy="23444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93745" cy="2344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Role of ecDNA in Cancer’s Resistance to Therapy</w:t>
      </w:r>
    </w:p>
    <w:p>
      <w:pPr>
        <w:spacing w:after="0" w:line="98" w:lineRule="exact"/>
        <w:rPr>
          <w:sz w:val="20"/>
          <w:szCs w:val="20"/>
          <w:color w:val="auto"/>
        </w:rPr>
      </w:pPr>
    </w:p>
    <w:p>
      <w:pPr>
        <w:ind w:left="420" w:right="400" w:firstLine="521"/>
        <w:spacing w:after="0" w:line="270" w:lineRule="auto"/>
        <w:rPr>
          <w:sz w:val="20"/>
          <w:szCs w:val="20"/>
          <w:color w:val="auto"/>
        </w:rPr>
      </w:pPr>
      <w:r>
        <w:rPr>
          <w:rFonts w:ascii="Arial" w:cs="Arial" w:eastAsia="Arial" w:hAnsi="Arial"/>
          <w:sz w:val="17"/>
          <w:szCs w:val="17"/>
          <w:color w:val="auto"/>
        </w:rPr>
        <w:t>The remarkable genomic plasticity of ecDNA-enabled tumors enables cancers to resist therapies by rapidly adapting, or by switching their oncogenic drivers.</w:t>
      </w:r>
    </w:p>
    <w:p>
      <w:pPr>
        <w:spacing w:after="0" w:line="84"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0560"/>
          </w:cols>
          <w:pgMar w:left="320" w:top="439" w:right="10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20" w:firstLine="521"/>
        <w:spacing w:after="0" w:line="241" w:lineRule="auto"/>
        <w:rPr>
          <w:sz w:val="20"/>
          <w:szCs w:val="20"/>
          <w:color w:val="auto"/>
        </w:rPr>
      </w:pPr>
      <w:r>
        <w:rPr>
          <w:rFonts w:ascii="Arial" w:cs="Arial" w:eastAsia="Arial" w:hAnsi="Arial"/>
          <w:sz w:val="17"/>
          <w:szCs w:val="17"/>
          <w:color w:val="auto"/>
        </w:rPr>
        <w:t xml:space="preserve">ecDNA’s role in enabling resistance to molecular targeted therapies has been elucidated. For instance, as seen in the figure below, preclinical studies in a gastric cancer cell line containing </w:t>
      </w:r>
      <w:r>
        <w:rPr>
          <w:rFonts w:ascii="Arial" w:cs="Arial" w:eastAsia="Arial" w:hAnsi="Arial"/>
          <w:sz w:val="17"/>
          <w:szCs w:val="17"/>
          <w:i w:val="1"/>
          <w:iCs w:val="1"/>
          <w:color w:val="auto"/>
        </w:rPr>
        <w:t>FGFR2</w:t>
      </w:r>
      <w:r>
        <w:rPr>
          <w:rFonts w:ascii="Arial" w:cs="Arial" w:eastAsia="Arial" w:hAnsi="Arial"/>
          <w:sz w:val="17"/>
          <w:szCs w:val="17"/>
          <w:color w:val="auto"/>
        </w:rPr>
        <w:t xml:space="preserve"> amplified on ecDNA demonstrated that cellular resistance to the pan-FGFR inhibitor infigratinib could be driven by oncogene dependency switching from </w:t>
      </w:r>
      <w:r>
        <w:rPr>
          <w:rFonts w:ascii="Arial" w:cs="Arial" w:eastAsia="Arial" w:hAnsi="Arial"/>
          <w:sz w:val="17"/>
          <w:szCs w:val="17"/>
          <w:i w:val="1"/>
          <w:iCs w:val="1"/>
          <w:color w:val="auto"/>
        </w:rPr>
        <w:t>FGFR2</w:t>
      </w:r>
      <w:r>
        <w:rPr>
          <w:rFonts w:ascii="Arial" w:cs="Arial" w:eastAsia="Arial" w:hAnsi="Arial"/>
          <w:sz w:val="17"/>
          <w:szCs w:val="17"/>
          <w:color w:val="auto"/>
        </w:rPr>
        <w:t xml:space="preserve"> amplification on ecDNA to a new, rapid amplification of </w:t>
      </w:r>
      <w:r>
        <w:rPr>
          <w:rFonts w:ascii="Arial" w:cs="Arial" w:eastAsia="Arial" w:hAnsi="Arial"/>
          <w:sz w:val="17"/>
          <w:szCs w:val="17"/>
          <w:i w:val="1"/>
          <w:iCs w:val="1"/>
          <w:color w:val="auto"/>
        </w:rPr>
        <w:t>EGFR</w:t>
      </w:r>
      <w:r>
        <w:rPr>
          <w:rFonts w:ascii="Arial" w:cs="Arial" w:eastAsia="Arial" w:hAnsi="Arial"/>
          <w:sz w:val="17"/>
          <w:szCs w:val="17"/>
          <w:color w:val="auto"/>
        </w:rPr>
        <w:t xml:space="preserve"> on ecDNA. Strikingly, this dependency was reversed back to </w:t>
      </w:r>
      <w:r>
        <w:rPr>
          <w:rFonts w:ascii="Arial" w:cs="Arial" w:eastAsia="Arial" w:hAnsi="Arial"/>
          <w:sz w:val="17"/>
          <w:szCs w:val="17"/>
          <w:i w:val="1"/>
          <w:iCs w:val="1"/>
          <w:color w:val="auto"/>
        </w:rPr>
        <w:t>FGFR2</w:t>
      </w:r>
      <w:r>
        <w:rPr>
          <w:rFonts w:ascii="Arial" w:cs="Arial" w:eastAsia="Arial" w:hAnsi="Arial"/>
          <w:sz w:val="17"/>
          <w:szCs w:val="17"/>
          <w:color w:val="auto"/>
        </w:rPr>
        <w:t xml:space="preserve"> amplification on ecDNA under EGFR inhibitory pressure via erlotinib. In each case, the initial cell population was sensitive to the respective targeted therapy, resulting in short lived anti-proliferative effects lasting several weeks. Regrowth and resistance to the targeted therapies occurred coincident with switching of the oncogenes amplified on ecDNA.</w:t>
      </w:r>
    </w:p>
    <w:p>
      <w:pPr>
        <w:spacing w:after="0" w:line="274" w:lineRule="exact"/>
        <w:rPr>
          <w:sz w:val="20"/>
          <w:szCs w:val="20"/>
          <w:color w:val="auto"/>
        </w:rPr>
      </w:pPr>
    </w:p>
    <w:p>
      <w:pPr>
        <w:jc w:val="center"/>
        <w:ind w:left="760" w:right="120"/>
        <w:spacing w:after="0" w:line="280" w:lineRule="auto"/>
        <w:rPr>
          <w:sz w:val="20"/>
          <w:szCs w:val="20"/>
          <w:color w:val="auto"/>
        </w:rPr>
      </w:pPr>
      <w:r>
        <w:rPr>
          <w:rFonts w:ascii="Arial" w:cs="Arial" w:eastAsia="Arial" w:hAnsi="Arial"/>
          <w:sz w:val="17"/>
          <w:szCs w:val="17"/>
          <w:b w:val="1"/>
          <w:bCs w:val="1"/>
          <w:color w:val="auto"/>
        </w:rPr>
        <w:t>Dynamic Changes in Average Oncogene Copy Number on ecDNA in Gastric Cancer Cells in Response to Sequential Targeted Therapeutic Pressure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1348105</wp:posOffset>
            </wp:positionH>
            <wp:positionV relativeFrom="paragraph">
              <wp:posOffset>93980</wp:posOffset>
            </wp:positionV>
            <wp:extent cx="4453890" cy="28803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45389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20" w:firstLine="521"/>
        <w:spacing w:after="0" w:line="186" w:lineRule="auto"/>
        <w:rPr>
          <w:sz w:val="20"/>
          <w:szCs w:val="20"/>
          <w:color w:val="auto"/>
        </w:rPr>
      </w:pPr>
      <w:r>
        <w:rPr>
          <w:rFonts w:ascii="Arial" w:cs="Arial" w:eastAsia="Arial" w:hAnsi="Arial"/>
          <w:sz w:val="17"/>
          <w:szCs w:val="17"/>
          <w:color w:val="auto"/>
        </w:rPr>
        <w:t xml:space="preserve">Similarly, mutant oncogenes, such as </w:t>
      </w:r>
      <w:r>
        <w:rPr>
          <w:rFonts w:ascii="Arial" w:cs="Arial" w:eastAsia="Arial" w:hAnsi="Arial"/>
          <w:sz w:val="17"/>
          <w:szCs w:val="17"/>
          <w:i w:val="1"/>
          <w:iCs w:val="1"/>
          <w:color w:val="auto"/>
        </w:rPr>
        <w:t>BRAF</w:t>
      </w:r>
      <w:r>
        <w:rPr>
          <w:rFonts w:ascii="Arial" w:cs="Arial" w:eastAsia="Arial" w:hAnsi="Arial"/>
          <w:sz w:val="25"/>
          <w:szCs w:val="25"/>
          <w:i w:val="1"/>
          <w:iCs w:val="1"/>
          <w:color w:val="auto"/>
          <w:vertAlign w:val="superscript"/>
        </w:rPr>
        <w:t>V600E</w:t>
      </w:r>
      <w:r>
        <w:rPr>
          <w:rFonts w:ascii="Arial" w:cs="Arial" w:eastAsia="Arial" w:hAnsi="Arial"/>
          <w:sz w:val="17"/>
          <w:szCs w:val="17"/>
          <w:i w:val="1"/>
          <w:iCs w:val="1"/>
          <w:color w:val="auto"/>
        </w:rPr>
        <w:t>, KRAS</w:t>
      </w:r>
      <w:r>
        <w:rPr>
          <w:rFonts w:ascii="Arial" w:cs="Arial" w:eastAsia="Arial" w:hAnsi="Arial"/>
          <w:sz w:val="25"/>
          <w:szCs w:val="25"/>
          <w:i w:val="1"/>
          <w:iCs w:val="1"/>
          <w:color w:val="auto"/>
          <w:vertAlign w:val="superscript"/>
        </w:rPr>
        <w:t>G12C</w:t>
      </w:r>
      <w:r>
        <w:rPr>
          <w:rFonts w:ascii="Arial" w:cs="Arial" w:eastAsia="Arial" w:hAnsi="Arial"/>
          <w:sz w:val="17"/>
          <w:szCs w:val="17"/>
          <w:color w:val="auto"/>
        </w:rPr>
        <w:t xml:space="preserve">, etc., can be amplified on ecDNA as a resistance mechanism to corresponding targeted therapies, such as BRAF or KRAS inhibitors. For example, a mutant </w:t>
      </w:r>
      <w:r>
        <w:rPr>
          <w:rFonts w:ascii="Arial" w:cs="Arial" w:eastAsia="Arial" w:hAnsi="Arial"/>
          <w:sz w:val="17"/>
          <w:szCs w:val="17"/>
          <w:i w:val="1"/>
          <w:iCs w:val="1"/>
          <w:color w:val="auto"/>
        </w:rPr>
        <w:t>BRAF</w:t>
      </w:r>
      <w:r>
        <w:rPr>
          <w:rFonts w:ascii="Arial" w:cs="Arial" w:eastAsia="Arial" w:hAnsi="Arial"/>
          <w:sz w:val="25"/>
          <w:szCs w:val="25"/>
          <w:i w:val="1"/>
          <w:iCs w:val="1"/>
          <w:color w:val="auto"/>
          <w:vertAlign w:val="superscript"/>
        </w:rPr>
        <w:t>V600E</w:t>
      </w:r>
      <w:r>
        <w:rPr>
          <w:rFonts w:ascii="Arial" w:cs="Arial" w:eastAsia="Arial" w:hAnsi="Arial"/>
          <w:sz w:val="17"/>
          <w:szCs w:val="17"/>
          <w:color w:val="auto"/>
        </w:rPr>
        <w:t xml:space="preserve"> melanoma cell line developed ecDNA-enabled amplification of </w:t>
      </w:r>
      <w:r>
        <w:rPr>
          <w:rFonts w:ascii="Arial" w:cs="Arial" w:eastAsia="Arial" w:hAnsi="Arial"/>
          <w:sz w:val="17"/>
          <w:szCs w:val="17"/>
          <w:i w:val="1"/>
          <w:iCs w:val="1"/>
          <w:color w:val="auto"/>
        </w:rPr>
        <w:t>BRAF</w:t>
      </w:r>
      <w:r>
        <w:rPr>
          <w:rFonts w:ascii="Arial" w:cs="Arial" w:eastAsia="Arial" w:hAnsi="Arial"/>
          <w:sz w:val="25"/>
          <w:szCs w:val="25"/>
          <w:i w:val="1"/>
          <w:iCs w:val="1"/>
          <w:color w:val="auto"/>
          <w:vertAlign w:val="superscript"/>
        </w:rPr>
        <w:t>V600</w:t>
      </w:r>
      <w:r>
        <w:rPr>
          <w:rFonts w:ascii="Arial" w:cs="Arial" w:eastAsia="Arial" w:hAnsi="Arial"/>
          <w:sz w:val="25"/>
          <w:szCs w:val="25"/>
          <w:color w:val="auto"/>
          <w:vertAlign w:val="superscript"/>
        </w:rPr>
        <w:t>E</w:t>
      </w:r>
      <w:r>
        <w:rPr>
          <w:rFonts w:ascii="Arial" w:cs="Arial" w:eastAsia="Arial" w:hAnsi="Arial"/>
          <w:sz w:val="17"/>
          <w:szCs w:val="17"/>
          <w:color w:val="auto"/>
        </w:rPr>
        <w:t xml:space="preserve"> after exposure to dual BRAF/MEK inhibition. This phenomenon has also been documented in clinical cases of melanoma patients treated with an approved BRAF/MEK inhibition regimen. Relatedly, amplification of </w:t>
      </w:r>
      <w:r>
        <w:rPr>
          <w:rFonts w:ascii="Arial" w:cs="Arial" w:eastAsia="Arial" w:hAnsi="Arial"/>
          <w:sz w:val="17"/>
          <w:szCs w:val="17"/>
          <w:i w:val="1"/>
          <w:iCs w:val="1"/>
          <w:color w:val="auto"/>
        </w:rPr>
        <w:t>KRAS</w:t>
      </w:r>
      <w:r>
        <w:rPr>
          <w:rFonts w:ascii="Arial" w:cs="Arial" w:eastAsia="Arial" w:hAnsi="Arial"/>
          <w:sz w:val="25"/>
          <w:szCs w:val="25"/>
          <w:i w:val="1"/>
          <w:iCs w:val="1"/>
          <w:color w:val="auto"/>
          <w:vertAlign w:val="superscript"/>
        </w:rPr>
        <w:t>G12C</w:t>
      </w:r>
      <w:r>
        <w:rPr>
          <w:rFonts w:ascii="Arial" w:cs="Arial" w:eastAsia="Arial" w:hAnsi="Arial"/>
          <w:sz w:val="17"/>
          <w:szCs w:val="17"/>
          <w:color w:val="auto"/>
        </w:rPr>
        <w:t xml:space="preserve"> on ecDNA has been reported as a clinical resistance mechanism to the KRAS</w:t>
      </w:r>
      <w:r>
        <w:rPr>
          <w:rFonts w:ascii="Arial" w:cs="Arial" w:eastAsia="Arial" w:hAnsi="Arial"/>
          <w:sz w:val="25"/>
          <w:szCs w:val="25"/>
          <w:color w:val="auto"/>
          <w:vertAlign w:val="superscript"/>
        </w:rPr>
        <w:t>G12C</w:t>
      </w:r>
      <w:r>
        <w:rPr>
          <w:rFonts w:ascii="Arial" w:cs="Arial" w:eastAsia="Arial" w:hAnsi="Arial"/>
          <w:sz w:val="17"/>
          <w:szCs w:val="17"/>
          <w:color w:val="auto"/>
        </w:rPr>
        <w:t xml:space="preserve"> inhibitor adagrasib and to the KRAS</w:t>
      </w:r>
      <w:r>
        <w:rPr>
          <w:rFonts w:ascii="Arial" w:cs="Arial" w:eastAsia="Arial" w:hAnsi="Arial"/>
          <w:sz w:val="25"/>
          <w:szCs w:val="25"/>
          <w:color w:val="auto"/>
          <w:vertAlign w:val="superscript"/>
        </w:rPr>
        <w:t>G12C</w:t>
      </w:r>
      <w:r>
        <w:rPr>
          <w:rFonts w:ascii="Arial" w:cs="Arial" w:eastAsia="Arial" w:hAnsi="Arial"/>
          <w:sz w:val="17"/>
          <w:szCs w:val="17"/>
          <w:color w:val="auto"/>
        </w:rPr>
        <w:t xml:space="preserve"> inhibitor sotorasib in combination with EGFR inhibitors; this ecDNA enabled amplification was observed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to confer resistance to both clinically validated KRAS</w:t>
      </w:r>
      <w:r>
        <w:rPr>
          <w:rFonts w:ascii="Arial" w:cs="Arial" w:eastAsia="Arial" w:hAnsi="Arial"/>
          <w:sz w:val="25"/>
          <w:szCs w:val="25"/>
          <w:color w:val="auto"/>
          <w:vertAlign w:val="superscript"/>
        </w:rPr>
        <w:t>G12C</w:t>
      </w:r>
      <w:r>
        <w:rPr>
          <w:rFonts w:ascii="Arial" w:cs="Arial" w:eastAsia="Arial" w:hAnsi="Arial"/>
          <w:sz w:val="17"/>
          <w:szCs w:val="17"/>
          <w:color w:val="auto"/>
        </w:rPr>
        <w:t xml:space="preserve"> inhibitors, adagrasib and sotorasib.</w:t>
      </w:r>
    </w:p>
    <w:p>
      <w:pPr>
        <w:spacing w:after="0" w:line="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0820"/>
          </w:cols>
          <w:pgMar w:left="320" w:top="439" w:right="7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Treatment of Colorectal Cancer Cells with KRAS</w:t>
      </w:r>
      <w:r>
        <w:rPr>
          <w:rFonts w:ascii="Arial" w:cs="Arial" w:eastAsia="Arial" w:hAnsi="Arial"/>
          <w:sz w:val="24"/>
          <w:szCs w:val="24"/>
          <w:b w:val="1"/>
          <w:bCs w:val="1"/>
          <w:color w:val="auto"/>
          <w:vertAlign w:val="superscript"/>
        </w:rPr>
        <w:t>G12C</w:t>
      </w:r>
      <w:r>
        <w:rPr>
          <w:rFonts w:ascii="Arial" w:cs="Arial" w:eastAsia="Arial" w:hAnsi="Arial"/>
          <w:sz w:val="16"/>
          <w:szCs w:val="16"/>
          <w:b w:val="1"/>
          <w:bCs w:val="1"/>
          <w:color w:val="auto"/>
        </w:rPr>
        <w:t xml:space="preserve"> Inhibitors Generated Resistance via Amplification of </w:t>
      </w:r>
      <w:r>
        <w:rPr>
          <w:rFonts w:ascii="Arial" w:cs="Arial" w:eastAsia="Arial" w:hAnsi="Arial"/>
          <w:sz w:val="16"/>
          <w:szCs w:val="16"/>
          <w:b w:val="1"/>
          <w:bCs w:val="1"/>
          <w:i w:val="1"/>
          <w:iCs w:val="1"/>
          <w:color w:val="auto"/>
        </w:rPr>
        <w:t>KRAS</w:t>
      </w:r>
      <w:r>
        <w:rPr>
          <w:rFonts w:ascii="Arial" w:cs="Arial" w:eastAsia="Arial" w:hAnsi="Arial"/>
          <w:sz w:val="24"/>
          <w:szCs w:val="24"/>
          <w:b w:val="1"/>
          <w:bCs w:val="1"/>
          <w:i w:val="1"/>
          <w:iCs w:val="1"/>
          <w:color w:val="auto"/>
          <w:vertAlign w:val="superscript"/>
        </w:rPr>
        <w:t>G12C</w:t>
      </w:r>
      <w:r>
        <w:rPr>
          <w:rFonts w:ascii="Arial" w:cs="Arial" w:eastAsia="Arial" w:hAnsi="Arial"/>
          <w:sz w:val="16"/>
          <w:szCs w:val="16"/>
          <w:b w:val="1"/>
          <w:bCs w:val="1"/>
          <w:color w:val="auto"/>
        </w:rPr>
        <w:t xml:space="preserve"> on ecDNA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1461770</wp:posOffset>
            </wp:positionH>
            <wp:positionV relativeFrom="paragraph">
              <wp:posOffset>102870</wp:posOffset>
            </wp:positionV>
            <wp:extent cx="4218940" cy="34721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218940" cy="347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20" w:right="200" w:firstLine="521"/>
        <w:spacing w:after="0" w:line="247" w:lineRule="auto"/>
        <w:rPr>
          <w:sz w:val="20"/>
          <w:szCs w:val="20"/>
          <w:color w:val="auto"/>
        </w:rPr>
      </w:pPr>
      <w:r>
        <w:rPr>
          <w:rFonts w:ascii="Arial" w:cs="Arial" w:eastAsia="Arial" w:hAnsi="Arial"/>
          <w:sz w:val="17"/>
          <w:szCs w:val="17"/>
          <w:color w:val="auto"/>
        </w:rPr>
        <w:t xml:space="preserve">In other models, evasion of therapeutic response to the EGFR inhibitor erlotinib was facilitated by rapid loss of the population of </w:t>
      </w:r>
      <w:r>
        <w:rPr>
          <w:rFonts w:ascii="Arial" w:cs="Arial" w:eastAsia="Arial" w:hAnsi="Arial"/>
          <w:sz w:val="17"/>
          <w:szCs w:val="17"/>
          <w:i w:val="1"/>
          <w:iCs w:val="1"/>
          <w:color w:val="auto"/>
        </w:rPr>
        <w:t xml:space="preserve">EGFRvIII </w:t>
      </w:r>
      <w:r>
        <w:rPr>
          <w:rFonts w:ascii="Arial" w:cs="Arial" w:eastAsia="Arial" w:hAnsi="Arial"/>
          <w:sz w:val="17"/>
          <w:szCs w:val="17"/>
          <w:color w:val="auto"/>
        </w:rPr>
        <w:t>amplifications on ecDNA in patient-derived glioblastoma cells, contemporaneous with occurrence of a new cell population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containing </w:t>
      </w:r>
      <w:r>
        <w:rPr>
          <w:rFonts w:ascii="Arial" w:cs="Arial" w:eastAsia="Arial" w:hAnsi="Arial"/>
          <w:sz w:val="17"/>
          <w:szCs w:val="17"/>
          <w:i w:val="1"/>
          <w:iCs w:val="1"/>
          <w:color w:val="auto"/>
        </w:rPr>
        <w:t>MDM2</w:t>
      </w:r>
      <w:r>
        <w:rPr>
          <w:rFonts w:ascii="Arial" w:cs="Arial" w:eastAsia="Arial" w:hAnsi="Arial"/>
          <w:sz w:val="17"/>
          <w:szCs w:val="17"/>
          <w:color w:val="auto"/>
        </w:rPr>
        <w:t xml:space="preserve"> amplification on ecDNA; this observed effect was consistent with an equivalent lack of response to EGFR inhibitors in </w:t>
      </w:r>
      <w:r>
        <w:rPr>
          <w:rFonts w:ascii="Arial" w:cs="Arial" w:eastAsia="Arial" w:hAnsi="Arial"/>
          <w:sz w:val="17"/>
          <w:szCs w:val="17"/>
          <w:i w:val="1"/>
          <w:iCs w:val="1"/>
          <w:color w:val="auto"/>
        </w:rPr>
        <w:t xml:space="preserve">EGFR </w:t>
      </w:r>
      <w:r>
        <w:rPr>
          <w:rFonts w:ascii="Arial" w:cs="Arial" w:eastAsia="Arial" w:hAnsi="Arial"/>
          <w:sz w:val="17"/>
          <w:szCs w:val="17"/>
          <w:color w:val="auto"/>
        </w:rPr>
        <w:t>amplified cancer patients.</w:t>
      </w:r>
    </w:p>
    <w:p>
      <w:pPr>
        <w:spacing w:after="0" w:line="166" w:lineRule="exact"/>
        <w:rPr>
          <w:sz w:val="20"/>
          <w:szCs w:val="20"/>
          <w:color w:val="auto"/>
        </w:rPr>
      </w:pPr>
    </w:p>
    <w:p>
      <w:pPr>
        <w:ind w:left="420" w:firstLine="521"/>
        <w:spacing w:after="0" w:line="244" w:lineRule="auto"/>
        <w:rPr>
          <w:sz w:val="20"/>
          <w:szCs w:val="20"/>
          <w:color w:val="auto"/>
        </w:rPr>
      </w:pPr>
      <w:r>
        <w:rPr>
          <w:rFonts w:ascii="Arial" w:cs="Arial" w:eastAsia="Arial" w:hAnsi="Arial"/>
          <w:sz w:val="17"/>
          <w:szCs w:val="17"/>
          <w:color w:val="auto"/>
        </w:rPr>
        <w:t xml:space="preserve">ecDNA can also facilitate resistance to therapeutic classes outside of targeted therapies. ecDNA-enabled resistance to chemotherapy was first demonstrated in a mouse cancer cell line whereby methotrexate treatment led to high amplification of </w:t>
      </w:r>
      <w:r>
        <w:rPr>
          <w:rFonts w:ascii="Arial" w:cs="Arial" w:eastAsia="Arial" w:hAnsi="Arial"/>
          <w:sz w:val="17"/>
          <w:szCs w:val="17"/>
          <w:i w:val="1"/>
          <w:iCs w:val="1"/>
          <w:color w:val="auto"/>
        </w:rPr>
        <w:t>DHFR</w:t>
      </w:r>
      <w:r>
        <w:rPr>
          <w:rFonts w:ascii="Arial" w:cs="Arial" w:eastAsia="Arial" w:hAnsi="Arial"/>
          <w:sz w:val="17"/>
          <w:szCs w:val="17"/>
          <w:color w:val="auto"/>
        </w:rPr>
        <w:t xml:space="preserve"> on ecDNA, which was lost upon removal of methotrexate. Similar instances of </w:t>
      </w:r>
      <w:r>
        <w:rPr>
          <w:rFonts w:ascii="Arial" w:cs="Arial" w:eastAsia="Arial" w:hAnsi="Arial"/>
          <w:sz w:val="17"/>
          <w:szCs w:val="17"/>
          <w:i w:val="1"/>
          <w:iCs w:val="1"/>
          <w:color w:val="auto"/>
        </w:rPr>
        <w:t>DHFR</w:t>
      </w:r>
      <w:r>
        <w:rPr>
          <w:rFonts w:ascii="Arial" w:cs="Arial" w:eastAsia="Arial" w:hAnsi="Arial"/>
          <w:sz w:val="17"/>
          <w:szCs w:val="17"/>
          <w:color w:val="auto"/>
        </w:rPr>
        <w:t xml:space="preserve"> ecDNA amplification have been recapitulated in multiple human cancer cell lines. Furthermore, amplification of drug efflux pump genes on ecDNA, including the family of ABC transporters, has been observed to facilitate resistance to various chemotherapies and other modalities.</w:t>
      </w:r>
    </w:p>
    <w:p>
      <w:pPr>
        <w:spacing w:after="0" w:line="169" w:lineRule="exact"/>
        <w:rPr>
          <w:sz w:val="20"/>
          <w:szCs w:val="20"/>
          <w:color w:val="auto"/>
        </w:rPr>
      </w:pPr>
    </w:p>
    <w:p>
      <w:pPr>
        <w:ind w:left="420" w:right="80" w:firstLine="521"/>
        <w:spacing w:after="0" w:line="242" w:lineRule="auto"/>
        <w:rPr>
          <w:sz w:val="20"/>
          <w:szCs w:val="20"/>
          <w:color w:val="auto"/>
        </w:rPr>
      </w:pPr>
      <w:r>
        <w:rPr>
          <w:rFonts w:ascii="Arial" w:cs="Arial" w:eastAsia="Arial" w:hAnsi="Arial"/>
          <w:sz w:val="17"/>
          <w:szCs w:val="17"/>
          <w:color w:val="auto"/>
        </w:rPr>
        <w:t>Collectively, these data highlight the striking genomic plasticity and precipitous rise of ecDNA-enabled gene amplification that both drives oncogenesis and enables cancer cells to adapt to various therapeutic pressures, leading to rapid resistance. The rapid adaptability afforded by ecDNA-enabled genomic plasticity, including oncogene switching, helps account for the failure of targeted therapies against oncogene amplification-driven tumors, resulting in a futile, clinical ‘whack-a-mole’ phenomenon. We believe a new and differentiated strategy is needed to interfere with the underlying ecDNA biology that engenders tumor adaptability, heterogeneity, and therapeutic resistance.</w:t>
      </w:r>
    </w:p>
    <w:p>
      <w:pPr>
        <w:spacing w:after="0" w:line="10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0800"/>
          </w:cols>
          <w:pgMar w:left="320" w:top="439" w:right="7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Our Approach to Treating ecDNA-Enabled Cancer</w:t>
      </w:r>
    </w:p>
    <w:p>
      <w:pPr>
        <w:spacing w:after="0" w:line="98" w:lineRule="exact"/>
        <w:rPr>
          <w:sz w:val="20"/>
          <w:szCs w:val="20"/>
          <w:color w:val="auto"/>
        </w:rPr>
      </w:pPr>
    </w:p>
    <w:p>
      <w:pPr>
        <w:ind w:left="420" w:right="80" w:firstLine="521"/>
        <w:spacing w:after="0" w:line="242" w:lineRule="auto"/>
        <w:rPr>
          <w:sz w:val="20"/>
          <w:szCs w:val="20"/>
          <w:color w:val="auto"/>
        </w:rPr>
      </w:pPr>
      <w:r>
        <w:rPr>
          <w:rFonts w:ascii="Arial" w:cs="Arial" w:eastAsia="Arial" w:hAnsi="Arial"/>
          <w:sz w:val="17"/>
          <w:szCs w:val="17"/>
          <w:color w:val="auto"/>
        </w:rPr>
        <w:t>We aspire to improve clinical outcomes for patients with oncogene amplified cancer by developing drugs that interfere with the formation and function of ecDNA in cancer cells. As described above, ecDNA contribute to oncogenesis by facilitating high copy number gene amplification and expression and to therapeutic resistance by providing rapid genomic plasticity. While cancer cells can use ecDNA for certain advantages, their reliance on ecDNA can also expose them to potential vulnerabilities. We use our proprietary Spyglass platform to interrogate ecDNA biology in cancer with the goal of identifying these vulnerabilities in the form of cellular targets that are essential for ecDNA-enabled tumor cell survival.</w:t>
      </w:r>
    </w:p>
    <w:p>
      <w:pPr>
        <w:spacing w:after="0" w:line="172" w:lineRule="exact"/>
        <w:rPr>
          <w:sz w:val="20"/>
          <w:szCs w:val="20"/>
          <w:color w:val="auto"/>
        </w:rPr>
      </w:pPr>
    </w:p>
    <w:p>
      <w:pPr>
        <w:ind w:left="420" w:right="160" w:firstLine="521"/>
        <w:spacing w:after="0" w:line="242" w:lineRule="auto"/>
        <w:rPr>
          <w:sz w:val="20"/>
          <w:szCs w:val="20"/>
          <w:color w:val="auto"/>
        </w:rPr>
      </w:pPr>
      <w:r>
        <w:rPr>
          <w:rFonts w:ascii="Arial" w:cs="Arial" w:eastAsia="Arial" w:hAnsi="Arial"/>
          <w:sz w:val="17"/>
          <w:szCs w:val="17"/>
          <w:color w:val="auto"/>
        </w:rPr>
        <w:t>We explore the ecDNA lifecycle to identify nodes of synthetic lethality in ecDNA-enabled cancers. In contrast to current precision medicine approaches that focus on targeting proteins that result directly from mutations or fusions of oncogenes such as, EGFR, BRAF, ALK, our precision medicine approach centers on disrupting ecDNA functionality in the cancer cells of patients who are genomically selected based on the presence of ecDNA-enabled oncogene amplification in their tumors. Instead of targeting the specific protein products of the oncogenes encoded by ecDNA, our novel small molecule ecDTx are designed to inhibit cellular machinery proteins that enable ecDNA to function properly, such as those critical for ecDNA formation, replication, repair, and segregation.</w:t>
      </w:r>
    </w:p>
    <w:p>
      <w:pPr>
        <w:spacing w:after="0" w:line="172" w:lineRule="exact"/>
        <w:rPr>
          <w:sz w:val="20"/>
          <w:szCs w:val="20"/>
          <w:color w:val="auto"/>
        </w:rPr>
      </w:pPr>
    </w:p>
    <w:p>
      <w:pPr>
        <w:ind w:left="420" w:firstLine="521"/>
        <w:spacing w:after="0" w:line="241" w:lineRule="auto"/>
        <w:rPr>
          <w:sz w:val="20"/>
          <w:szCs w:val="20"/>
          <w:color w:val="auto"/>
        </w:rPr>
      </w:pPr>
      <w:r>
        <w:rPr>
          <w:rFonts w:ascii="Arial" w:cs="Arial" w:eastAsia="Arial" w:hAnsi="Arial"/>
          <w:sz w:val="17"/>
          <w:szCs w:val="17"/>
          <w:color w:val="auto"/>
        </w:rPr>
        <w:t>We are developing our ecDTx to be administered as single agents and in combination with other therapies. The rationale for a combination approach is based on the observation described above that applying targeted therapy, or other therapeutic, pressure to oncogene amplified cancer cells causes them to respond and adapt via increased reliance on ecDNA. We believe this increased reliance on ecDNA for survival makes the cancer cells more susceptible to our ecDTx. We liken this phenomenon to a cellular vice grip concept as the targeted therapy pushes the surviving cancer cell population to higher reliance on ecDNA, and the ecDTx kills the cancer cells that most rely on ecDNA to survive. Thus, our therapeutic approach is based on the concept of ecDNA-dependent synthetic lethality and uses a strategy to interfere with cancer’s ability to employ ecDNA to grow, adapt, and survive.</w:t>
      </w:r>
    </w:p>
    <w:p>
      <w:pPr>
        <w:spacing w:after="0" w:line="172" w:lineRule="exact"/>
        <w:rPr>
          <w:sz w:val="20"/>
          <w:szCs w:val="20"/>
          <w:color w:val="auto"/>
        </w:rPr>
      </w:pPr>
    </w:p>
    <w:p>
      <w:pPr>
        <w:ind w:left="420" w:right="280" w:firstLine="521"/>
        <w:spacing w:after="0" w:line="270" w:lineRule="auto"/>
        <w:rPr>
          <w:sz w:val="20"/>
          <w:szCs w:val="20"/>
          <w:color w:val="auto"/>
        </w:rPr>
      </w:pPr>
      <w:r>
        <w:rPr>
          <w:rFonts w:ascii="Arial" w:cs="Arial" w:eastAsia="Arial" w:hAnsi="Arial"/>
          <w:sz w:val="17"/>
          <w:szCs w:val="17"/>
          <w:color w:val="auto"/>
        </w:rPr>
        <w:t>While targeting ecDNA biology is a novel approach to cancer treatment, our ecDTx drug discovery and development process is rooted in traditional small molecule drug discovery methodology.</w:t>
      </w:r>
    </w:p>
    <w:p>
      <w:pPr>
        <w:spacing w:after="0" w:line="250"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Spyglass Platform</w:t>
      </w:r>
    </w:p>
    <w:p>
      <w:pPr>
        <w:spacing w:after="0" w:line="98" w:lineRule="exact"/>
        <w:rPr>
          <w:sz w:val="20"/>
          <w:szCs w:val="20"/>
          <w:color w:val="auto"/>
        </w:rPr>
      </w:pPr>
    </w:p>
    <w:p>
      <w:pPr>
        <w:ind w:left="420" w:right="20" w:firstLine="521"/>
        <w:spacing w:after="0" w:line="244" w:lineRule="auto"/>
        <w:rPr>
          <w:sz w:val="20"/>
          <w:szCs w:val="20"/>
          <w:color w:val="auto"/>
        </w:rPr>
      </w:pPr>
      <w:r>
        <w:rPr>
          <w:rFonts w:ascii="Arial" w:cs="Arial" w:eastAsia="Arial" w:hAnsi="Arial"/>
          <w:sz w:val="17"/>
          <w:szCs w:val="17"/>
          <w:color w:val="auto"/>
        </w:rPr>
        <w:t>We have built our proprietary Spyglass platform to identify specific, druggable targets essential to ecDNA formation and function in cancer cells. To our knowledge, Spyglass is the only platform for identifying ecDNA-enabled vulnerabilities in cancer. We preclinically validate each ecDNA-essential drug target through our purpose-built validation funnel consisting of multiple oncogene-amplified cancer models. The targets that we identify and preclinically validate represent synthetic lethalities for oncogene amplified ecDNA-enabled tumors.</w:t>
      </w:r>
    </w:p>
    <w:p>
      <w:pPr>
        <w:spacing w:after="0" w:line="105"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0760"/>
          </w:cols>
          <w:pgMar w:left="320" w:top="439" w:right="8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880"/>
        <w:spacing w:after="0"/>
        <w:rPr>
          <w:sz w:val="20"/>
          <w:szCs w:val="20"/>
          <w:color w:val="auto"/>
        </w:rPr>
      </w:pPr>
      <w:r>
        <w:rPr>
          <w:rFonts w:ascii="Arial" w:cs="Arial" w:eastAsia="Arial" w:hAnsi="Arial"/>
          <w:sz w:val="17"/>
          <w:szCs w:val="17"/>
          <w:b w:val="1"/>
          <w:bCs w:val="1"/>
          <w:color w:val="auto"/>
        </w:rPr>
        <w:t>Spyglass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154305</wp:posOffset>
            </wp:positionV>
            <wp:extent cx="4867910" cy="23368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867910" cy="2336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40"/>
        <w:spacing w:after="0"/>
        <w:rPr>
          <w:sz w:val="20"/>
          <w:szCs w:val="20"/>
          <w:color w:val="auto"/>
        </w:rPr>
      </w:pPr>
      <w:r>
        <w:rPr>
          <w:rFonts w:ascii="Arial" w:cs="Arial" w:eastAsia="Arial" w:hAnsi="Arial"/>
          <w:sz w:val="17"/>
          <w:szCs w:val="17"/>
          <w:color w:val="auto"/>
        </w:rPr>
        <w:t>Spyglass consists of the following elements:</w:t>
      </w:r>
    </w:p>
    <w:p>
      <w:pPr>
        <w:spacing w:after="0" w:line="111" w:lineRule="exact"/>
        <w:rPr>
          <w:sz w:val="20"/>
          <w:szCs w:val="20"/>
          <w:color w:val="auto"/>
        </w:rPr>
      </w:pPr>
    </w:p>
    <w:p>
      <w:pPr>
        <w:ind w:left="1660" w:right="20" w:hanging="418"/>
        <w:spacing w:after="0" w:line="245" w:lineRule="auto"/>
        <w:tabs>
          <w:tab w:leader="none" w:pos="1660" w:val="left"/>
        </w:tabs>
        <w:numPr>
          <w:ilvl w:val="0"/>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Model Systems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heavily curated library of oncogene amplified cancer model systems, including ecDNA-enabled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models, and control models. We refer to this library as our ecDNA compendium (ecDC). The ecDC consists of more than</w:t>
      </w:r>
    </w:p>
    <w:p>
      <w:pPr>
        <w:ind w:left="1660"/>
        <w:spacing w:after="0"/>
        <w:rPr>
          <w:rFonts w:ascii="Arial" w:cs="Arial" w:eastAsia="Arial" w:hAnsi="Arial"/>
          <w:sz w:val="17"/>
          <w:szCs w:val="17"/>
          <w:color w:val="auto"/>
        </w:rPr>
      </w:pPr>
      <w:r>
        <w:rPr>
          <w:rFonts w:ascii="Arial" w:cs="Arial" w:eastAsia="Arial" w:hAnsi="Arial"/>
          <w:sz w:val="17"/>
          <w:szCs w:val="17"/>
          <w:color w:val="auto"/>
        </w:rPr>
        <w:t>100 well characterized cancer models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including:</w:t>
      </w:r>
    </w:p>
    <w:p>
      <w:pPr>
        <w:spacing w:after="0" w:line="95" w:lineRule="exact"/>
        <w:rPr>
          <w:rFonts w:ascii="Arial" w:cs="Arial" w:eastAsia="Arial" w:hAnsi="Arial"/>
          <w:sz w:val="17"/>
          <w:szCs w:val="17"/>
          <w:color w:val="auto"/>
        </w:rPr>
      </w:pPr>
    </w:p>
    <w:p>
      <w:pPr>
        <w:ind w:left="2060" w:right="180" w:hanging="410"/>
        <w:spacing w:after="0" w:line="270" w:lineRule="auto"/>
        <w:tabs>
          <w:tab w:leader="none" w:pos="2060" w:val="left"/>
        </w:tabs>
        <w:numPr>
          <w:ilvl w:val="1"/>
          <w:numId w:val="60"/>
        </w:numPr>
        <w:rPr>
          <w:rFonts w:ascii="Arial" w:cs="Arial" w:eastAsia="Arial" w:hAnsi="Arial"/>
          <w:sz w:val="17"/>
          <w:szCs w:val="17"/>
          <w:color w:val="auto"/>
        </w:rPr>
      </w:pPr>
      <w:r>
        <w:rPr>
          <w:rFonts w:ascii="Arial" w:cs="Arial" w:eastAsia="Arial" w:hAnsi="Arial"/>
          <w:sz w:val="17"/>
          <w:szCs w:val="17"/>
          <w:color w:val="auto"/>
        </w:rPr>
        <w:t xml:space="preserve">a panel of ecDNA-enabled models, representing multiple different tumor types, such as colorectal, gastric cancer, and sarcoma and multiple different oncodriver amplifications such as </w:t>
      </w:r>
      <w:r>
        <w:rPr>
          <w:rFonts w:ascii="Arial" w:cs="Arial" w:eastAsia="Arial" w:hAnsi="Arial"/>
          <w:sz w:val="17"/>
          <w:szCs w:val="17"/>
          <w:i w:val="1"/>
          <w:iCs w:val="1"/>
          <w:color w:val="auto"/>
        </w:rPr>
        <w:t>EGFR</w:t>
      </w:r>
      <w:r>
        <w:rPr>
          <w:rFonts w:ascii="Arial" w:cs="Arial" w:eastAsia="Arial" w:hAnsi="Arial"/>
          <w:sz w:val="17"/>
          <w:szCs w:val="17"/>
          <w:color w:val="auto"/>
        </w:rPr>
        <w:t xml:space="preserve">, </w:t>
      </w:r>
      <w:r>
        <w:rPr>
          <w:rFonts w:ascii="Arial" w:cs="Arial" w:eastAsia="Arial" w:hAnsi="Arial"/>
          <w:sz w:val="17"/>
          <w:szCs w:val="17"/>
          <w:i w:val="1"/>
          <w:iCs w:val="1"/>
          <w:color w:val="auto"/>
        </w:rPr>
        <w:t>FGFR2</w:t>
      </w:r>
      <w:r>
        <w:rPr>
          <w:rFonts w:ascii="Arial" w:cs="Arial" w:eastAsia="Arial" w:hAnsi="Arial"/>
          <w:sz w:val="17"/>
          <w:szCs w:val="17"/>
          <w:color w:val="auto"/>
        </w:rPr>
        <w:t xml:space="preserve">, </w:t>
      </w:r>
      <w:r>
        <w:rPr>
          <w:rFonts w:ascii="Arial" w:cs="Arial" w:eastAsia="Arial" w:hAnsi="Arial"/>
          <w:sz w:val="17"/>
          <w:szCs w:val="17"/>
          <w:i w:val="1"/>
          <w:iCs w:val="1"/>
          <w:color w:val="auto"/>
        </w:rPr>
        <w:t>CDK4</w:t>
      </w:r>
      <w:r>
        <w:rPr>
          <w:rFonts w:ascii="Arial" w:cs="Arial" w:eastAsia="Arial" w:hAnsi="Arial"/>
          <w:sz w:val="17"/>
          <w:szCs w:val="17"/>
          <w:color w:val="auto"/>
        </w:rPr>
        <w:t xml:space="preserve">, </w:t>
      </w:r>
      <w:r>
        <w:rPr>
          <w:rFonts w:ascii="Arial" w:cs="Arial" w:eastAsia="Arial" w:hAnsi="Arial"/>
          <w:sz w:val="17"/>
          <w:szCs w:val="17"/>
          <w:i w:val="1"/>
          <w:iCs w:val="1"/>
          <w:color w:val="auto"/>
        </w:rPr>
        <w:t>KRAS</w:t>
      </w:r>
      <w:r>
        <w:rPr>
          <w:rFonts w:ascii="Arial" w:cs="Arial" w:eastAsia="Arial" w:hAnsi="Arial"/>
          <w:sz w:val="17"/>
          <w:szCs w:val="17"/>
          <w:color w:val="auto"/>
        </w:rPr>
        <w:t xml:space="preserve">, and </w:t>
      </w:r>
      <w:r>
        <w:rPr>
          <w:rFonts w:ascii="Arial" w:cs="Arial" w:eastAsia="Arial" w:hAnsi="Arial"/>
          <w:sz w:val="17"/>
          <w:szCs w:val="17"/>
          <w:i w:val="1"/>
          <w:iCs w:val="1"/>
          <w:color w:val="auto"/>
        </w:rPr>
        <w:t>MYC</w:t>
      </w:r>
      <w:r>
        <w:rPr>
          <w:rFonts w:ascii="Arial" w:cs="Arial" w:eastAsia="Arial" w:hAnsi="Arial"/>
          <w:sz w:val="17"/>
          <w:szCs w:val="17"/>
          <w:color w:val="auto"/>
        </w:rPr>
        <w:t>;</w:t>
      </w:r>
    </w:p>
    <w:p>
      <w:pPr>
        <w:spacing w:after="0" w:line="58" w:lineRule="exact"/>
        <w:rPr>
          <w:rFonts w:ascii="Arial" w:cs="Arial" w:eastAsia="Arial" w:hAnsi="Arial"/>
          <w:sz w:val="17"/>
          <w:szCs w:val="17"/>
          <w:color w:val="auto"/>
        </w:rPr>
      </w:pPr>
    </w:p>
    <w:p>
      <w:pPr>
        <w:ind w:left="2060" w:right="540" w:hanging="410"/>
        <w:spacing w:after="0" w:line="270" w:lineRule="auto"/>
        <w:tabs>
          <w:tab w:leader="none" w:pos="2060" w:val="left"/>
        </w:tabs>
        <w:numPr>
          <w:ilvl w:val="1"/>
          <w:numId w:val="60"/>
        </w:numPr>
        <w:rPr>
          <w:rFonts w:ascii="Arial" w:cs="Arial" w:eastAsia="Arial" w:hAnsi="Arial"/>
          <w:sz w:val="17"/>
          <w:szCs w:val="17"/>
          <w:color w:val="auto"/>
        </w:rPr>
      </w:pPr>
      <w:r>
        <w:rPr>
          <w:rFonts w:ascii="Arial" w:cs="Arial" w:eastAsia="Arial" w:hAnsi="Arial"/>
          <w:sz w:val="17"/>
          <w:szCs w:val="17"/>
          <w:color w:val="auto"/>
        </w:rPr>
        <w:t>a panel of matched control lines of various other states of gene amplification ranging from no amplification to chromosomal forms of amplification;</w:t>
      </w:r>
    </w:p>
    <w:p>
      <w:pPr>
        <w:spacing w:after="0" w:line="58" w:lineRule="exact"/>
        <w:rPr>
          <w:rFonts w:ascii="Arial" w:cs="Arial" w:eastAsia="Arial" w:hAnsi="Arial"/>
          <w:sz w:val="17"/>
          <w:szCs w:val="17"/>
          <w:color w:val="auto"/>
        </w:rPr>
      </w:pPr>
    </w:p>
    <w:p>
      <w:pPr>
        <w:ind w:left="2060" w:hanging="410"/>
        <w:spacing w:after="0" w:line="252" w:lineRule="auto"/>
        <w:tabs>
          <w:tab w:leader="none" w:pos="2060" w:val="left"/>
        </w:tabs>
        <w:numPr>
          <w:ilvl w:val="1"/>
          <w:numId w:val="60"/>
        </w:numPr>
        <w:rPr>
          <w:rFonts w:ascii="Arial" w:cs="Arial" w:eastAsia="Arial" w:hAnsi="Arial"/>
          <w:sz w:val="17"/>
          <w:szCs w:val="17"/>
          <w:color w:val="auto"/>
        </w:rPr>
      </w:pPr>
      <w:r>
        <w:rPr>
          <w:rFonts w:ascii="Arial" w:cs="Arial" w:eastAsia="Arial" w:hAnsi="Arial"/>
          <w:sz w:val="17"/>
          <w:szCs w:val="17"/>
          <w:color w:val="auto"/>
        </w:rPr>
        <w:t>the ecDNA-enabled models consist of both “driver oncogene amplified systems” where ecDNA is a primary driver of oncogenesis and “treatment induced resistance systems” where ecDNA becomes the dominant resistance mechanism under therapeutic pressure, such as targeted therapy or chemotherapy; and</w:t>
      </w:r>
    </w:p>
    <w:p>
      <w:pPr>
        <w:spacing w:after="0" w:line="74" w:lineRule="exact"/>
        <w:rPr>
          <w:rFonts w:ascii="Arial" w:cs="Arial" w:eastAsia="Arial" w:hAnsi="Arial"/>
          <w:sz w:val="17"/>
          <w:szCs w:val="17"/>
          <w:color w:val="auto"/>
        </w:rPr>
      </w:pPr>
    </w:p>
    <w:p>
      <w:pPr>
        <w:ind w:left="2060" w:hanging="410"/>
        <w:spacing w:after="0"/>
        <w:tabs>
          <w:tab w:leader="none" w:pos="2060" w:val="left"/>
        </w:tabs>
        <w:numPr>
          <w:ilvl w:val="1"/>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in vivo </w:t>
      </w:r>
      <w:r>
        <w:rPr>
          <w:rFonts w:ascii="Arial" w:cs="Arial" w:eastAsia="Arial" w:hAnsi="Arial"/>
          <w:sz w:val="17"/>
          <w:szCs w:val="17"/>
          <w:color w:val="auto"/>
        </w:rPr>
        <w:t>models, including cell derived (CDX) and patient derived (PDX) tumor xenografts.</w:t>
      </w:r>
    </w:p>
    <w:p>
      <w:pPr>
        <w:spacing w:after="0" w:line="137"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0760"/>
          </w:cols>
          <w:pgMar w:left="320" w:top="439" w:right="8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ecDNA Compendium (ecDC)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154305</wp:posOffset>
            </wp:positionV>
            <wp:extent cx="4876165" cy="2296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876165" cy="229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660" w:right="80" w:hanging="418"/>
        <w:spacing w:after="0" w:line="270" w:lineRule="auto"/>
        <w:tabs>
          <w:tab w:leader="none" w:pos="1660" w:val="left"/>
        </w:tabs>
        <w:numPr>
          <w:ilvl w:val="0"/>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Analytical Tools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suite of custom-built analytical tools designed to detect, quantify, characterize, monitor, and perturb</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ecDNA:</w:t>
      </w:r>
    </w:p>
    <w:p>
      <w:pPr>
        <w:spacing w:after="0" w:line="58" w:lineRule="exact"/>
        <w:rPr>
          <w:rFonts w:ascii="Arial" w:cs="Arial" w:eastAsia="Arial" w:hAnsi="Arial"/>
          <w:sz w:val="17"/>
          <w:szCs w:val="17"/>
          <w:color w:val="auto"/>
        </w:rPr>
      </w:pPr>
    </w:p>
    <w:p>
      <w:pPr>
        <w:ind w:left="2060" w:hanging="410"/>
        <w:spacing w:after="0"/>
        <w:tabs>
          <w:tab w:leader="none" w:pos="20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proprietary imaging tools for visual detection and monitoring of ecDNA;</w:t>
      </w:r>
    </w:p>
    <w:p>
      <w:pPr>
        <w:spacing w:after="0" w:line="111" w:lineRule="exact"/>
        <w:rPr>
          <w:rFonts w:ascii="Arial" w:cs="Arial" w:eastAsia="Arial" w:hAnsi="Arial"/>
          <w:sz w:val="17"/>
          <w:szCs w:val="17"/>
          <w:color w:val="auto"/>
        </w:rPr>
      </w:pPr>
    </w:p>
    <w:p>
      <w:pPr>
        <w:ind w:left="2060" w:right="360" w:hanging="410"/>
        <w:spacing w:after="0" w:line="270" w:lineRule="auto"/>
        <w:tabs>
          <w:tab w:leader="none" w:pos="20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off-the-shelf sequencing tools coupled to our proprietary analytical methods to detect, quantify, and characterize ecDNA; and</w:t>
      </w:r>
    </w:p>
    <w:p>
      <w:pPr>
        <w:spacing w:after="0" w:line="58" w:lineRule="exact"/>
        <w:rPr>
          <w:rFonts w:ascii="Arial" w:cs="Arial" w:eastAsia="Arial" w:hAnsi="Arial"/>
          <w:sz w:val="17"/>
          <w:szCs w:val="17"/>
          <w:color w:val="auto"/>
        </w:rPr>
      </w:pPr>
    </w:p>
    <w:p>
      <w:pPr>
        <w:ind w:left="2060" w:hanging="410"/>
        <w:spacing w:after="0" w:line="270" w:lineRule="auto"/>
        <w:tabs>
          <w:tab w:leader="none" w:pos="20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whole genome and custom built CRISPR libraries and shRNA for perturbation of ecDNA and ecDNA-enabled cancer cells.</w:t>
      </w:r>
    </w:p>
    <w:p>
      <w:pPr>
        <w:spacing w:after="0" w:line="58" w:lineRule="exact"/>
        <w:rPr>
          <w:rFonts w:ascii="Arial" w:cs="Arial" w:eastAsia="Arial" w:hAnsi="Arial"/>
          <w:sz w:val="17"/>
          <w:szCs w:val="17"/>
          <w:color w:val="auto"/>
        </w:rPr>
      </w:pPr>
    </w:p>
    <w:p>
      <w:pPr>
        <w:ind w:left="1660" w:hanging="418"/>
        <w:spacing w:after="0" w:line="270" w:lineRule="auto"/>
        <w:tabs>
          <w:tab w:leader="none" w:pos="1660" w:val="left"/>
        </w:tabs>
        <w:numPr>
          <w:ilvl w:val="0"/>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Bioinformatics Data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Large databases, both clinical and preclinical, to facilitate, substantiate, and contextualize ecDNA-related observations:</w:t>
      </w:r>
    </w:p>
    <w:p>
      <w:pPr>
        <w:spacing w:after="0" w:line="58" w:lineRule="exact"/>
        <w:rPr>
          <w:rFonts w:ascii="Arial" w:cs="Arial" w:eastAsia="Arial" w:hAnsi="Arial"/>
          <w:sz w:val="17"/>
          <w:szCs w:val="17"/>
          <w:color w:val="auto"/>
        </w:rPr>
      </w:pPr>
    </w:p>
    <w:p>
      <w:pPr>
        <w:ind w:left="2060" w:right="180" w:hanging="410"/>
        <w:spacing w:after="0" w:line="252" w:lineRule="auto"/>
        <w:tabs>
          <w:tab w:leader="none" w:pos="20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We analyze clinical databases of cancer patient genomic and clinical outcome data to support insights into ecDNA prevalence, patient populations, and clinical outcomes. Such analyses help us prioritize which tumor indications represent the largest opportunity and highest unmet need for our novel ecDTx.</w:t>
      </w:r>
    </w:p>
    <w:p>
      <w:pPr>
        <w:spacing w:after="0" w:line="74" w:lineRule="exact"/>
        <w:rPr>
          <w:rFonts w:ascii="Arial" w:cs="Arial" w:eastAsia="Arial" w:hAnsi="Arial"/>
          <w:sz w:val="17"/>
          <w:szCs w:val="17"/>
          <w:color w:val="auto"/>
        </w:rPr>
      </w:pPr>
    </w:p>
    <w:p>
      <w:pPr>
        <w:ind w:left="2060" w:right="460" w:hanging="410"/>
        <w:spacing w:after="0" w:line="270" w:lineRule="auto"/>
        <w:tabs>
          <w:tab w:leader="none" w:pos="20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Complementary to our use of clinical databases, we also use information from preclinical databases to support target identification, target validation, biological pathway mapping, and model library expansion.</w:t>
      </w:r>
    </w:p>
    <w:p>
      <w:pPr>
        <w:spacing w:after="0" w:line="25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Target Identification and Validation</w:t>
      </w:r>
    </w:p>
    <w:p>
      <w:pPr>
        <w:spacing w:after="0" w:line="98" w:lineRule="exact"/>
        <w:rPr>
          <w:sz w:val="20"/>
          <w:szCs w:val="20"/>
          <w:color w:val="auto"/>
        </w:rPr>
      </w:pPr>
    </w:p>
    <w:p>
      <w:pPr>
        <w:ind w:left="420" w:right="40" w:firstLine="521"/>
        <w:spacing w:after="0" w:line="244" w:lineRule="auto"/>
        <w:rPr>
          <w:sz w:val="20"/>
          <w:szCs w:val="20"/>
          <w:color w:val="auto"/>
        </w:rPr>
      </w:pPr>
      <w:r>
        <w:rPr>
          <w:rFonts w:ascii="Arial" w:cs="Arial" w:eastAsia="Arial" w:hAnsi="Arial"/>
          <w:sz w:val="17"/>
          <w:szCs w:val="17"/>
          <w:color w:val="auto"/>
        </w:rPr>
        <w:t>Through Spyglass, we have developed a sophisticated understanding of ecDNA biology and key cellular mechanisms that facilitate cancer cells’ deployment of ecDNA to enable both tumor growth and development of resistance to therapeutic treatments. This understanding has given us new insight on how to disrupt ecDNA function and cancer cell growth. Through multiple screening methods, we have identified several potential targets that differ not only by class, but also in the role the target plays in the formation and function of ecDNA in cancer cells.</w:t>
      </w:r>
    </w:p>
    <w:p>
      <w:pPr>
        <w:spacing w:after="0" w:line="105"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0820"/>
          </w:cols>
          <w:pgMar w:left="320" w:top="439" w:right="7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firstLine="521"/>
        <w:spacing w:after="0" w:line="252" w:lineRule="auto"/>
        <w:rPr>
          <w:sz w:val="20"/>
          <w:szCs w:val="20"/>
          <w:color w:val="auto"/>
        </w:rPr>
      </w:pPr>
      <w:r>
        <w:rPr>
          <w:rFonts w:ascii="Arial" w:cs="Arial" w:eastAsia="Arial" w:hAnsi="Arial"/>
          <w:sz w:val="17"/>
          <w:szCs w:val="17"/>
          <w:color w:val="auto"/>
        </w:rPr>
        <w:t>To complement our target identification approach, we have established a robust target validation funnel through which all our candidate ecDNA targets must pass before we declare them as targets suitable for initiation of drug discovery efforts. This target validation funnel consists of:</w:t>
      </w:r>
    </w:p>
    <w:p>
      <w:pPr>
        <w:spacing w:after="0" w:line="74" w:lineRule="exact"/>
        <w:rPr>
          <w:sz w:val="20"/>
          <w:szCs w:val="20"/>
          <w:color w:val="auto"/>
        </w:rPr>
      </w:pPr>
    </w:p>
    <w:p>
      <w:pPr>
        <w:ind w:left="1660" w:right="320" w:hanging="418"/>
        <w:spacing w:after="0" w:line="270" w:lineRule="auto"/>
        <w:tabs>
          <w:tab w:leader="none" w:pos="1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differential single agent sensitivity in multi cell line panels of matched ecDNA positive and ecDNA negative cancer cell lines;</w:t>
      </w:r>
    </w:p>
    <w:p>
      <w:pPr>
        <w:spacing w:after="0" w:line="58" w:lineRule="exact"/>
        <w:rPr>
          <w:rFonts w:ascii="Arial" w:cs="Arial" w:eastAsia="Arial" w:hAnsi="Arial"/>
          <w:sz w:val="17"/>
          <w:szCs w:val="17"/>
          <w:color w:val="auto"/>
        </w:rPr>
      </w:pPr>
    </w:p>
    <w:p>
      <w:pPr>
        <w:ind w:left="1660" w:right="140" w:hanging="418"/>
        <w:spacing w:after="0" w:line="270" w:lineRule="auto"/>
        <w:tabs>
          <w:tab w:leader="none" w:pos="1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genetic, such as CRISPR, or pharmacologic inhibition of candidate targets in ecDNA-enabled cancer cells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and/or </w:t>
      </w:r>
      <w:r>
        <w:rPr>
          <w:rFonts w:ascii="Arial" w:cs="Arial" w:eastAsia="Arial" w:hAnsi="Arial"/>
          <w:sz w:val="17"/>
          <w:szCs w:val="17"/>
          <w:i w:val="1"/>
          <w:iCs w:val="1"/>
          <w:color w:val="auto"/>
        </w:rPr>
        <w:t>in vivo</w:t>
      </w:r>
      <w:r>
        <w:rPr>
          <w:rFonts w:ascii="Arial" w:cs="Arial" w:eastAsia="Arial" w:hAnsi="Arial"/>
          <w:sz w:val="17"/>
          <w:szCs w:val="17"/>
          <w:color w:val="auto"/>
        </w:rPr>
        <w:t>;</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phenotypic assessment of ecDNA function in ecDNA-enabled cancer cells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and/or </w:t>
      </w:r>
      <w:r>
        <w:rPr>
          <w:rFonts w:ascii="Arial" w:cs="Arial" w:eastAsia="Arial" w:hAnsi="Arial"/>
          <w:sz w:val="17"/>
          <w:szCs w:val="17"/>
          <w:i w:val="1"/>
          <w:iCs w:val="1"/>
          <w:color w:val="auto"/>
        </w:rPr>
        <w:t>in vivo;</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phenotypic assessment of ecDNA location and distribution in cancer cells;</w:t>
      </w:r>
    </w:p>
    <w:p>
      <w:pPr>
        <w:spacing w:after="0" w:line="111" w:lineRule="exact"/>
        <w:rPr>
          <w:rFonts w:ascii="Arial" w:cs="Arial" w:eastAsia="Arial" w:hAnsi="Arial"/>
          <w:sz w:val="17"/>
          <w:szCs w:val="17"/>
          <w:color w:val="auto"/>
        </w:rPr>
      </w:pPr>
    </w:p>
    <w:p>
      <w:pPr>
        <w:ind w:left="1660" w:right="80" w:hanging="418"/>
        <w:spacing w:after="0" w:line="270" w:lineRule="auto"/>
        <w:tabs>
          <w:tab w:leader="none" w:pos="1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synthetic lethality assessment, in combination with various therapeutic classes, in inducible ecDNA assays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and/or </w:t>
      </w:r>
      <w:r>
        <w:rPr>
          <w:rFonts w:ascii="Arial" w:cs="Arial" w:eastAsia="Arial" w:hAnsi="Arial"/>
          <w:sz w:val="17"/>
          <w:szCs w:val="17"/>
          <w:i w:val="1"/>
          <w:iCs w:val="1"/>
          <w:color w:val="auto"/>
        </w:rPr>
        <w:t>in vivo</w:t>
      </w:r>
      <w:r>
        <w:rPr>
          <w:rFonts w:ascii="Arial" w:cs="Arial" w:eastAsia="Arial" w:hAnsi="Arial"/>
          <w:sz w:val="17"/>
          <w:szCs w:val="17"/>
          <w:color w:val="auto"/>
        </w:rPr>
        <w:t>; and</w:t>
      </w:r>
    </w:p>
    <w:p>
      <w:pPr>
        <w:spacing w:after="0" w:line="58" w:lineRule="exact"/>
        <w:rPr>
          <w:rFonts w:ascii="Arial" w:cs="Arial" w:eastAsia="Arial" w:hAnsi="Arial"/>
          <w:sz w:val="17"/>
          <w:szCs w:val="17"/>
          <w:color w:val="auto"/>
        </w:rPr>
      </w:pPr>
    </w:p>
    <w:p>
      <w:pPr>
        <w:ind w:left="1660" w:right="240" w:hanging="418"/>
        <w:spacing w:after="0" w:line="252" w:lineRule="auto"/>
        <w:tabs>
          <w:tab w:leader="none" w:pos="166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 xml:space="preserve">in vivo </w:t>
      </w:r>
      <w:r>
        <w:rPr>
          <w:rFonts w:ascii="Arial" w:cs="Arial" w:eastAsia="Arial" w:hAnsi="Arial"/>
          <w:sz w:val="17"/>
          <w:szCs w:val="17"/>
          <w:color w:val="auto"/>
        </w:rPr>
        <w:t>assessments performed in multiple CDX and PDX xenograft models representing various cancer types,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gastric cancer, sarcoma, colorectal cancer, and various oncodriver amplifications, such as </w:t>
      </w:r>
      <w:r>
        <w:rPr>
          <w:rFonts w:ascii="Arial" w:cs="Arial" w:eastAsia="Arial" w:hAnsi="Arial"/>
          <w:sz w:val="17"/>
          <w:szCs w:val="17"/>
          <w:i w:val="1"/>
          <w:iCs w:val="1"/>
          <w:color w:val="auto"/>
        </w:rPr>
        <w:t>EGFR</w:t>
      </w:r>
      <w:r>
        <w:rPr>
          <w:rFonts w:ascii="Arial" w:cs="Arial" w:eastAsia="Arial" w:hAnsi="Arial"/>
          <w:sz w:val="17"/>
          <w:szCs w:val="17"/>
          <w:color w:val="auto"/>
        </w:rPr>
        <w:t xml:space="preserve">, </w:t>
      </w:r>
      <w:r>
        <w:rPr>
          <w:rFonts w:ascii="Arial" w:cs="Arial" w:eastAsia="Arial" w:hAnsi="Arial"/>
          <w:sz w:val="17"/>
          <w:szCs w:val="17"/>
          <w:i w:val="1"/>
          <w:iCs w:val="1"/>
          <w:color w:val="auto"/>
        </w:rPr>
        <w:t>FGFR2</w:t>
      </w:r>
      <w:r>
        <w:rPr>
          <w:rFonts w:ascii="Arial" w:cs="Arial" w:eastAsia="Arial" w:hAnsi="Arial"/>
          <w:sz w:val="17"/>
          <w:szCs w:val="17"/>
          <w:color w:val="auto"/>
        </w:rPr>
        <w:t xml:space="preserve">, </w:t>
      </w:r>
      <w:r>
        <w:rPr>
          <w:rFonts w:ascii="Arial" w:cs="Arial" w:eastAsia="Arial" w:hAnsi="Arial"/>
          <w:sz w:val="17"/>
          <w:szCs w:val="17"/>
          <w:i w:val="1"/>
          <w:iCs w:val="1"/>
          <w:color w:val="auto"/>
        </w:rPr>
        <w:t>CDK4</w:t>
      </w:r>
      <w:r>
        <w:rPr>
          <w:rFonts w:ascii="Arial" w:cs="Arial" w:eastAsia="Arial" w:hAnsi="Arial"/>
          <w:sz w:val="17"/>
          <w:szCs w:val="17"/>
          <w:color w:val="auto"/>
        </w:rPr>
        <w:t xml:space="preserve">, and </w:t>
      </w:r>
      <w:r>
        <w:rPr>
          <w:rFonts w:ascii="Arial" w:cs="Arial" w:eastAsia="Arial" w:hAnsi="Arial"/>
          <w:sz w:val="17"/>
          <w:szCs w:val="17"/>
          <w:i w:val="1"/>
          <w:iCs w:val="1"/>
          <w:color w:val="auto"/>
        </w:rPr>
        <w:t>MYC</w:t>
      </w:r>
      <w:r>
        <w:rPr>
          <w:rFonts w:ascii="Arial" w:cs="Arial" w:eastAsia="Arial" w:hAnsi="Arial"/>
          <w:sz w:val="17"/>
          <w:szCs w:val="17"/>
          <w:color w:val="auto"/>
        </w:rPr>
        <w:t>.</w:t>
      </w:r>
    </w:p>
    <w:p>
      <w:pPr>
        <w:spacing w:after="0" w:line="266"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Target Identification and Validation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1502410</wp:posOffset>
            </wp:positionH>
            <wp:positionV relativeFrom="paragraph">
              <wp:posOffset>154305</wp:posOffset>
            </wp:positionV>
            <wp:extent cx="4137660" cy="33750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137660" cy="337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420" w:right="160" w:firstLine="521"/>
        <w:spacing w:after="0" w:line="252" w:lineRule="auto"/>
        <w:rPr>
          <w:sz w:val="20"/>
          <w:szCs w:val="20"/>
          <w:color w:val="auto"/>
        </w:rPr>
      </w:pPr>
      <w:r>
        <w:rPr>
          <w:rFonts w:ascii="Arial" w:cs="Arial" w:eastAsia="Arial" w:hAnsi="Arial"/>
          <w:sz w:val="17"/>
          <w:szCs w:val="17"/>
          <w:color w:val="auto"/>
        </w:rPr>
        <w:t>The ecDNA-essential targets that our platform has identified as suitable for drug discovery efforts consist of targets that are either novel, previously clinically validated but lacking approved drugs, or have approved pharmaceutical agents but nonselective to the target. There appears to be a wide range of potential targets whose inhibition impact distinct aspects of the ecDNA life cycle, including</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0820"/>
          </w:cols>
          <w:pgMar w:left="320" w:top="439" w:right="7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120"/>
        <w:spacing w:after="0" w:line="244" w:lineRule="auto"/>
        <w:rPr>
          <w:sz w:val="20"/>
          <w:szCs w:val="20"/>
          <w:color w:val="auto"/>
        </w:rPr>
      </w:pPr>
      <w:r>
        <w:rPr>
          <w:rFonts w:ascii="Arial" w:cs="Arial" w:eastAsia="Arial" w:hAnsi="Arial"/>
          <w:sz w:val="17"/>
          <w:szCs w:val="17"/>
          <w:color w:val="auto"/>
        </w:rPr>
        <w:t>enzymatic machinery responsible for segregation, replication, transcription, and repair of ecDNA. Each category of targets may have differentiated benefits in terms of optimal treatment setting, efficacy, tolerability, therapeutic index, and single agent versus combination approach. In addition to targets against which we have initiated drug discovery efforts, we also have multiple additional candidate targets for which we are currently pursuing preclinical target validation efforts. We believe that our ability to identify and pursue ecDNA-essential targets represents a unique capability and a sustainable engine for novel target identification, drug discovery, and value creation.</w:t>
      </w:r>
    </w:p>
    <w:p>
      <w:pPr>
        <w:spacing w:after="0" w:line="271"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Our Pipeline of ecDNA-Directed Therapeutic Candidates (ecDTx)</w:t>
      </w:r>
    </w:p>
    <w:p>
      <w:pPr>
        <w:spacing w:after="0" w:line="98" w:lineRule="exact"/>
        <w:rPr>
          <w:sz w:val="20"/>
          <w:szCs w:val="20"/>
          <w:color w:val="auto"/>
        </w:rPr>
      </w:pPr>
    </w:p>
    <w:p>
      <w:pPr>
        <w:ind w:left="420" w:right="60" w:firstLine="521"/>
        <w:spacing w:after="0" w:line="244" w:lineRule="auto"/>
        <w:rPr>
          <w:sz w:val="20"/>
          <w:szCs w:val="20"/>
          <w:color w:val="auto"/>
        </w:rPr>
      </w:pPr>
      <w:r>
        <w:rPr>
          <w:rFonts w:ascii="Arial" w:cs="Arial" w:eastAsia="Arial" w:hAnsi="Arial"/>
          <w:sz w:val="17"/>
          <w:szCs w:val="17"/>
          <w:color w:val="auto"/>
        </w:rPr>
        <w:t>We are pioneering a new and differentiated approach to precision medicine focused on developing ecDTx. Our ecDTx are novel, small molecules that target specific biological pathways believed to be essential to ecDNA function in cancer cells. Through Spyglass, we are able to better understand the lifecycle of ecDNA, including ecDNA formation, segregation, maintenance, replication, transcription, and degradation. We have identified several vulnerability nodes of ecDNA biology for therapeutic intervention and are developing novel drug candidates to intercept these nodes. Our drug discovery efforts span multiple ecDNA synthetic lethal targets, including:</w:t>
      </w:r>
    </w:p>
    <w:p>
      <w:pPr>
        <w:spacing w:after="0" w:line="80" w:lineRule="exact"/>
        <w:rPr>
          <w:sz w:val="20"/>
          <w:szCs w:val="20"/>
          <w:color w:val="auto"/>
        </w:rPr>
      </w:pPr>
    </w:p>
    <w:p>
      <w:pPr>
        <w:ind w:left="1660" w:right="480" w:hanging="418"/>
        <w:spacing w:after="0" w:line="270" w:lineRule="auto"/>
        <w:tabs>
          <w:tab w:leader="none" w:pos="1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CHK1: a DNA replication checkpoint kinase target that manages the cellular response to RS arising from oncogene amplification on ecDNA;</w:t>
      </w:r>
    </w:p>
    <w:p>
      <w:pPr>
        <w:spacing w:after="0" w:line="58" w:lineRule="exact"/>
        <w:rPr>
          <w:rFonts w:ascii="Arial" w:cs="Arial" w:eastAsia="Arial" w:hAnsi="Arial"/>
          <w:sz w:val="17"/>
          <w:szCs w:val="17"/>
          <w:color w:val="auto"/>
        </w:rPr>
      </w:pPr>
    </w:p>
    <w:p>
      <w:pPr>
        <w:ind w:left="1660" w:right="360" w:hanging="418"/>
        <w:spacing w:after="0" w:line="270" w:lineRule="auto"/>
        <w:tabs>
          <w:tab w:leader="none" w:pos="1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RNR: a cellular kinase target involved in the creation of nucleotide building blocks essential for ecDNA assembly and repair; and</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Kinesin: a target essential for ecDNA segregation and inheritance during cell division.</w:t>
      </w:r>
    </w:p>
    <w:p>
      <w:pPr>
        <w:spacing w:after="0" w:line="201" w:lineRule="exact"/>
        <w:rPr>
          <w:sz w:val="20"/>
          <w:szCs w:val="20"/>
          <w:color w:val="auto"/>
        </w:rPr>
      </w:pPr>
    </w:p>
    <w:p>
      <w:pPr>
        <w:ind w:left="420" w:firstLine="521"/>
        <w:spacing w:after="0" w:line="270" w:lineRule="auto"/>
        <w:rPr>
          <w:sz w:val="20"/>
          <w:szCs w:val="20"/>
          <w:color w:val="auto"/>
        </w:rPr>
      </w:pPr>
      <w:r>
        <w:rPr>
          <w:rFonts w:ascii="Arial" w:cs="Arial" w:eastAsia="Arial" w:hAnsi="Arial"/>
          <w:sz w:val="17"/>
          <w:szCs w:val="17"/>
          <w:color w:val="auto"/>
        </w:rPr>
        <w:t>Our diversified ecDTx pipeline currently consists of three small molecule programs against both novel and known cancer targets. In addition, our Spyglass platform continues to yield new candidate targets for potential future drug discovery efforts.</w:t>
      </w:r>
    </w:p>
    <w:p>
      <w:pPr>
        <w:spacing w:after="0" w:line="250"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Our Pipeline and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1120775</wp:posOffset>
            </wp:positionH>
            <wp:positionV relativeFrom="paragraph">
              <wp:posOffset>154305</wp:posOffset>
            </wp:positionV>
            <wp:extent cx="4908550" cy="22555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908550" cy="225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0800"/>
          </w:cols>
          <w:pgMar w:left="320" w:top="439" w:right="7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Our Lead ecDTx: BBI-355 CHK1 Inhibitor</w:t>
      </w:r>
    </w:p>
    <w:p>
      <w:pPr>
        <w:spacing w:after="0" w:line="98" w:lineRule="exact"/>
        <w:rPr>
          <w:sz w:val="20"/>
          <w:szCs w:val="20"/>
          <w:color w:val="auto"/>
        </w:rPr>
      </w:pPr>
    </w:p>
    <w:p>
      <w:pPr>
        <w:ind w:left="420" w:right="40" w:firstLine="521"/>
        <w:spacing w:after="0" w:line="239" w:lineRule="auto"/>
        <w:rPr>
          <w:sz w:val="20"/>
          <w:szCs w:val="20"/>
          <w:color w:val="auto"/>
        </w:rPr>
      </w:pPr>
      <w:r>
        <w:rPr>
          <w:rFonts w:ascii="Arial" w:cs="Arial" w:eastAsia="Arial" w:hAnsi="Arial"/>
          <w:sz w:val="17"/>
          <w:szCs w:val="17"/>
          <w:color w:val="auto"/>
        </w:rPr>
        <w:t>Our lead ecDTx, BBI-355, is a novel, oral, selective small molecule CHK1 inhibitor being studied in the ongoing first-in-human Phase 1/2 POTENTIATE clinical trial in patients with oncogene amplified cancers agnostic to tumor type. In preclinical models, BBI-355 showed inhibition of CHK1 in a host of tumor cell lines. CHK1 is a master regulator of cells’ response to RS. RS is elevated in ecDNA-enabled oncogene amplified cancer cells and, because of this, represents a key vulnerability of those cells. BBI-355 is designed to exploit this elevated RS in ecDNA-enabled oncogene amplified cancer cells by disrupting proper CHK1 function in regulating RS and thereby facilitating catastrophic RS to preferentially kill cancer cells relative to healthy cells. We expect to have preliminary clinical proof of concept safety and antitumor activity data of BBI-355 as a single agent and in combination with targeted therapies from the POTENTIATE trial in the second half of 2024 from approximately 50 to 90 total enrolled patients (single agent cohorts N=~30 to 40, combination cohorts N=~20 to 50).</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CHK1 Synthetic Lethality in Oncogene Amplified Cancer</w:t>
      </w:r>
    </w:p>
    <w:p>
      <w:pPr>
        <w:spacing w:after="0" w:line="98" w:lineRule="exact"/>
        <w:rPr>
          <w:sz w:val="20"/>
          <w:szCs w:val="20"/>
          <w:color w:val="auto"/>
        </w:rPr>
      </w:pPr>
    </w:p>
    <w:p>
      <w:pPr>
        <w:ind w:left="420" w:firstLine="521"/>
        <w:spacing w:after="0" w:line="239" w:lineRule="auto"/>
        <w:rPr>
          <w:sz w:val="20"/>
          <w:szCs w:val="20"/>
          <w:color w:val="auto"/>
        </w:rPr>
      </w:pPr>
      <w:r>
        <w:rPr>
          <w:rFonts w:ascii="Arial" w:cs="Arial" w:eastAsia="Arial" w:hAnsi="Arial"/>
          <w:sz w:val="17"/>
          <w:szCs w:val="17"/>
          <w:color w:val="auto"/>
        </w:rPr>
        <w:t xml:space="preserve">With every mammalian cell division, chromosomes comprised of billions of nucleotides must be precisely copied in coordination with the cell cycle to avoid dysregulated DNA replication or RS, which can lead to DNA damage, mis-segregation of genetic material, and, if unregulated, cell death. RS is characterized by uncoupling of the replicative helicase and DNA polymerase, slowdown of DNA synthesis, and/or replication fork stalling. These result in long stretches of fragile single stranded DNA (ssDNA) that is protected temporarily by binding to phosphorylated RPA protein (pRPA) to allow time for the rest of the cellular RS response to resolve any DNA damage. Low level RS is tolerated by cancer cells through an increased reliance on specific cellular machinery responsible for RS mitigation. In contrast, excessive RS can result in extensive DNA damage and cell death through replication and/or cell division catastrophe. Results from multiple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studies suggest that cancer cells with gene amplifications on ecDNA exhibited elevated intrinsic levels of RS and were hypersensitive to further increases in RS, thus providing the rationale to leverage this liability as a therapeutic strategy to treat oncogene amplified cancers.</w:t>
      </w:r>
    </w:p>
    <w:p>
      <w:pPr>
        <w:spacing w:after="0" w:line="174" w:lineRule="exact"/>
        <w:rPr>
          <w:sz w:val="20"/>
          <w:szCs w:val="20"/>
          <w:color w:val="auto"/>
        </w:rPr>
      </w:pPr>
    </w:p>
    <w:p>
      <w:pPr>
        <w:ind w:left="420" w:right="220" w:firstLine="521"/>
        <w:spacing w:after="0" w:line="241" w:lineRule="auto"/>
        <w:rPr>
          <w:sz w:val="20"/>
          <w:szCs w:val="20"/>
          <w:color w:val="auto"/>
        </w:rPr>
      </w:pPr>
      <w:r>
        <w:rPr>
          <w:rFonts w:ascii="Arial" w:cs="Arial" w:eastAsia="Arial" w:hAnsi="Arial"/>
          <w:sz w:val="17"/>
          <w:szCs w:val="17"/>
          <w:color w:val="auto"/>
        </w:rPr>
        <w:t>Circular ecDNA creates abnormally high accessibility of the DNA encoded on the circle, and those DNA remain accessible throughout the cell cycle. Open, accessible DNA is available to the cellular machinery for DNA replication and for RNA transcription. In healthy cells, these two processes are tightly coordinated so that cells do not replicate and transcribe the same regions of DNA at the same time. When transcription and replication do occur at the same time and place, transcription-replication collisions occur, resulting in stalled replication forks and RS. Consequently, tumor cells that have ecDNA also have colliding transcription and replication and are therefore under a great deal of RS, as detected by high pRPA levels. This elevated RS creates a unique, druggable, cancer-specific vulnerability.</w:t>
      </w:r>
    </w:p>
    <w:p>
      <w:pPr>
        <w:spacing w:after="0" w:line="10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0840"/>
          </w:cols>
          <w:pgMar w:left="320" w:top="439" w:right="7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ecDNA-enabled Cancer Cells Demonstrate Elevated Intrinsic Levels of 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1113155</wp:posOffset>
            </wp:positionH>
            <wp:positionV relativeFrom="paragraph">
              <wp:posOffset>154305</wp:posOffset>
            </wp:positionV>
            <wp:extent cx="4916805" cy="21907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916805" cy="2190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20" w:firstLine="521"/>
        <w:spacing w:after="0" w:line="244" w:lineRule="auto"/>
        <w:rPr>
          <w:sz w:val="20"/>
          <w:szCs w:val="20"/>
          <w:color w:val="auto"/>
        </w:rPr>
      </w:pPr>
      <w:r>
        <w:rPr>
          <w:rFonts w:ascii="Arial" w:cs="Arial" w:eastAsia="Arial" w:hAnsi="Arial"/>
          <w:sz w:val="17"/>
          <w:szCs w:val="17"/>
          <w:color w:val="auto"/>
        </w:rPr>
        <w:t xml:space="preserve">We are seeking to exploit this synthetic lethal relationship to identify druggable targets essential for survival of cells harboring ecDNA. To this end, as seen in the figure below, we conducted a CRISPR kinome screen in cancer cells resistant to the cancer drug methotrexate via amplification of the gene </w:t>
      </w:r>
      <w:r>
        <w:rPr>
          <w:rFonts w:ascii="Arial" w:cs="Arial" w:eastAsia="Arial" w:hAnsi="Arial"/>
          <w:sz w:val="17"/>
          <w:szCs w:val="17"/>
          <w:i w:val="1"/>
          <w:iCs w:val="1"/>
          <w:color w:val="auto"/>
        </w:rPr>
        <w:t>DHFR</w:t>
      </w:r>
      <w:r>
        <w:rPr>
          <w:rFonts w:ascii="Arial" w:cs="Arial" w:eastAsia="Arial" w:hAnsi="Arial"/>
          <w:sz w:val="17"/>
          <w:szCs w:val="17"/>
          <w:color w:val="auto"/>
        </w:rPr>
        <w:t xml:space="preserve"> on ecDNA. In this ecDNA model system, genetic inactivation of the kinase CHK1 (encoded by </w:t>
      </w:r>
      <w:r>
        <w:rPr>
          <w:rFonts w:ascii="Arial" w:cs="Arial" w:eastAsia="Arial" w:hAnsi="Arial"/>
          <w:sz w:val="17"/>
          <w:szCs w:val="17"/>
          <w:i w:val="1"/>
          <w:iCs w:val="1"/>
          <w:color w:val="auto"/>
        </w:rPr>
        <w:t>CHEK1</w:t>
      </w:r>
      <w:r>
        <w:rPr>
          <w:rFonts w:ascii="Arial" w:cs="Arial" w:eastAsia="Arial" w:hAnsi="Arial"/>
          <w:sz w:val="17"/>
          <w:szCs w:val="17"/>
          <w:color w:val="auto"/>
        </w:rPr>
        <w:t>) resulted in enhanced cytotoxicity in ecDNA-enabled cells as compared to ecDNA negative cells, providing evidence of CHK1 as a potential drug target for ecDNA-enabled tumors.</w:t>
      </w:r>
    </w:p>
    <w:p>
      <w:pPr>
        <w:spacing w:after="0" w:line="271" w:lineRule="exact"/>
        <w:rPr>
          <w:sz w:val="20"/>
          <w:szCs w:val="20"/>
          <w:color w:val="auto"/>
        </w:rPr>
      </w:pPr>
    </w:p>
    <w:p>
      <w:pPr>
        <w:jc w:val="center"/>
        <w:ind w:left="820" w:right="140"/>
        <w:spacing w:after="0" w:line="280" w:lineRule="auto"/>
        <w:rPr>
          <w:sz w:val="20"/>
          <w:szCs w:val="20"/>
          <w:color w:val="auto"/>
        </w:rPr>
      </w:pPr>
      <w:r>
        <w:rPr>
          <w:rFonts w:ascii="Arial" w:cs="Arial" w:eastAsia="Arial" w:hAnsi="Arial"/>
          <w:sz w:val="17"/>
          <w:szCs w:val="17"/>
          <w:b w:val="1"/>
          <w:bCs w:val="1"/>
          <w:color w:val="auto"/>
        </w:rPr>
        <w:t>CRISPR Kinome Screen Identified CHK1 (</w:t>
      </w:r>
      <w:r>
        <w:rPr>
          <w:rFonts w:ascii="Arial" w:cs="Arial" w:eastAsia="Arial" w:hAnsi="Arial"/>
          <w:sz w:val="17"/>
          <w:szCs w:val="17"/>
          <w:b w:val="1"/>
          <w:bCs w:val="1"/>
          <w:i w:val="1"/>
          <w:iCs w:val="1"/>
          <w:color w:val="auto"/>
        </w:rPr>
        <w:t>CHEK1</w:t>
      </w:r>
      <w:r>
        <w:rPr>
          <w:rFonts w:ascii="Arial" w:cs="Arial" w:eastAsia="Arial" w:hAnsi="Arial"/>
          <w:sz w:val="17"/>
          <w:szCs w:val="17"/>
          <w:b w:val="1"/>
          <w:bCs w:val="1"/>
          <w:color w:val="auto"/>
        </w:rPr>
        <w:t>) Inhibition as a Top Synthetic Lethality Hit in ecDNA-enabled Methotrexate Resistant (MTX-R) Cancer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1843405</wp:posOffset>
            </wp:positionH>
            <wp:positionV relativeFrom="paragraph">
              <wp:posOffset>110490</wp:posOffset>
            </wp:positionV>
            <wp:extent cx="3464560" cy="21336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64560" cy="2133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20" w:right="240" w:firstLine="521"/>
        <w:spacing w:after="0" w:line="247" w:lineRule="auto"/>
        <w:rPr>
          <w:sz w:val="20"/>
          <w:szCs w:val="20"/>
          <w:color w:val="auto"/>
        </w:rPr>
      </w:pPr>
      <w:r>
        <w:rPr>
          <w:rFonts w:ascii="Arial" w:cs="Arial" w:eastAsia="Arial" w:hAnsi="Arial"/>
          <w:sz w:val="17"/>
          <w:szCs w:val="17"/>
          <w:color w:val="auto"/>
        </w:rPr>
        <w:t>CHK1 is cells’ master regulator of the RS response. CHK1 protects stalled DNA forks, manages DNA replication origin firing, temporarily arrests the cell cycle to allow time for DNA repair, and orchestrates repair through homologous recombination. As such, as seen in the figure below, CHK1 serves an essential role in managing RS, making it a potential therapeutic target for cancer therapy in tumors with high RS, such as those with ecDNA-enabled oncogene amplifications.</w:t>
      </w:r>
    </w:p>
    <w:p>
      <w:pPr>
        <w:spacing w:after="0" w:line="10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0740"/>
          </w:cols>
          <w:pgMar w:left="320" w:top="439" w:right="8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CHK1 is the Cellular Master Regulator of the Response to ecDNA-Induced 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154305</wp:posOffset>
            </wp:positionV>
            <wp:extent cx="2531110" cy="21094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31110"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20" w:right="20" w:firstLine="521"/>
        <w:spacing w:after="0" w:line="242" w:lineRule="auto"/>
        <w:rPr>
          <w:sz w:val="20"/>
          <w:szCs w:val="20"/>
          <w:color w:val="auto"/>
        </w:rPr>
      </w:pPr>
      <w:r>
        <w:rPr>
          <w:rFonts w:ascii="Arial" w:cs="Arial" w:eastAsia="Arial" w:hAnsi="Arial"/>
          <w:sz w:val="17"/>
          <w:szCs w:val="17"/>
          <w:color w:val="auto"/>
        </w:rPr>
        <w:t xml:space="preserve">In our research, both genetic inactivation and pharmacological inhibition of CHK1 using structurally distinct inhibitors resulted in enhanced cytotoxicity to ecDNA-enabled cells compared to cells lacking ecDNA. This synthetic lethal relationship was observed across multiple preclinical models spanning different cancer indications and oncogene amplifications, such as </w:t>
      </w:r>
      <w:r>
        <w:rPr>
          <w:rFonts w:ascii="Arial" w:cs="Arial" w:eastAsia="Arial" w:hAnsi="Arial"/>
          <w:sz w:val="17"/>
          <w:szCs w:val="17"/>
          <w:i w:val="1"/>
          <w:iCs w:val="1"/>
          <w:color w:val="auto"/>
        </w:rPr>
        <w:t>EGFR</w:t>
      </w:r>
      <w:r>
        <w:rPr>
          <w:rFonts w:ascii="Arial" w:cs="Arial" w:eastAsia="Arial" w:hAnsi="Arial"/>
          <w:sz w:val="17"/>
          <w:szCs w:val="17"/>
          <w:color w:val="auto"/>
        </w:rPr>
        <w:t xml:space="preserve">, </w:t>
      </w:r>
      <w:r>
        <w:rPr>
          <w:rFonts w:ascii="Arial" w:cs="Arial" w:eastAsia="Arial" w:hAnsi="Arial"/>
          <w:sz w:val="17"/>
          <w:szCs w:val="17"/>
          <w:i w:val="1"/>
          <w:iCs w:val="1"/>
          <w:color w:val="auto"/>
        </w:rPr>
        <w:t>FGFR2, CDK4, MYC,</w:t>
      </w:r>
      <w:r>
        <w:rPr>
          <w:rFonts w:ascii="Arial" w:cs="Arial" w:eastAsia="Arial" w:hAnsi="Arial"/>
          <w:sz w:val="17"/>
          <w:szCs w:val="17"/>
          <w:color w:val="auto"/>
        </w:rPr>
        <w:t xml:space="preserve"> and </w:t>
      </w:r>
      <w:r>
        <w:rPr>
          <w:rFonts w:ascii="Arial" w:cs="Arial" w:eastAsia="Arial" w:hAnsi="Arial"/>
          <w:sz w:val="17"/>
          <w:szCs w:val="17"/>
          <w:i w:val="1"/>
          <w:iCs w:val="1"/>
          <w:color w:val="auto"/>
        </w:rPr>
        <w:t>MET</w:t>
      </w:r>
      <w:r>
        <w:rPr>
          <w:rFonts w:ascii="Arial" w:cs="Arial" w:eastAsia="Arial" w:hAnsi="Arial"/>
          <w:sz w:val="17"/>
          <w:szCs w:val="17"/>
          <w:color w:val="auto"/>
        </w:rPr>
        <w:t>. CHK1 inhibition, both as a single agent and in combination with targeted therapy, resulted in tumor growth inhibition and tumor</w:t>
      </w:r>
      <w:r>
        <w:rPr>
          <w:rFonts w:ascii="Arial" w:cs="Arial" w:eastAsia="Arial" w:hAnsi="Arial"/>
          <w:sz w:val="17"/>
          <w:szCs w:val="17"/>
          <w:i w:val="1"/>
          <w:iCs w:val="1"/>
          <w:color w:val="auto"/>
        </w:rPr>
        <w:t xml:space="preserve"> </w:t>
      </w:r>
      <w:r>
        <w:rPr>
          <w:rFonts w:ascii="Arial" w:cs="Arial" w:eastAsia="Arial" w:hAnsi="Arial"/>
          <w:sz w:val="17"/>
          <w:szCs w:val="17"/>
          <w:color w:val="auto"/>
        </w:rPr>
        <w:t>regressions, which correlated with reduced levels of ecDNA-based gene amplification and protein expression in ecDNA-enabled xenograft models.</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Historical Challenges with CHK1 Inhibitor Development</w:t>
      </w:r>
    </w:p>
    <w:p>
      <w:pPr>
        <w:spacing w:after="0" w:line="98" w:lineRule="exact"/>
        <w:rPr>
          <w:sz w:val="20"/>
          <w:szCs w:val="20"/>
          <w:color w:val="auto"/>
        </w:rPr>
      </w:pPr>
    </w:p>
    <w:p>
      <w:pPr>
        <w:ind w:left="420" w:firstLine="521"/>
        <w:spacing w:after="0" w:line="239" w:lineRule="auto"/>
        <w:rPr>
          <w:sz w:val="20"/>
          <w:szCs w:val="20"/>
          <w:color w:val="auto"/>
        </w:rPr>
      </w:pPr>
      <w:r>
        <w:rPr>
          <w:rFonts w:ascii="Arial" w:cs="Arial" w:eastAsia="Arial" w:hAnsi="Arial"/>
          <w:sz w:val="17"/>
          <w:szCs w:val="17"/>
          <w:color w:val="auto"/>
        </w:rPr>
        <w:t>CHK1 has been considered a cancer target for many years, and several biopharmaceutical companies have attempted to develop CHK1 inhibitors for cancer. In the past, a major challenge to developing CHK1 inhibitors to treat cancer was difficulty in accurately identifying tumors with high RS or other vulnerabilities that would respond well to this therapeutic approach. Despite strong preclinical data and preliminary evidence of clinical activity for CHK1 inhibition, including single agent responses in a small percentage of patients, no development programs have advanced to registration, which we believe is due to lack of adequate predictive biomarker(s) and optimal clinical development strategies. In addition, a range of other challenges have stalled the clinical advancement of prior CHK1 inhibitors. These challenges included suboptimal drug properties, potential compound scaffold-specific safety liabilities, such as potential cardiotoxicities and drug-drug interactions, as well as weak potency or selectivity. Furthermore, IV administered CHK1 inhibitors make continuous or chronic intermittent dosing, which we believe is critical for targeting ecDNA biology, more challenging.</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Our Differentiated Approach</w:t>
      </w:r>
    </w:p>
    <w:p>
      <w:pPr>
        <w:spacing w:after="0" w:line="98" w:lineRule="exact"/>
        <w:rPr>
          <w:sz w:val="20"/>
          <w:szCs w:val="20"/>
          <w:color w:val="auto"/>
        </w:rPr>
      </w:pPr>
    </w:p>
    <w:p>
      <w:pPr>
        <w:ind w:left="420" w:right="120" w:firstLine="521"/>
        <w:spacing w:after="0" w:line="242" w:lineRule="auto"/>
        <w:rPr>
          <w:sz w:val="20"/>
          <w:szCs w:val="20"/>
          <w:color w:val="auto"/>
        </w:rPr>
      </w:pPr>
      <w:r>
        <w:rPr>
          <w:rFonts w:ascii="Arial" w:cs="Arial" w:eastAsia="Arial" w:hAnsi="Arial"/>
          <w:sz w:val="17"/>
          <w:szCs w:val="17"/>
          <w:color w:val="auto"/>
        </w:rPr>
        <w:t>Through extensive preclinical studies in ecDNA-enabled oncogene amplified cancer models, we determined what we consider the optimal CHK1 inhibitor profile for targeting ecDNA-enabled tumors and designed our lead ecDTx, BBI-355, accordingly. We believe that with the optimized biochemical profile of BBI-355, alongside our differentiated precision oncology development strategy, coupled with our approach to identify patients with oncogene amplifications on ecDNA using our ecDNA diagnostic, we can overcome the challenges encountered with prior CHK1 inhibitors. BBI-355 showed picomolar biochemical inhibition of CHK1, low nanomolar activity in a host of tumor cell lines, and substantial antitumor activity in multiple ecDNA-enabled xenograft models representing several tumor types and</w:t>
      </w:r>
    </w:p>
    <w:p>
      <w:pPr>
        <w:spacing w:after="0" w:line="10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0820"/>
          </w:cols>
          <w:pgMar w:left="320" w:top="439" w:right="7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140"/>
        <w:spacing w:after="0" w:line="270" w:lineRule="auto"/>
        <w:rPr>
          <w:sz w:val="20"/>
          <w:szCs w:val="20"/>
          <w:color w:val="auto"/>
        </w:rPr>
      </w:pPr>
      <w:r>
        <w:rPr>
          <w:rFonts w:ascii="Arial" w:cs="Arial" w:eastAsia="Arial" w:hAnsi="Arial"/>
          <w:sz w:val="17"/>
          <w:szCs w:val="17"/>
          <w:color w:val="auto"/>
        </w:rPr>
        <w:t>various driver oncogene amplifications. We are developing BBI-355 for the treatment of oncogene amplified solid tumors, including those with amplifications on ecDNA as detected by our proprietary ecDNA diagnostic.</w:t>
      </w:r>
    </w:p>
    <w:p>
      <w:pPr>
        <w:spacing w:after="0" w:line="148" w:lineRule="exact"/>
        <w:rPr>
          <w:sz w:val="20"/>
          <w:szCs w:val="20"/>
          <w:color w:val="auto"/>
        </w:rPr>
      </w:pPr>
    </w:p>
    <w:p>
      <w:pPr>
        <w:ind w:left="420" w:firstLine="521"/>
        <w:spacing w:after="0" w:line="252" w:lineRule="auto"/>
        <w:rPr>
          <w:sz w:val="20"/>
          <w:szCs w:val="20"/>
          <w:color w:val="auto"/>
        </w:rPr>
      </w:pPr>
      <w:r>
        <w:rPr>
          <w:rFonts w:ascii="Arial" w:cs="Arial" w:eastAsia="Arial" w:hAnsi="Arial"/>
          <w:sz w:val="17"/>
          <w:szCs w:val="17"/>
          <w:color w:val="auto"/>
        </w:rPr>
        <w:t xml:space="preserve">Properties of BBI-355 observed in preclinical studies are shown below. BBI-355 is a novel, oral, selective small molecule inhibitor of CHK1, and we believe has a predicted low risk of drug-drug interaction and cardiovascular liabilities based on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CYP and hERG/cardiomyocyte study results, respectively.</w:t>
      </w:r>
    </w:p>
    <w:p>
      <w:pPr>
        <w:spacing w:after="0" w:line="164"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Preclinical Properties of BBI-355 CHK1 Inhibitor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1656715</wp:posOffset>
            </wp:positionH>
            <wp:positionV relativeFrom="paragraph">
              <wp:posOffset>154305</wp:posOffset>
            </wp:positionV>
            <wp:extent cx="3837305" cy="2296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37305" cy="229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0820"/>
          </w:cols>
          <w:pgMar w:left="320" w:top="439" w:right="7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BBI-355 In Vitro Preclinical Data</w:t>
      </w:r>
    </w:p>
    <w:p>
      <w:pPr>
        <w:spacing w:after="0" w:line="98" w:lineRule="exact"/>
        <w:rPr>
          <w:sz w:val="20"/>
          <w:szCs w:val="20"/>
          <w:color w:val="auto"/>
        </w:rPr>
      </w:pPr>
    </w:p>
    <w:p>
      <w:pPr>
        <w:ind w:left="420" w:firstLine="521"/>
        <w:spacing w:after="0" w:line="270" w:lineRule="auto"/>
        <w:rPr>
          <w:sz w:val="20"/>
          <w:szCs w:val="20"/>
          <w:color w:val="auto"/>
        </w:rPr>
      </w:pPr>
      <w:r>
        <w:rPr>
          <w:rFonts w:ascii="Arial" w:cs="Arial" w:eastAsia="Arial" w:hAnsi="Arial"/>
          <w:sz w:val="17"/>
          <w:szCs w:val="17"/>
          <w:color w:val="auto"/>
        </w:rPr>
        <w:t xml:space="preserve">BBI-355 was first characterized extensively </w:t>
      </w:r>
      <w:r>
        <w:rPr>
          <w:rFonts w:ascii="Arial" w:cs="Arial" w:eastAsia="Arial" w:hAnsi="Arial"/>
          <w:sz w:val="17"/>
          <w:szCs w:val="17"/>
          <w:i w:val="1"/>
          <w:iCs w:val="1"/>
          <w:color w:val="auto"/>
        </w:rPr>
        <w:t>in vitro</w:t>
      </w:r>
      <w:r>
        <w:rPr>
          <w:rFonts w:ascii="Arial" w:cs="Arial" w:eastAsia="Arial" w:hAnsi="Arial"/>
          <w:sz w:val="17"/>
          <w:szCs w:val="17"/>
          <w:color w:val="auto"/>
        </w:rPr>
        <w:t>. As seen in the figure below, the kinase selectivity of BBI-355 was evaluated in a broad screen, displaying minimal off-target activity and with high selectivity across the kinome.</w:t>
      </w:r>
    </w:p>
    <w:p>
      <w:pPr>
        <w:spacing w:after="0" w:line="250"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Kinase Selectivity of BBI-355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1120775</wp:posOffset>
            </wp:positionH>
            <wp:positionV relativeFrom="paragraph">
              <wp:posOffset>154305</wp:posOffset>
            </wp:positionV>
            <wp:extent cx="4908550" cy="31800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908550"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0" w:firstLine="521"/>
        <w:spacing w:after="0" w:line="260" w:lineRule="auto"/>
        <w:rPr>
          <w:sz w:val="20"/>
          <w:szCs w:val="20"/>
          <w:color w:val="auto"/>
        </w:rPr>
      </w:pPr>
      <w:r>
        <w:rPr>
          <w:rFonts w:ascii="Arial" w:cs="Arial" w:eastAsia="Arial" w:hAnsi="Arial"/>
          <w:sz w:val="16"/>
          <w:szCs w:val="16"/>
          <w:color w:val="auto"/>
        </w:rPr>
        <w:t>As seen in the figure below, BBI-355 demonstrated broad cytotoxicity against a host of tumor cell lines, with IC</w:t>
      </w:r>
      <w:r>
        <w:rPr>
          <w:rFonts w:ascii="Arial" w:cs="Arial" w:eastAsia="Arial" w:hAnsi="Arial"/>
          <w:sz w:val="11"/>
          <w:szCs w:val="11"/>
          <w:color w:val="auto"/>
        </w:rPr>
        <w:t>50</w:t>
      </w:r>
      <w:r>
        <w:rPr>
          <w:rFonts w:ascii="Arial" w:cs="Arial" w:eastAsia="Arial" w:hAnsi="Arial"/>
          <w:sz w:val="16"/>
          <w:szCs w:val="16"/>
          <w:color w:val="auto"/>
        </w:rPr>
        <w:t xml:space="preserve"> ranges from ~5 nM – 200 nM. Consistent with the enhanced reliance that ecDNA-enabled oncogene amplified cancer cells have on CHK1 due to their intrinsic elevated RS, we have observed increased sensitivity in ecDNA-enabled cancer cell lines over ecDNA negative cancer cell lines. This observation was exemplified using a near isogenic matched cell line pair of colorectal cancer cell lines (COLO320 ecDNA-enabled (+) versus COLO320 ecDNA (-)), wherein BBI-355 was approximately 10-fold more cytotoxic in ecDNA-enabled cells. Importantly, the potency of cytotoxicity in the ecDNA-enabled cancer cells paralleled the IC</w:t>
      </w:r>
      <w:r>
        <w:rPr>
          <w:rFonts w:ascii="Arial" w:cs="Arial" w:eastAsia="Arial" w:hAnsi="Arial"/>
          <w:sz w:val="11"/>
          <w:szCs w:val="11"/>
          <w:color w:val="auto"/>
        </w:rPr>
        <w:t>50</w:t>
      </w:r>
      <w:r>
        <w:rPr>
          <w:rFonts w:ascii="Arial" w:cs="Arial" w:eastAsia="Arial" w:hAnsi="Arial"/>
          <w:sz w:val="16"/>
          <w:szCs w:val="16"/>
          <w:color w:val="auto"/>
        </w:rPr>
        <w:t xml:space="preserve"> for cellular biomarkers of RS, including pRPA, pCHK1, and gH2AX.</w:t>
      </w:r>
    </w:p>
    <w:p>
      <w:pPr>
        <w:spacing w:after="0" w:line="95"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0820"/>
          </w:cols>
          <w:pgMar w:left="320" w:top="439" w:right="7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right"/>
        <w:ind w:right="919"/>
        <w:spacing w:after="0"/>
        <w:rPr>
          <w:sz w:val="20"/>
          <w:szCs w:val="20"/>
          <w:color w:val="auto"/>
        </w:rPr>
      </w:pPr>
      <w:r>
        <w:rPr>
          <w:rFonts w:ascii="Arial" w:cs="Arial" w:eastAsia="Arial" w:hAnsi="Arial"/>
          <w:sz w:val="17"/>
          <w:szCs w:val="17"/>
          <w:b w:val="1"/>
          <w:bCs w:val="1"/>
          <w:color w:val="auto"/>
        </w:rPr>
        <w:t xml:space="preserve">BBI-355 Demonstrated Increased </w:t>
      </w:r>
      <w:r>
        <w:rPr>
          <w:rFonts w:ascii="Arial" w:cs="Arial" w:eastAsia="Arial" w:hAnsi="Arial"/>
          <w:sz w:val="17"/>
          <w:szCs w:val="17"/>
          <w:b w:val="1"/>
          <w:bCs w:val="1"/>
          <w:i w:val="1"/>
          <w:iCs w:val="1"/>
          <w:color w:val="auto"/>
        </w:rPr>
        <w:t>In Vitro</w:t>
      </w:r>
      <w:r>
        <w:rPr>
          <w:rFonts w:ascii="Arial" w:cs="Arial" w:eastAsia="Arial" w:hAnsi="Arial"/>
          <w:sz w:val="17"/>
          <w:szCs w:val="17"/>
          <w:b w:val="1"/>
          <w:bCs w:val="1"/>
          <w:color w:val="auto"/>
        </w:rPr>
        <w:t xml:space="preserve"> Activity in ecDNA+ Versus ecDNA- Cancer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1567180</wp:posOffset>
            </wp:positionH>
            <wp:positionV relativeFrom="paragraph">
              <wp:posOffset>154305</wp:posOffset>
            </wp:positionV>
            <wp:extent cx="4016375" cy="21501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016375" cy="215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340"/>
        <w:spacing w:after="0"/>
        <w:rPr>
          <w:sz w:val="20"/>
          <w:szCs w:val="20"/>
          <w:color w:val="auto"/>
        </w:rPr>
      </w:pPr>
      <w:r>
        <w:rPr>
          <w:rFonts w:ascii="Arial" w:cs="Arial" w:eastAsia="Arial" w:hAnsi="Arial"/>
          <w:sz w:val="17"/>
          <w:szCs w:val="17"/>
          <w:b w:val="1"/>
          <w:bCs w:val="1"/>
          <w:color w:val="auto"/>
        </w:rPr>
        <w:t>BBI-355 Preferentially Increased RS in ecDNA+ Oncogene Amplified Cancer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2289175</wp:posOffset>
            </wp:positionH>
            <wp:positionV relativeFrom="paragraph">
              <wp:posOffset>154305</wp:posOffset>
            </wp:positionV>
            <wp:extent cx="2563495" cy="18662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63495" cy="186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0139"/>
          </w:cols>
          <w:pgMar w:left="320" w:top="439" w:right="144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BBI-355 Single Agent In Vivo Preclinical Data</w:t>
      </w:r>
    </w:p>
    <w:p>
      <w:pPr>
        <w:spacing w:after="0" w:line="98" w:lineRule="exact"/>
        <w:rPr>
          <w:sz w:val="20"/>
          <w:szCs w:val="20"/>
          <w:color w:val="auto"/>
        </w:rPr>
      </w:pPr>
    </w:p>
    <w:p>
      <w:pPr>
        <w:jc w:val="both"/>
        <w:ind w:left="420" w:right="120" w:firstLine="521"/>
        <w:spacing w:after="0" w:line="244" w:lineRule="auto"/>
        <w:rPr>
          <w:sz w:val="20"/>
          <w:szCs w:val="20"/>
          <w:color w:val="auto"/>
        </w:rPr>
      </w:pPr>
      <w:r>
        <w:rPr>
          <w:rFonts w:ascii="Arial" w:cs="Arial" w:eastAsia="Arial" w:hAnsi="Arial"/>
          <w:sz w:val="17"/>
          <w:szCs w:val="17"/>
          <w:color w:val="auto"/>
        </w:rPr>
        <w:t xml:space="preserve">As seen in the figure below, the antitumor activity of BBI-355 was further exemplified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in multiple ecDNA-enabled xenograft models representing several tumor types and various driver oncogene amplifications. Orally administered BBI-355 demonstrated single agent activity, including regressions in several cases, in an ecDNA-enabled </w:t>
      </w:r>
      <w:r>
        <w:rPr>
          <w:rFonts w:ascii="Arial" w:cs="Arial" w:eastAsia="Arial" w:hAnsi="Arial"/>
          <w:sz w:val="17"/>
          <w:szCs w:val="17"/>
          <w:i w:val="1"/>
          <w:iCs w:val="1"/>
          <w:color w:val="auto"/>
        </w:rPr>
        <w:t>CDK4</w:t>
      </w:r>
      <w:r>
        <w:rPr>
          <w:rFonts w:ascii="Arial" w:cs="Arial" w:eastAsia="Arial" w:hAnsi="Arial"/>
          <w:sz w:val="17"/>
          <w:szCs w:val="17"/>
          <w:color w:val="auto"/>
        </w:rPr>
        <w:t xml:space="preserve"> amplified osteosarcoma CDX model, ecDNA-enabled </w:t>
      </w:r>
      <w:r>
        <w:rPr>
          <w:rFonts w:ascii="Arial" w:cs="Arial" w:eastAsia="Arial" w:hAnsi="Arial"/>
          <w:sz w:val="17"/>
          <w:szCs w:val="17"/>
          <w:i w:val="1"/>
          <w:iCs w:val="1"/>
          <w:color w:val="auto"/>
        </w:rPr>
        <w:t xml:space="preserve">EGFR &amp; MET </w:t>
      </w:r>
      <w:r>
        <w:rPr>
          <w:rFonts w:ascii="Arial" w:cs="Arial" w:eastAsia="Arial" w:hAnsi="Arial"/>
          <w:sz w:val="17"/>
          <w:szCs w:val="17"/>
          <w:color w:val="auto"/>
        </w:rPr>
        <w:t>amplified NSCLC PDX model, ecDNA-enabled</w:t>
      </w:r>
      <w:r>
        <w:rPr>
          <w:rFonts w:ascii="Arial" w:cs="Arial" w:eastAsia="Arial" w:hAnsi="Arial"/>
          <w:sz w:val="17"/>
          <w:szCs w:val="17"/>
          <w:i w:val="1"/>
          <w:iCs w:val="1"/>
          <w:color w:val="auto"/>
        </w:rPr>
        <w:t xml:space="preserve"> MYCN </w:t>
      </w:r>
      <w:r>
        <w:rPr>
          <w:rFonts w:ascii="Arial" w:cs="Arial" w:eastAsia="Arial" w:hAnsi="Arial"/>
          <w:sz w:val="17"/>
          <w:szCs w:val="17"/>
          <w:color w:val="auto"/>
        </w:rPr>
        <w:t>amplified neuroblastoma CDX model, and ecDNA-enabled</w:t>
      </w:r>
      <w:r>
        <w:rPr>
          <w:rFonts w:ascii="Arial" w:cs="Arial" w:eastAsia="Arial" w:hAnsi="Arial"/>
          <w:sz w:val="17"/>
          <w:szCs w:val="17"/>
          <w:i w:val="1"/>
          <w:iCs w:val="1"/>
          <w:color w:val="auto"/>
        </w:rPr>
        <w:t xml:space="preserve"> FGFR2 </w:t>
      </w:r>
      <w:r>
        <w:rPr>
          <w:rFonts w:ascii="Arial" w:cs="Arial" w:eastAsia="Arial" w:hAnsi="Arial"/>
          <w:sz w:val="17"/>
          <w:szCs w:val="17"/>
          <w:color w:val="auto"/>
        </w:rPr>
        <w:t>amplified gastric cancer PDX model.</w:t>
      </w:r>
    </w:p>
    <w:p>
      <w:pPr>
        <w:spacing w:after="0" w:line="271"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 xml:space="preserve">BBI-355 Demonstrated Single Agent </w:t>
      </w:r>
      <w:r>
        <w:rPr>
          <w:rFonts w:ascii="Arial" w:cs="Arial" w:eastAsia="Arial" w:hAnsi="Arial"/>
          <w:sz w:val="17"/>
          <w:szCs w:val="17"/>
          <w:b w:val="1"/>
          <w:bCs w:val="1"/>
          <w:i w:val="1"/>
          <w:iCs w:val="1"/>
          <w:color w:val="auto"/>
        </w:rPr>
        <w:t>In Vivo</w:t>
      </w:r>
      <w:r>
        <w:rPr>
          <w:rFonts w:ascii="Arial" w:cs="Arial" w:eastAsia="Arial" w:hAnsi="Arial"/>
          <w:sz w:val="17"/>
          <w:szCs w:val="17"/>
          <w:b w:val="1"/>
          <w:bCs w:val="1"/>
          <w:color w:val="auto"/>
        </w:rPr>
        <w:t xml:space="preserve"> Activity Across Multiple ecDNA+ Oncogene Amplified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1388745</wp:posOffset>
            </wp:positionH>
            <wp:positionV relativeFrom="paragraph">
              <wp:posOffset>154305</wp:posOffset>
            </wp:positionV>
            <wp:extent cx="4373245" cy="34721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373245" cy="347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20" w:firstLine="521"/>
        <w:spacing w:after="0" w:line="244" w:lineRule="auto"/>
        <w:rPr>
          <w:sz w:val="20"/>
          <w:szCs w:val="20"/>
          <w:color w:val="auto"/>
        </w:rPr>
      </w:pPr>
      <w:r>
        <w:rPr>
          <w:rFonts w:ascii="Arial" w:cs="Arial" w:eastAsia="Arial" w:hAnsi="Arial"/>
          <w:sz w:val="17"/>
          <w:szCs w:val="17"/>
          <w:color w:val="auto"/>
        </w:rPr>
        <w:t xml:space="preserve">Another CHK1 inhibitor currently in clinical development is prexasertib, which is administered IV every 14 days to patients with cancer. In order to assess the utility of oral administration of a CHK1 inhibitor, BBI-355 administered orally daily or every other day was compared to prexasertib administered subcutaneously (SC) every 14 days to mimic clinical IV administration, in a head-to-head study in a </w:t>
      </w:r>
      <w:r>
        <w:rPr>
          <w:rFonts w:ascii="Arial" w:cs="Arial" w:eastAsia="Arial" w:hAnsi="Arial"/>
          <w:sz w:val="17"/>
          <w:szCs w:val="17"/>
          <w:i w:val="1"/>
          <w:iCs w:val="1"/>
          <w:color w:val="auto"/>
        </w:rPr>
        <w:t xml:space="preserve">MYCN </w:t>
      </w:r>
      <w:r>
        <w:rPr>
          <w:rFonts w:ascii="Arial" w:cs="Arial" w:eastAsia="Arial" w:hAnsi="Arial"/>
          <w:sz w:val="17"/>
          <w:szCs w:val="17"/>
          <w:color w:val="auto"/>
        </w:rPr>
        <w:t>amplified mouse xenograft neuroblastoma model. In this preclinical study, as seen in the figure below, the more frequent oral</w:t>
      </w:r>
      <w:r>
        <w:rPr>
          <w:rFonts w:ascii="Arial" w:cs="Arial" w:eastAsia="Arial" w:hAnsi="Arial"/>
          <w:sz w:val="17"/>
          <w:szCs w:val="17"/>
          <w:i w:val="1"/>
          <w:iCs w:val="1"/>
          <w:color w:val="auto"/>
        </w:rPr>
        <w:t xml:space="preserve"> </w:t>
      </w:r>
      <w:r>
        <w:rPr>
          <w:rFonts w:ascii="Arial" w:cs="Arial" w:eastAsia="Arial" w:hAnsi="Arial"/>
          <w:sz w:val="17"/>
          <w:szCs w:val="17"/>
          <w:color w:val="auto"/>
        </w:rPr>
        <w:t>dosing strategy of BBI-355 demonstrated statistically significant superior antitumor activity compared to both the vehicle and prexasertib, as measured by tumor growth inhibition, without increased toxicity, as measured by body weight gain. Notably, the prexasertib dose of 15 mg/kg SC every 14 days in this mouse study delivered equivalent therapeutic exposure, with matching area under the curve (AUC), to the reported clinical exposure at the human recommended Phase 2 dose (RP2D) of 105 mg/m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IV every 14 days.</w:t>
      </w:r>
    </w:p>
    <w:p>
      <w:pPr>
        <w:spacing w:after="0" w:line="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0760"/>
          </w:cols>
          <w:pgMar w:left="320" w:top="439" w:right="8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center"/>
        <w:ind w:left="760" w:right="40"/>
        <w:spacing w:after="0" w:line="280" w:lineRule="auto"/>
        <w:rPr>
          <w:sz w:val="20"/>
          <w:szCs w:val="20"/>
          <w:color w:val="auto"/>
        </w:rPr>
      </w:pPr>
      <w:r>
        <w:rPr>
          <w:rFonts w:ascii="Arial" w:cs="Arial" w:eastAsia="Arial" w:hAnsi="Arial"/>
          <w:sz w:val="17"/>
          <w:szCs w:val="17"/>
          <w:b w:val="1"/>
          <w:bCs w:val="1"/>
          <w:color w:val="auto"/>
        </w:rPr>
        <w:t xml:space="preserve">Head-to-Head Comparison of BBI-355 and Prexasertib </w:t>
      </w:r>
      <w:r>
        <w:rPr>
          <w:rFonts w:ascii="Arial" w:cs="Arial" w:eastAsia="Arial" w:hAnsi="Arial"/>
          <w:sz w:val="17"/>
          <w:szCs w:val="17"/>
          <w:b w:val="1"/>
          <w:bCs w:val="1"/>
          <w:i w:val="1"/>
          <w:iCs w:val="1"/>
          <w:color w:val="auto"/>
        </w:rPr>
        <w:t>In Vivo</w:t>
      </w:r>
      <w:r>
        <w:rPr>
          <w:rFonts w:ascii="Arial" w:cs="Arial" w:eastAsia="Arial" w:hAnsi="Arial"/>
          <w:sz w:val="17"/>
          <w:szCs w:val="17"/>
          <w:b w:val="1"/>
          <w:bCs w:val="1"/>
          <w:color w:val="auto"/>
        </w:rPr>
        <w:t xml:space="preserve"> Antitumor Activity, Tolerability, and Pharmacokinetics as a Single Agent in a </w:t>
      </w:r>
      <w:r>
        <w:rPr>
          <w:rFonts w:ascii="Arial" w:cs="Arial" w:eastAsia="Arial" w:hAnsi="Arial"/>
          <w:sz w:val="17"/>
          <w:szCs w:val="17"/>
          <w:b w:val="1"/>
          <w:bCs w:val="1"/>
          <w:i w:val="1"/>
          <w:iCs w:val="1"/>
          <w:color w:val="auto"/>
        </w:rPr>
        <w:t>MYCN</w:t>
      </w:r>
      <w:r>
        <w:rPr>
          <w:rFonts w:ascii="Arial" w:cs="Arial" w:eastAsia="Arial" w:hAnsi="Arial"/>
          <w:sz w:val="17"/>
          <w:szCs w:val="17"/>
          <w:b w:val="1"/>
          <w:bCs w:val="1"/>
          <w:color w:val="auto"/>
        </w:rPr>
        <w:t xml:space="preserve"> Amplified Neuroblastoma CDX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110490</wp:posOffset>
            </wp:positionV>
            <wp:extent cx="4519295" cy="3561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519295" cy="3561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BBI-355 Combination In Vivo Preclinical Data</w:t>
      </w:r>
    </w:p>
    <w:p>
      <w:pPr>
        <w:spacing w:after="0" w:line="98" w:lineRule="exact"/>
        <w:rPr>
          <w:sz w:val="20"/>
          <w:szCs w:val="20"/>
          <w:color w:val="auto"/>
        </w:rPr>
      </w:pPr>
    </w:p>
    <w:p>
      <w:pPr>
        <w:ind w:left="420" w:firstLine="521"/>
        <w:spacing w:after="0" w:line="242" w:lineRule="auto"/>
        <w:rPr>
          <w:sz w:val="20"/>
          <w:szCs w:val="20"/>
          <w:color w:val="auto"/>
        </w:rPr>
      </w:pPr>
      <w:r>
        <w:rPr>
          <w:rFonts w:ascii="Arial" w:cs="Arial" w:eastAsia="Arial" w:hAnsi="Arial"/>
          <w:sz w:val="17"/>
          <w:szCs w:val="17"/>
          <w:color w:val="auto"/>
        </w:rPr>
        <w:t xml:space="preserve">Cancers that harbor amplified oncogenes, such as </w:t>
      </w:r>
      <w:r>
        <w:rPr>
          <w:rFonts w:ascii="Arial" w:cs="Arial" w:eastAsia="Arial" w:hAnsi="Arial"/>
          <w:sz w:val="17"/>
          <w:szCs w:val="17"/>
          <w:i w:val="1"/>
          <w:iCs w:val="1"/>
          <w:color w:val="auto"/>
        </w:rPr>
        <w:t>EGFR, FGFR, or CDK4</w:t>
      </w:r>
      <w:r>
        <w:rPr>
          <w:rFonts w:ascii="Arial" w:cs="Arial" w:eastAsia="Arial" w:hAnsi="Arial"/>
          <w:sz w:val="17"/>
          <w:szCs w:val="17"/>
          <w:color w:val="auto"/>
        </w:rPr>
        <w:t>, typically do not respond well to single agent targeted therapies. We believe this is because ecDNA can facilitate rapid genomic plasticity, leading to resistance to selective therapeutic pressure. We believe this ecDNA-enabled resistance to targeted therapies can be overcome by combining our ecDTx, such as BBI-355, with targeted agents to interrupt the potential for ecDNA to facilitate resistance. We believe that this ecDTx and targeted therapy combination strategy may be effective across multiple different oncogene cargos encoded on the ecDNA and may lead to higher response rates, deeper regressions, and longer duration of responses as compared to single agent targeted therapies.</w:t>
      </w:r>
    </w:p>
    <w:p>
      <w:pPr>
        <w:spacing w:after="0" w:line="172" w:lineRule="exact"/>
        <w:rPr>
          <w:sz w:val="20"/>
          <w:szCs w:val="20"/>
          <w:color w:val="auto"/>
        </w:rPr>
      </w:pPr>
    </w:p>
    <w:p>
      <w:pPr>
        <w:ind w:left="420" w:right="260" w:firstLine="521"/>
        <w:spacing w:after="0" w:line="244" w:lineRule="auto"/>
        <w:rPr>
          <w:sz w:val="20"/>
          <w:szCs w:val="20"/>
          <w:color w:val="auto"/>
        </w:rPr>
      </w:pPr>
      <w:r>
        <w:rPr>
          <w:rFonts w:ascii="Arial" w:cs="Arial" w:eastAsia="Arial" w:hAnsi="Arial"/>
          <w:sz w:val="17"/>
          <w:szCs w:val="17"/>
          <w:color w:val="auto"/>
        </w:rPr>
        <w:t>Preclinically, we have observed that applying targeted therapy pressure to tumors with ecDNA-enabled oncogene amplification induced tumor cells to evade such pressure via ecDNA-based resistance mechanisms, further increasing RS and reliance on CHK1. Accordingly, and consistent with the vice grip analogy described above, BBI-355 demonstrated combination activity when administered alongside targeted therapies in ecDNA-enabled oncogene amplified xenograft models that are generally resistant to treatment with targeted therapies alone.</w:t>
      </w:r>
    </w:p>
    <w:p>
      <w:pPr>
        <w:spacing w:after="0" w:line="169" w:lineRule="exact"/>
        <w:rPr>
          <w:sz w:val="20"/>
          <w:szCs w:val="20"/>
          <w:color w:val="auto"/>
        </w:rPr>
      </w:pPr>
    </w:p>
    <w:p>
      <w:pPr>
        <w:jc w:val="both"/>
        <w:ind w:left="420" w:right="240" w:firstLine="521"/>
        <w:spacing w:after="0" w:line="252" w:lineRule="auto"/>
        <w:rPr>
          <w:sz w:val="20"/>
          <w:szCs w:val="20"/>
          <w:color w:val="auto"/>
        </w:rPr>
      </w:pPr>
      <w:r>
        <w:rPr>
          <w:rFonts w:ascii="Arial" w:cs="Arial" w:eastAsia="Arial" w:hAnsi="Arial"/>
          <w:sz w:val="17"/>
          <w:szCs w:val="17"/>
          <w:color w:val="auto"/>
        </w:rPr>
        <w:t xml:space="preserve">As an example, in the figure below, oral administration of BBI-355 led to tumor regressions when dosed in combination with the FGFR inhibitor infigratinib in an ecDNA-enabled </w:t>
      </w:r>
      <w:r>
        <w:rPr>
          <w:rFonts w:ascii="Arial" w:cs="Arial" w:eastAsia="Arial" w:hAnsi="Arial"/>
          <w:sz w:val="17"/>
          <w:szCs w:val="17"/>
          <w:i w:val="1"/>
          <w:iCs w:val="1"/>
          <w:color w:val="auto"/>
        </w:rPr>
        <w:t>FGFR2</w:t>
      </w:r>
      <w:r>
        <w:rPr>
          <w:rFonts w:ascii="Arial" w:cs="Arial" w:eastAsia="Arial" w:hAnsi="Arial"/>
          <w:sz w:val="17"/>
          <w:szCs w:val="17"/>
          <w:color w:val="auto"/>
        </w:rPr>
        <w:t xml:space="preserve"> amplified gastric cancer CDX model. In this model, treatment with single agent infigratinib led to rapid resistance via</w:t>
      </w:r>
    </w:p>
    <w:p>
      <w:pPr>
        <w:spacing w:after="0" w:line="10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0800"/>
          </w:cols>
          <w:pgMar w:left="320" w:top="439" w:right="7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line="252" w:lineRule="auto"/>
        <w:rPr>
          <w:sz w:val="20"/>
          <w:szCs w:val="20"/>
          <w:color w:val="auto"/>
        </w:rPr>
      </w:pPr>
      <w:r>
        <w:rPr>
          <w:rFonts w:ascii="Arial" w:cs="Arial" w:eastAsia="Arial" w:hAnsi="Arial"/>
          <w:sz w:val="17"/>
          <w:szCs w:val="17"/>
          <w:color w:val="auto"/>
        </w:rPr>
        <w:t xml:space="preserve">ecDNA-enabled amplification of </w:t>
      </w:r>
      <w:r>
        <w:rPr>
          <w:rFonts w:ascii="Arial" w:cs="Arial" w:eastAsia="Arial" w:hAnsi="Arial"/>
          <w:sz w:val="17"/>
          <w:szCs w:val="17"/>
          <w:i w:val="1"/>
          <w:iCs w:val="1"/>
          <w:color w:val="auto"/>
        </w:rPr>
        <w:t>FGFR2</w:t>
      </w:r>
      <w:r>
        <w:rPr>
          <w:rFonts w:ascii="Arial" w:cs="Arial" w:eastAsia="Arial" w:hAnsi="Arial"/>
          <w:sz w:val="17"/>
          <w:szCs w:val="17"/>
          <w:color w:val="auto"/>
        </w:rPr>
        <w:t xml:space="preserve">. Combining BBI-355 with infigratinib inhibited this resistance and induced tumor regressions. Pharmacodynamic (PD) analysis demonstrated that BBI-355 inhibited the expected increase in </w:t>
      </w:r>
      <w:r>
        <w:rPr>
          <w:rFonts w:ascii="Arial" w:cs="Arial" w:eastAsia="Arial" w:hAnsi="Arial"/>
          <w:sz w:val="17"/>
          <w:szCs w:val="17"/>
          <w:i w:val="1"/>
          <w:iCs w:val="1"/>
          <w:color w:val="auto"/>
        </w:rPr>
        <w:t>FGFR2</w:t>
      </w:r>
      <w:r>
        <w:rPr>
          <w:rFonts w:ascii="Arial" w:cs="Arial" w:eastAsia="Arial" w:hAnsi="Arial"/>
          <w:sz w:val="17"/>
          <w:szCs w:val="17"/>
          <w:color w:val="auto"/>
        </w:rPr>
        <w:t xml:space="preserve"> copy number that would otherwise be caused by single agent infigratinib to confer resistance to infigratinib.</w:t>
      </w:r>
    </w:p>
    <w:p>
      <w:pPr>
        <w:spacing w:after="0" w:line="266" w:lineRule="exact"/>
        <w:rPr>
          <w:sz w:val="20"/>
          <w:szCs w:val="20"/>
          <w:color w:val="auto"/>
        </w:rPr>
      </w:pPr>
    </w:p>
    <w:p>
      <w:pPr>
        <w:jc w:val="center"/>
        <w:ind w:left="780" w:right="60"/>
        <w:spacing w:after="0" w:line="280" w:lineRule="auto"/>
        <w:rPr>
          <w:sz w:val="20"/>
          <w:szCs w:val="20"/>
          <w:color w:val="auto"/>
        </w:rPr>
      </w:pPr>
      <w:r>
        <w:rPr>
          <w:rFonts w:ascii="Arial" w:cs="Arial" w:eastAsia="Arial" w:hAnsi="Arial"/>
          <w:sz w:val="17"/>
          <w:szCs w:val="17"/>
          <w:b w:val="1"/>
          <w:bCs w:val="1"/>
          <w:color w:val="auto"/>
        </w:rPr>
        <w:t xml:space="preserve">BBI-355 </w:t>
      </w:r>
      <w:r>
        <w:rPr>
          <w:rFonts w:ascii="Arial" w:cs="Arial" w:eastAsia="Arial" w:hAnsi="Arial"/>
          <w:sz w:val="17"/>
          <w:szCs w:val="17"/>
          <w:b w:val="1"/>
          <w:bCs w:val="1"/>
          <w:i w:val="1"/>
          <w:iCs w:val="1"/>
          <w:color w:val="auto"/>
        </w:rPr>
        <w:t>In Vivo</w:t>
      </w:r>
      <w:r>
        <w:rPr>
          <w:rFonts w:ascii="Arial" w:cs="Arial" w:eastAsia="Arial" w:hAnsi="Arial"/>
          <w:sz w:val="17"/>
          <w:szCs w:val="17"/>
          <w:b w:val="1"/>
          <w:bCs w:val="1"/>
          <w:color w:val="auto"/>
        </w:rPr>
        <w:t xml:space="preserve"> Antitumor Activity in Combination with Infigratinib in an ecDNA-enabled </w:t>
      </w:r>
      <w:r>
        <w:rPr>
          <w:rFonts w:ascii="Arial" w:cs="Arial" w:eastAsia="Arial" w:hAnsi="Arial"/>
          <w:sz w:val="17"/>
          <w:szCs w:val="17"/>
          <w:b w:val="1"/>
          <w:bCs w:val="1"/>
          <w:i w:val="1"/>
          <w:iCs w:val="1"/>
          <w:color w:val="auto"/>
        </w:rPr>
        <w:t>FGFR2</w:t>
      </w:r>
      <w:r>
        <w:rPr>
          <w:rFonts w:ascii="Arial" w:cs="Arial" w:eastAsia="Arial" w:hAnsi="Arial"/>
          <w:sz w:val="17"/>
          <w:szCs w:val="17"/>
          <w:b w:val="1"/>
          <w:bCs w:val="1"/>
          <w:color w:val="auto"/>
        </w:rPr>
        <w:t xml:space="preserve"> Amplified Gastric Cancer CDX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1120775</wp:posOffset>
            </wp:positionH>
            <wp:positionV relativeFrom="paragraph">
              <wp:posOffset>110490</wp:posOffset>
            </wp:positionV>
            <wp:extent cx="4908550" cy="26123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908550" cy="2612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0780"/>
          </w:cols>
          <w:pgMar w:left="320" w:top="439" w:right="7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firstLine="521"/>
        <w:spacing w:after="0" w:line="247" w:lineRule="auto"/>
        <w:rPr>
          <w:sz w:val="20"/>
          <w:szCs w:val="20"/>
          <w:color w:val="auto"/>
        </w:rPr>
      </w:pPr>
      <w:r>
        <w:rPr>
          <w:rFonts w:ascii="Arial" w:cs="Arial" w:eastAsia="Arial" w:hAnsi="Arial"/>
          <w:sz w:val="17"/>
          <w:szCs w:val="17"/>
          <w:color w:val="auto"/>
        </w:rPr>
        <w:t xml:space="preserve">The oncogene cargo-agnostic nature of this combination approach is reflected in a second ecDNA-enabled </w:t>
      </w:r>
      <w:r>
        <w:rPr>
          <w:rFonts w:ascii="Arial" w:cs="Arial" w:eastAsia="Arial" w:hAnsi="Arial"/>
          <w:sz w:val="17"/>
          <w:szCs w:val="17"/>
          <w:i w:val="1"/>
          <w:iCs w:val="1"/>
          <w:color w:val="auto"/>
        </w:rPr>
        <w:t>EGFR</w:t>
      </w:r>
      <w:r>
        <w:rPr>
          <w:rFonts w:ascii="Arial" w:cs="Arial" w:eastAsia="Arial" w:hAnsi="Arial"/>
          <w:sz w:val="17"/>
          <w:szCs w:val="17"/>
          <w:color w:val="auto"/>
        </w:rPr>
        <w:t xml:space="preserve"> amplified patient-derived gastric cancer xenograft model. In this model, monotherapy treatment with the EGFR inhibitor erlotinib resulted in limited antitumor activity, as seen in the figure below. However, combination with orally administered BBI-355 resulted in statistically significant greater and longer tumor growth inhibition, including regressions in some cases.</w:t>
      </w:r>
    </w:p>
    <w:p>
      <w:pPr>
        <w:spacing w:after="0" w:line="269" w:lineRule="exact"/>
        <w:rPr>
          <w:sz w:val="20"/>
          <w:szCs w:val="20"/>
          <w:color w:val="auto"/>
        </w:rPr>
      </w:pPr>
    </w:p>
    <w:p>
      <w:pPr>
        <w:jc w:val="center"/>
        <w:ind w:left="920" w:right="60"/>
        <w:spacing w:after="0" w:line="280" w:lineRule="auto"/>
        <w:rPr>
          <w:sz w:val="20"/>
          <w:szCs w:val="20"/>
          <w:color w:val="auto"/>
        </w:rPr>
      </w:pPr>
      <w:r>
        <w:rPr>
          <w:rFonts w:ascii="Arial" w:cs="Arial" w:eastAsia="Arial" w:hAnsi="Arial"/>
          <w:sz w:val="17"/>
          <w:szCs w:val="17"/>
          <w:b w:val="1"/>
          <w:bCs w:val="1"/>
          <w:color w:val="auto"/>
        </w:rPr>
        <w:t xml:space="preserve">BBI-355 </w:t>
      </w:r>
      <w:r>
        <w:rPr>
          <w:rFonts w:ascii="Arial" w:cs="Arial" w:eastAsia="Arial" w:hAnsi="Arial"/>
          <w:sz w:val="17"/>
          <w:szCs w:val="17"/>
          <w:b w:val="1"/>
          <w:bCs w:val="1"/>
          <w:i w:val="1"/>
          <w:iCs w:val="1"/>
          <w:color w:val="auto"/>
        </w:rPr>
        <w:t>In Vivo</w:t>
      </w:r>
      <w:r>
        <w:rPr>
          <w:rFonts w:ascii="Arial" w:cs="Arial" w:eastAsia="Arial" w:hAnsi="Arial"/>
          <w:sz w:val="17"/>
          <w:szCs w:val="17"/>
          <w:b w:val="1"/>
          <w:bCs w:val="1"/>
          <w:color w:val="auto"/>
        </w:rPr>
        <w:t xml:space="preserve"> Antitumor Activity in Combination with Erlotinib in an ecDNA-enabled </w:t>
      </w:r>
      <w:r>
        <w:rPr>
          <w:rFonts w:ascii="Arial" w:cs="Arial" w:eastAsia="Arial" w:hAnsi="Arial"/>
          <w:sz w:val="17"/>
          <w:szCs w:val="17"/>
          <w:b w:val="1"/>
          <w:bCs w:val="1"/>
          <w:i w:val="1"/>
          <w:iCs w:val="1"/>
          <w:color w:val="auto"/>
        </w:rPr>
        <w:t>EGFR</w:t>
      </w:r>
      <w:r>
        <w:rPr>
          <w:rFonts w:ascii="Arial" w:cs="Arial" w:eastAsia="Arial" w:hAnsi="Arial"/>
          <w:sz w:val="17"/>
          <w:szCs w:val="17"/>
          <w:b w:val="1"/>
          <w:bCs w:val="1"/>
          <w:color w:val="auto"/>
        </w:rPr>
        <w:t xml:space="preserve"> Amplified Gastric Cancer PDX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1120775</wp:posOffset>
            </wp:positionH>
            <wp:positionV relativeFrom="paragraph">
              <wp:posOffset>102235</wp:posOffset>
            </wp:positionV>
            <wp:extent cx="4900295" cy="2831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900295" cy="283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0640"/>
          </w:cols>
          <w:pgMar w:left="320" w:top="439" w:right="9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both"/>
        <w:ind w:left="420" w:right="80" w:firstLine="521"/>
        <w:spacing w:after="0" w:line="252" w:lineRule="auto"/>
        <w:rPr>
          <w:sz w:val="20"/>
          <w:szCs w:val="20"/>
          <w:color w:val="auto"/>
        </w:rPr>
      </w:pPr>
      <w:r>
        <w:rPr>
          <w:rFonts w:ascii="Arial" w:cs="Arial" w:eastAsia="Arial" w:hAnsi="Arial"/>
          <w:sz w:val="17"/>
          <w:szCs w:val="17"/>
          <w:color w:val="auto"/>
        </w:rPr>
        <w:t xml:space="preserve">As seen in the figure below, oral administration of BBI-355 similarly led to tumor regressions when dosed in combination with the CDK4/6 inhibitor palbociclib in an ecDNA-enabled </w:t>
      </w:r>
      <w:r>
        <w:rPr>
          <w:rFonts w:ascii="Arial" w:cs="Arial" w:eastAsia="Arial" w:hAnsi="Arial"/>
          <w:sz w:val="17"/>
          <w:szCs w:val="17"/>
          <w:i w:val="1"/>
          <w:iCs w:val="1"/>
          <w:color w:val="auto"/>
        </w:rPr>
        <w:t>CDK4</w:t>
      </w:r>
      <w:r>
        <w:rPr>
          <w:rFonts w:ascii="Arial" w:cs="Arial" w:eastAsia="Arial" w:hAnsi="Arial"/>
          <w:sz w:val="17"/>
          <w:szCs w:val="17"/>
          <w:color w:val="auto"/>
        </w:rPr>
        <w:t xml:space="preserve"> amplified osteosarcoma CDX model. In this model, treatment with single agent palbociclib led to rapid resistance. Combining BBI-355 with palbociclib inhibited this resistance and induced tumor regressions.</w:t>
      </w:r>
    </w:p>
    <w:p>
      <w:pPr>
        <w:spacing w:after="0" w:line="266" w:lineRule="exact"/>
        <w:rPr>
          <w:sz w:val="20"/>
          <w:szCs w:val="20"/>
          <w:color w:val="auto"/>
        </w:rPr>
      </w:pPr>
    </w:p>
    <w:p>
      <w:pPr>
        <w:jc w:val="center"/>
        <w:ind w:left="880" w:right="20"/>
        <w:spacing w:after="0" w:line="280" w:lineRule="auto"/>
        <w:rPr>
          <w:sz w:val="20"/>
          <w:szCs w:val="20"/>
          <w:color w:val="auto"/>
        </w:rPr>
      </w:pPr>
      <w:r>
        <w:rPr>
          <w:rFonts w:ascii="Arial" w:cs="Arial" w:eastAsia="Arial" w:hAnsi="Arial"/>
          <w:sz w:val="17"/>
          <w:szCs w:val="17"/>
          <w:b w:val="1"/>
          <w:bCs w:val="1"/>
          <w:color w:val="auto"/>
        </w:rPr>
        <w:t xml:space="preserve">BBI-355 </w:t>
      </w:r>
      <w:r>
        <w:rPr>
          <w:rFonts w:ascii="Arial" w:cs="Arial" w:eastAsia="Arial" w:hAnsi="Arial"/>
          <w:sz w:val="17"/>
          <w:szCs w:val="17"/>
          <w:b w:val="1"/>
          <w:bCs w:val="1"/>
          <w:i w:val="1"/>
          <w:iCs w:val="1"/>
          <w:color w:val="auto"/>
        </w:rPr>
        <w:t>In Vivo</w:t>
      </w:r>
      <w:r>
        <w:rPr>
          <w:rFonts w:ascii="Arial" w:cs="Arial" w:eastAsia="Arial" w:hAnsi="Arial"/>
          <w:sz w:val="17"/>
          <w:szCs w:val="17"/>
          <w:b w:val="1"/>
          <w:bCs w:val="1"/>
          <w:color w:val="auto"/>
        </w:rPr>
        <w:t xml:space="preserve"> Antitumor Activity in Combination with Palbociclib in an ecDNA-enabled </w:t>
      </w:r>
      <w:r>
        <w:rPr>
          <w:rFonts w:ascii="Arial" w:cs="Arial" w:eastAsia="Arial" w:hAnsi="Arial"/>
          <w:sz w:val="17"/>
          <w:szCs w:val="17"/>
          <w:b w:val="1"/>
          <w:bCs w:val="1"/>
          <w:i w:val="1"/>
          <w:iCs w:val="1"/>
          <w:color w:val="auto"/>
        </w:rPr>
        <w:t>CDK4</w:t>
      </w:r>
      <w:r>
        <w:rPr>
          <w:rFonts w:ascii="Arial" w:cs="Arial" w:eastAsia="Arial" w:hAnsi="Arial"/>
          <w:sz w:val="17"/>
          <w:szCs w:val="17"/>
          <w:b w:val="1"/>
          <w:bCs w:val="1"/>
          <w:color w:val="auto"/>
        </w:rPr>
        <w:t xml:space="preserve"> Amplified Osteosarcoma CDX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1997075</wp:posOffset>
            </wp:positionH>
            <wp:positionV relativeFrom="paragraph">
              <wp:posOffset>110490</wp:posOffset>
            </wp:positionV>
            <wp:extent cx="3155950" cy="26530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155950" cy="2653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BBI-355 Clinical Development Plan</w:t>
      </w:r>
    </w:p>
    <w:p>
      <w:pPr>
        <w:spacing w:after="0" w:line="98" w:lineRule="exact"/>
        <w:rPr>
          <w:sz w:val="20"/>
          <w:szCs w:val="20"/>
          <w:color w:val="auto"/>
        </w:rPr>
      </w:pPr>
    </w:p>
    <w:p>
      <w:pPr>
        <w:ind w:left="420" w:right="160" w:firstLine="521"/>
        <w:spacing w:after="0" w:line="247" w:lineRule="auto"/>
        <w:rPr>
          <w:sz w:val="20"/>
          <w:szCs w:val="20"/>
          <w:color w:val="auto"/>
        </w:rPr>
      </w:pPr>
      <w:r>
        <w:rPr>
          <w:rFonts w:ascii="Arial" w:cs="Arial" w:eastAsia="Arial" w:hAnsi="Arial"/>
          <w:sz w:val="17"/>
          <w:szCs w:val="17"/>
          <w:color w:val="auto"/>
        </w:rPr>
        <w:t xml:space="preserve">Through a comprehensive analysis of the prevalence of ecDNA-enabled gene amplifications alongside clinical outcomes associated with the use of targeted therapies, we have identified specific high unmet need patient populations with oncogene amplified cancers. For our initial targeted indications for clinical development, we are prioritizing cancers with wildtype </w:t>
      </w:r>
      <w:r>
        <w:rPr>
          <w:rFonts w:ascii="Arial" w:cs="Arial" w:eastAsia="Arial" w:hAnsi="Arial"/>
          <w:sz w:val="17"/>
          <w:szCs w:val="17"/>
          <w:i w:val="1"/>
          <w:iCs w:val="1"/>
          <w:color w:val="auto"/>
        </w:rPr>
        <w:t>EGFR</w:t>
      </w:r>
      <w:r>
        <w:rPr>
          <w:rFonts w:ascii="Arial" w:cs="Arial" w:eastAsia="Arial" w:hAnsi="Arial"/>
          <w:sz w:val="17"/>
          <w:szCs w:val="17"/>
          <w:color w:val="auto"/>
        </w:rPr>
        <w:t xml:space="preserve"> amplifications, </w:t>
      </w:r>
      <w:r>
        <w:rPr>
          <w:rFonts w:ascii="Arial" w:cs="Arial" w:eastAsia="Arial" w:hAnsi="Arial"/>
          <w:sz w:val="17"/>
          <w:szCs w:val="17"/>
          <w:i w:val="1"/>
          <w:iCs w:val="1"/>
          <w:color w:val="auto"/>
        </w:rPr>
        <w:t xml:space="preserve">FGFR1-4 </w:t>
      </w:r>
      <w:r>
        <w:rPr>
          <w:rFonts w:ascii="Arial" w:cs="Arial" w:eastAsia="Arial" w:hAnsi="Arial"/>
          <w:sz w:val="17"/>
          <w:szCs w:val="17"/>
          <w:color w:val="auto"/>
        </w:rPr>
        <w:t>amplifications, or</w:t>
      </w:r>
      <w:r>
        <w:rPr>
          <w:rFonts w:ascii="Arial" w:cs="Arial" w:eastAsia="Arial" w:hAnsi="Arial"/>
          <w:sz w:val="17"/>
          <w:szCs w:val="17"/>
          <w:i w:val="1"/>
          <w:iCs w:val="1"/>
          <w:color w:val="auto"/>
        </w:rPr>
        <w:t xml:space="preserve"> CDK4/6 </w:t>
      </w:r>
      <w:r>
        <w:rPr>
          <w:rFonts w:ascii="Arial" w:cs="Arial" w:eastAsia="Arial" w:hAnsi="Arial"/>
          <w:sz w:val="17"/>
          <w:szCs w:val="17"/>
          <w:color w:val="auto"/>
        </w:rPr>
        <w:t>amplifications.</w:t>
      </w:r>
    </w:p>
    <w:p>
      <w:pPr>
        <w:spacing w:after="0" w:line="166" w:lineRule="exact"/>
        <w:rPr>
          <w:sz w:val="20"/>
          <w:szCs w:val="20"/>
          <w:color w:val="auto"/>
        </w:rPr>
      </w:pPr>
    </w:p>
    <w:p>
      <w:pPr>
        <w:ind w:left="940"/>
        <w:spacing w:after="0"/>
        <w:rPr>
          <w:sz w:val="20"/>
          <w:szCs w:val="20"/>
          <w:color w:val="auto"/>
        </w:rPr>
      </w:pPr>
      <w:r>
        <w:rPr>
          <w:rFonts w:ascii="Arial" w:cs="Arial" w:eastAsia="Arial" w:hAnsi="Arial"/>
          <w:sz w:val="17"/>
          <w:szCs w:val="17"/>
          <w:color w:val="auto"/>
        </w:rPr>
        <w:t>In May 2023, we enrolled the first patient in our ongoing Phase 1/2 clinical trial of BBI-355 in patients with oncogene amplified</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cancers. The title of the trial (NCT05827614) is: “An Open-Label, Multicenter, First-in-Human, Dose-Escalation and Dose-Expansion,</w:t>
      </w:r>
    </w:p>
    <w:p>
      <w:pPr>
        <w:ind w:left="420"/>
        <w:spacing w:after="0"/>
        <w:rPr>
          <w:sz w:val="20"/>
          <w:szCs w:val="20"/>
          <w:color w:val="auto"/>
        </w:rPr>
      </w:pPr>
      <w:r>
        <w:rPr>
          <w:rFonts w:ascii="Arial" w:cs="Arial" w:eastAsia="Arial" w:hAnsi="Arial"/>
          <w:sz w:val="16"/>
          <w:szCs w:val="16"/>
          <w:color w:val="auto"/>
        </w:rPr>
        <w:t>Phase 1/2 Study of BBI-355 and BBI-355 in Combination with Select Targeted Therapies in Subjects with Locally Advanced or Metastatic</w:t>
      </w:r>
    </w:p>
    <w:p>
      <w:pPr>
        <w:spacing w:after="0" w:line="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Solid Tumors with Oncogene Amplifications.” We also call the trial POTENTIATE, for </w:t>
      </w:r>
      <w:r>
        <w:rPr>
          <w:rFonts w:ascii="Arial" w:cs="Arial" w:eastAsia="Arial" w:hAnsi="Arial"/>
          <w:sz w:val="17"/>
          <w:szCs w:val="17"/>
          <w:u w:val="single" w:color="auto"/>
          <w:color w:val="auto"/>
        </w:rPr>
        <w:t>P</w:t>
      </w:r>
      <w:r>
        <w:rPr>
          <w:rFonts w:ascii="Arial" w:cs="Arial" w:eastAsia="Arial" w:hAnsi="Arial"/>
          <w:sz w:val="17"/>
          <w:szCs w:val="17"/>
          <w:color w:val="auto"/>
        </w:rPr>
        <w:t xml:space="preserve">recision </w:t>
      </w:r>
      <w:r>
        <w:rPr>
          <w:rFonts w:ascii="Arial" w:cs="Arial" w:eastAsia="Arial" w:hAnsi="Arial"/>
          <w:sz w:val="17"/>
          <w:szCs w:val="17"/>
          <w:u w:val="single" w:color="auto"/>
          <w:color w:val="auto"/>
        </w:rPr>
        <w:t>O</w:t>
      </w:r>
      <w:r>
        <w:rPr>
          <w:rFonts w:ascii="Arial" w:cs="Arial" w:eastAsia="Arial" w:hAnsi="Arial"/>
          <w:sz w:val="17"/>
          <w:szCs w:val="17"/>
          <w:color w:val="auto"/>
        </w:rPr>
        <w:t xml:space="preserve">ncology </w:t>
      </w:r>
      <w:r>
        <w:rPr>
          <w:rFonts w:ascii="Arial" w:cs="Arial" w:eastAsia="Arial" w:hAnsi="Arial"/>
          <w:sz w:val="17"/>
          <w:szCs w:val="17"/>
          <w:u w:val="single" w:color="auto"/>
          <w:color w:val="auto"/>
        </w:rPr>
        <w:t>T</w:t>
      </w:r>
      <w:r>
        <w:rPr>
          <w:rFonts w:ascii="Arial" w:cs="Arial" w:eastAsia="Arial" w:hAnsi="Arial"/>
          <w:sz w:val="17"/>
          <w:szCs w:val="17"/>
          <w:color w:val="auto"/>
        </w:rPr>
        <w:t xml:space="preserve">rial </w:t>
      </w:r>
      <w:r>
        <w:rPr>
          <w:rFonts w:ascii="Arial" w:cs="Arial" w:eastAsia="Arial" w:hAnsi="Arial"/>
          <w:sz w:val="17"/>
          <w:szCs w:val="17"/>
          <w:u w:val="single" w:color="auto"/>
          <w:color w:val="auto"/>
        </w:rPr>
        <w:t>E</w:t>
      </w:r>
      <w:r>
        <w:rPr>
          <w:rFonts w:ascii="Arial" w:cs="Arial" w:eastAsia="Arial" w:hAnsi="Arial"/>
          <w:sz w:val="17"/>
          <w:szCs w:val="17"/>
          <w:color w:val="auto"/>
        </w:rPr>
        <w:t xml:space="preserve">valuating </w:t>
      </w:r>
      <w:r>
        <w:rPr>
          <w:rFonts w:ascii="Arial" w:cs="Arial" w:eastAsia="Arial" w:hAnsi="Arial"/>
          <w:sz w:val="17"/>
          <w:szCs w:val="17"/>
          <w:u w:val="single" w:color="auto"/>
          <w:color w:val="auto"/>
        </w:rPr>
        <w:t>N</w:t>
      </w:r>
      <w:r>
        <w:rPr>
          <w:rFonts w:ascii="Arial" w:cs="Arial" w:eastAsia="Arial" w:hAnsi="Arial"/>
          <w:sz w:val="17"/>
          <w:szCs w:val="17"/>
          <w:color w:val="auto"/>
        </w:rPr>
        <w:t>ovel</w:t>
      </w:r>
    </w:p>
    <w:p>
      <w:pPr>
        <w:ind w:left="420"/>
        <w:spacing w:after="0" w:line="235" w:lineRule="auto"/>
        <w:rPr>
          <w:sz w:val="20"/>
          <w:szCs w:val="20"/>
          <w:color w:val="auto"/>
        </w:rPr>
      </w:pPr>
      <w:r>
        <w:rPr>
          <w:rFonts w:ascii="Arial" w:cs="Arial" w:eastAsia="Arial" w:hAnsi="Arial"/>
          <w:sz w:val="17"/>
          <w:szCs w:val="17"/>
          <w:u w:val="single" w:color="auto"/>
          <w:color w:val="auto"/>
        </w:rPr>
        <w:t>T</w:t>
      </w:r>
      <w:r>
        <w:rPr>
          <w:rFonts w:ascii="Arial" w:cs="Arial" w:eastAsia="Arial" w:hAnsi="Arial"/>
          <w:sz w:val="17"/>
          <w:szCs w:val="17"/>
          <w:color w:val="auto"/>
        </w:rPr>
        <w:t xml:space="preserve">herapeutic </w:t>
      </w:r>
      <w:r>
        <w:rPr>
          <w:rFonts w:ascii="Arial" w:cs="Arial" w:eastAsia="Arial" w:hAnsi="Arial"/>
          <w:sz w:val="17"/>
          <w:szCs w:val="17"/>
          <w:u w:val="single" w:color="auto"/>
          <w:color w:val="auto"/>
        </w:rPr>
        <w:t>I</w:t>
      </w:r>
      <w:r>
        <w:rPr>
          <w:rFonts w:ascii="Arial" w:cs="Arial" w:eastAsia="Arial" w:hAnsi="Arial"/>
          <w:sz w:val="17"/>
          <w:szCs w:val="17"/>
          <w:color w:val="auto"/>
        </w:rPr>
        <w:t xml:space="preserve">nterrupting </w:t>
      </w:r>
      <w:r>
        <w:rPr>
          <w:rFonts w:ascii="Arial" w:cs="Arial" w:eastAsia="Arial" w:hAnsi="Arial"/>
          <w:sz w:val="17"/>
          <w:szCs w:val="17"/>
          <w:u w:val="single" w:color="auto"/>
          <w:color w:val="auto"/>
        </w:rPr>
        <w:t>A</w:t>
      </w:r>
      <w:r>
        <w:rPr>
          <w:rFonts w:ascii="Arial" w:cs="Arial" w:eastAsia="Arial" w:hAnsi="Arial"/>
          <w:sz w:val="17"/>
          <w:szCs w:val="17"/>
          <w:color w:val="auto"/>
        </w:rPr>
        <w:t xml:space="preserve">mplifications </w:t>
      </w:r>
      <w:r>
        <w:rPr>
          <w:rFonts w:ascii="Arial" w:cs="Arial" w:eastAsia="Arial" w:hAnsi="Arial"/>
          <w:sz w:val="17"/>
          <w:szCs w:val="17"/>
          <w:u w:val="single" w:color="auto"/>
          <w:color w:val="auto"/>
        </w:rPr>
        <w:t>T</w:t>
      </w:r>
      <w:r>
        <w:rPr>
          <w:rFonts w:ascii="Arial" w:cs="Arial" w:eastAsia="Arial" w:hAnsi="Arial"/>
          <w:sz w:val="17"/>
          <w:szCs w:val="17"/>
          <w:color w:val="auto"/>
        </w:rPr>
        <w:t xml:space="preserve">ied to </w:t>
      </w:r>
      <w:r>
        <w:rPr>
          <w:rFonts w:ascii="Arial" w:cs="Arial" w:eastAsia="Arial" w:hAnsi="Arial"/>
          <w:sz w:val="17"/>
          <w:szCs w:val="17"/>
          <w:u w:val="single" w:color="auto"/>
          <w:color w:val="auto"/>
        </w:rPr>
        <w:t>e</w:t>
      </w:r>
      <w:r>
        <w:rPr>
          <w:rFonts w:ascii="Arial" w:cs="Arial" w:eastAsia="Arial" w:hAnsi="Arial"/>
          <w:sz w:val="17"/>
          <w:szCs w:val="17"/>
          <w:color w:val="auto"/>
        </w:rPr>
        <w:t>cDNA. We expect to have preliminary proof of concept safety and antitumor activity data</w:t>
      </w:r>
    </w:p>
    <w:p>
      <w:pPr>
        <w:ind w:left="420"/>
        <w:spacing w:after="0" w:line="235" w:lineRule="auto"/>
        <w:rPr>
          <w:sz w:val="20"/>
          <w:szCs w:val="20"/>
          <w:color w:val="auto"/>
        </w:rPr>
      </w:pPr>
      <w:r>
        <w:rPr>
          <w:rFonts w:ascii="Arial" w:cs="Arial" w:eastAsia="Arial" w:hAnsi="Arial"/>
          <w:sz w:val="17"/>
          <w:szCs w:val="17"/>
          <w:color w:val="auto"/>
        </w:rPr>
        <w:t>of BBI-355 as a single agent and in combination with targeted therapies from the POTENTIATE clinical trial in the second half of 2024</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from approximately 50 to 90 total enrolled patients (single agent cohorts N=~30 to 40, combination cohorts N=~20 to 50).</w:t>
      </w:r>
    </w:p>
    <w:p>
      <w:pPr>
        <w:spacing w:after="0" w:line="185" w:lineRule="exact"/>
        <w:rPr>
          <w:sz w:val="20"/>
          <w:szCs w:val="20"/>
          <w:color w:val="auto"/>
        </w:rPr>
      </w:pPr>
    </w:p>
    <w:p>
      <w:pPr>
        <w:ind w:left="420" w:right="140" w:firstLine="521"/>
        <w:spacing w:after="0" w:line="270" w:lineRule="auto"/>
        <w:rPr>
          <w:sz w:val="20"/>
          <w:szCs w:val="20"/>
          <w:color w:val="auto"/>
        </w:rPr>
      </w:pPr>
      <w:r>
        <w:rPr>
          <w:rFonts w:ascii="Arial" w:cs="Arial" w:eastAsia="Arial" w:hAnsi="Arial"/>
          <w:sz w:val="17"/>
          <w:szCs w:val="17"/>
          <w:color w:val="auto"/>
        </w:rPr>
        <w:t>The design of the trial is an open-label, non-randomized, three-part, Phase 1/2 clinical trial to evaluate the safety and tolerability, human pharmacokinetics (PK), PD biomarkers and preliminary</w:t>
      </w:r>
    </w:p>
    <w:p>
      <w:pPr>
        <w:spacing w:after="0" w:line="84"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0700"/>
          </w:cols>
          <w:pgMar w:left="320" w:top="439" w:right="8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line="239" w:lineRule="auto"/>
        <w:rPr>
          <w:sz w:val="20"/>
          <w:szCs w:val="20"/>
          <w:color w:val="auto"/>
        </w:rPr>
      </w:pPr>
      <w:r>
        <w:rPr>
          <w:rFonts w:ascii="Arial" w:cs="Arial" w:eastAsia="Arial" w:hAnsi="Arial"/>
          <w:sz w:val="17"/>
          <w:szCs w:val="17"/>
          <w:color w:val="auto"/>
        </w:rPr>
        <w:t xml:space="preserve">antitumor activity, as well as identify the maximum tolerated dose (MTD) and RP2D of BBI-355 administered as a single agent or in combination with select targeted therapies. In the trial, BBI-355 is administered orally every other day (Q2D) or on less frequent dosing schedules to patients with locally advanced or metastatic non-resectable solid tumors harboring oncogene amplifications, agnostic of tumor type, whose disease has progressed despite all standard therapies or for whom no further standard or clinically acceptable therapy exists. The trial has three parts: Part 1 is a dose escalation of BBI-355 as a single agent and will include a single agent dose expansion cohort at the RP2D in patients with platinum-resistant high-grade serous ovarian cancer or endometrial cancer. Parts 2 and 3 of this trial will be conducted in 3 separate modules, each module testing the combination of BBI-355 with one of the selected targeted therapies, EGFR (module 1), pan-FGFR (module 2), or CDK4/6 (module 3) inhibitors, in patients with cancers harboring amplification of </w:t>
      </w:r>
      <w:r>
        <w:rPr>
          <w:rFonts w:ascii="Arial" w:cs="Arial" w:eastAsia="Arial" w:hAnsi="Arial"/>
          <w:sz w:val="17"/>
          <w:szCs w:val="17"/>
          <w:i w:val="1"/>
          <w:iCs w:val="1"/>
          <w:color w:val="auto"/>
        </w:rPr>
        <w:t>EGFR</w:t>
      </w:r>
      <w:r>
        <w:rPr>
          <w:rFonts w:ascii="Arial" w:cs="Arial" w:eastAsia="Arial" w:hAnsi="Arial"/>
          <w:sz w:val="17"/>
          <w:szCs w:val="17"/>
          <w:color w:val="auto"/>
        </w:rPr>
        <w:t xml:space="preserve">, </w:t>
      </w:r>
      <w:r>
        <w:rPr>
          <w:rFonts w:ascii="Arial" w:cs="Arial" w:eastAsia="Arial" w:hAnsi="Arial"/>
          <w:sz w:val="17"/>
          <w:szCs w:val="17"/>
          <w:i w:val="1"/>
          <w:iCs w:val="1"/>
          <w:color w:val="auto"/>
        </w:rPr>
        <w:t>FGFR1-4</w:t>
      </w:r>
      <w:r>
        <w:rPr>
          <w:rFonts w:ascii="Arial" w:cs="Arial" w:eastAsia="Arial" w:hAnsi="Arial"/>
          <w:sz w:val="17"/>
          <w:szCs w:val="17"/>
          <w:color w:val="auto"/>
        </w:rPr>
        <w:t>, or</w:t>
      </w:r>
      <w:r>
        <w:rPr>
          <w:rFonts w:ascii="Arial" w:cs="Arial" w:eastAsia="Arial" w:hAnsi="Arial"/>
          <w:sz w:val="17"/>
          <w:szCs w:val="17"/>
          <w:i w:val="1"/>
          <w:iCs w:val="1"/>
          <w:color w:val="auto"/>
        </w:rPr>
        <w:t xml:space="preserve"> CDK4/6</w:t>
      </w:r>
      <w:r>
        <w:rPr>
          <w:rFonts w:ascii="Arial" w:cs="Arial" w:eastAsia="Arial" w:hAnsi="Arial"/>
          <w:sz w:val="17"/>
          <w:szCs w:val="17"/>
          <w:color w:val="auto"/>
        </w:rPr>
        <w:t>, respectively. Notably, patients will be excluded from enrollment in any part of the trial if they harbor other pathogenic</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driver oncogene alterations, for example </w:t>
      </w:r>
      <w:r>
        <w:rPr>
          <w:rFonts w:ascii="Arial" w:cs="Arial" w:eastAsia="Arial" w:hAnsi="Arial"/>
          <w:sz w:val="17"/>
          <w:szCs w:val="17"/>
          <w:i w:val="1"/>
          <w:iCs w:val="1"/>
          <w:color w:val="auto"/>
        </w:rPr>
        <w:t>EGFR</w:t>
      </w:r>
      <w:r>
        <w:rPr>
          <w:rFonts w:ascii="Arial" w:cs="Arial" w:eastAsia="Arial" w:hAnsi="Arial"/>
          <w:sz w:val="17"/>
          <w:szCs w:val="17"/>
          <w:color w:val="auto"/>
        </w:rPr>
        <w:t xml:space="preserve">, </w:t>
      </w:r>
      <w:r>
        <w:rPr>
          <w:rFonts w:ascii="Arial" w:cs="Arial" w:eastAsia="Arial" w:hAnsi="Arial"/>
          <w:sz w:val="17"/>
          <w:szCs w:val="17"/>
          <w:i w:val="1"/>
          <w:iCs w:val="1"/>
          <w:color w:val="auto"/>
        </w:rPr>
        <w:t>FGFR3</w:t>
      </w:r>
      <w:r>
        <w:rPr>
          <w:rFonts w:ascii="Arial" w:cs="Arial" w:eastAsia="Arial" w:hAnsi="Arial"/>
          <w:sz w:val="17"/>
          <w:szCs w:val="17"/>
          <w:color w:val="auto"/>
        </w:rPr>
        <w:t xml:space="preserve">, </w:t>
      </w:r>
      <w:r>
        <w:rPr>
          <w:rFonts w:ascii="Arial" w:cs="Arial" w:eastAsia="Arial" w:hAnsi="Arial"/>
          <w:sz w:val="17"/>
          <w:szCs w:val="17"/>
          <w:i w:val="1"/>
          <w:iCs w:val="1"/>
          <w:color w:val="auto"/>
        </w:rPr>
        <w:t>KRAS</w:t>
      </w:r>
      <w:r>
        <w:rPr>
          <w:rFonts w:ascii="Arial" w:cs="Arial" w:eastAsia="Arial" w:hAnsi="Arial"/>
          <w:sz w:val="17"/>
          <w:szCs w:val="17"/>
          <w:color w:val="auto"/>
        </w:rPr>
        <w:t xml:space="preserve">, </w:t>
      </w:r>
      <w:r>
        <w:rPr>
          <w:rFonts w:ascii="Arial" w:cs="Arial" w:eastAsia="Arial" w:hAnsi="Arial"/>
          <w:sz w:val="17"/>
          <w:szCs w:val="17"/>
          <w:i w:val="1"/>
          <w:iCs w:val="1"/>
          <w:color w:val="auto"/>
        </w:rPr>
        <w:t>BRAF</w:t>
      </w:r>
      <w:r>
        <w:rPr>
          <w:rFonts w:ascii="Arial" w:cs="Arial" w:eastAsia="Arial" w:hAnsi="Arial"/>
          <w:sz w:val="17"/>
          <w:szCs w:val="17"/>
          <w:color w:val="auto"/>
        </w:rPr>
        <w:t xml:space="preserve"> mutations or </w:t>
      </w:r>
      <w:r>
        <w:rPr>
          <w:rFonts w:ascii="Arial" w:cs="Arial" w:eastAsia="Arial" w:hAnsi="Arial"/>
          <w:sz w:val="17"/>
          <w:szCs w:val="17"/>
          <w:i w:val="1"/>
          <w:iCs w:val="1"/>
          <w:color w:val="auto"/>
        </w:rPr>
        <w:t>ALK</w:t>
      </w:r>
      <w:r>
        <w:rPr>
          <w:rFonts w:ascii="Arial" w:cs="Arial" w:eastAsia="Arial" w:hAnsi="Arial"/>
          <w:sz w:val="17"/>
          <w:szCs w:val="17"/>
          <w:color w:val="auto"/>
        </w:rPr>
        <w:t xml:space="preserve">, </w:t>
      </w:r>
      <w:r>
        <w:rPr>
          <w:rFonts w:ascii="Arial" w:cs="Arial" w:eastAsia="Arial" w:hAnsi="Arial"/>
          <w:sz w:val="17"/>
          <w:szCs w:val="17"/>
          <w:i w:val="1"/>
          <w:iCs w:val="1"/>
          <w:color w:val="auto"/>
        </w:rPr>
        <w:t>NTRK</w:t>
      </w:r>
      <w:r>
        <w:rPr>
          <w:rFonts w:ascii="Arial" w:cs="Arial" w:eastAsia="Arial" w:hAnsi="Arial"/>
          <w:sz w:val="17"/>
          <w:szCs w:val="17"/>
          <w:color w:val="auto"/>
        </w:rPr>
        <w:t xml:space="preserve">, </w:t>
      </w:r>
      <w:r>
        <w:rPr>
          <w:rFonts w:ascii="Arial" w:cs="Arial" w:eastAsia="Arial" w:hAnsi="Arial"/>
          <w:sz w:val="17"/>
          <w:szCs w:val="17"/>
          <w:i w:val="1"/>
          <w:iCs w:val="1"/>
          <w:color w:val="auto"/>
        </w:rPr>
        <w:t>FGFR2, RET, ROS1</w:t>
      </w:r>
      <w:r>
        <w:rPr>
          <w:rFonts w:ascii="Arial" w:cs="Arial" w:eastAsia="Arial" w:hAnsi="Arial"/>
          <w:sz w:val="17"/>
          <w:szCs w:val="17"/>
          <w:color w:val="auto"/>
        </w:rPr>
        <w:t xml:space="preserve"> fusions.</w:t>
      </w:r>
    </w:p>
    <w:p>
      <w:pPr>
        <w:spacing w:after="0" w:line="174" w:lineRule="exact"/>
        <w:rPr>
          <w:sz w:val="20"/>
          <w:szCs w:val="20"/>
          <w:color w:val="auto"/>
        </w:rPr>
      </w:pPr>
    </w:p>
    <w:p>
      <w:pPr>
        <w:ind w:left="420" w:right="140" w:firstLine="521"/>
        <w:spacing w:after="0" w:line="244" w:lineRule="auto"/>
        <w:rPr>
          <w:sz w:val="20"/>
          <w:szCs w:val="20"/>
          <w:color w:val="auto"/>
        </w:rPr>
      </w:pPr>
      <w:r>
        <w:rPr>
          <w:rFonts w:ascii="Arial" w:cs="Arial" w:eastAsia="Arial" w:hAnsi="Arial"/>
          <w:sz w:val="17"/>
          <w:szCs w:val="17"/>
          <w:color w:val="auto"/>
        </w:rPr>
        <w:t>In Part 1 of the trial, patients with amplification of driver oncogenes, as determined by standard NGS testing, are eligible for enrollment. The goal of Part 1 is to evaluate the safety, tolerability, PK and PD of single agent BBI-355, to determine the RP2D and MTD of BBI-355, and to evaluate preliminary single agent antitumor activity in patients with oncogene amplifications. Single agent BBI-355 will be further tested in a dose expansion cohort at the RP2D in platinum-resistant high-grade serous ovarian cancer or endometrial cancer patients with oncogene amplifications.</w:t>
      </w:r>
    </w:p>
    <w:p>
      <w:pPr>
        <w:spacing w:after="0" w:line="169" w:lineRule="exact"/>
        <w:rPr>
          <w:sz w:val="20"/>
          <w:szCs w:val="20"/>
          <w:color w:val="auto"/>
        </w:rPr>
      </w:pPr>
    </w:p>
    <w:p>
      <w:pPr>
        <w:ind w:left="420" w:right="60" w:firstLine="521"/>
        <w:spacing w:after="0" w:line="244" w:lineRule="auto"/>
        <w:rPr>
          <w:sz w:val="20"/>
          <w:szCs w:val="20"/>
          <w:color w:val="auto"/>
        </w:rPr>
      </w:pPr>
      <w:r>
        <w:rPr>
          <w:rFonts w:ascii="Arial" w:cs="Arial" w:eastAsia="Arial" w:hAnsi="Arial"/>
          <w:sz w:val="17"/>
          <w:szCs w:val="17"/>
          <w:color w:val="auto"/>
        </w:rPr>
        <w:t xml:space="preserve">In Part 2 of the trial, patients with amplification of driver oncogenes of interest, </w:t>
      </w:r>
      <w:r>
        <w:rPr>
          <w:rFonts w:ascii="Arial" w:cs="Arial" w:eastAsia="Arial" w:hAnsi="Arial"/>
          <w:sz w:val="17"/>
          <w:szCs w:val="17"/>
          <w:i w:val="1"/>
          <w:iCs w:val="1"/>
          <w:color w:val="auto"/>
        </w:rPr>
        <w:t>EGFR</w:t>
      </w:r>
      <w:r>
        <w:rPr>
          <w:rFonts w:ascii="Arial" w:cs="Arial" w:eastAsia="Arial" w:hAnsi="Arial"/>
          <w:sz w:val="17"/>
          <w:szCs w:val="17"/>
          <w:color w:val="auto"/>
        </w:rPr>
        <w:t xml:space="preserve">, </w:t>
      </w:r>
      <w:r>
        <w:rPr>
          <w:rFonts w:ascii="Arial" w:cs="Arial" w:eastAsia="Arial" w:hAnsi="Arial"/>
          <w:sz w:val="17"/>
          <w:szCs w:val="17"/>
          <w:i w:val="1"/>
          <w:iCs w:val="1"/>
          <w:color w:val="auto"/>
        </w:rPr>
        <w:t>FGFR1-4</w:t>
      </w:r>
      <w:r>
        <w:rPr>
          <w:rFonts w:ascii="Arial" w:cs="Arial" w:eastAsia="Arial" w:hAnsi="Arial"/>
          <w:sz w:val="17"/>
          <w:szCs w:val="17"/>
          <w:color w:val="auto"/>
        </w:rPr>
        <w:t xml:space="preserve">, or </w:t>
      </w:r>
      <w:r>
        <w:rPr>
          <w:rFonts w:ascii="Arial" w:cs="Arial" w:eastAsia="Arial" w:hAnsi="Arial"/>
          <w:sz w:val="17"/>
          <w:szCs w:val="17"/>
          <w:i w:val="1"/>
          <w:iCs w:val="1"/>
          <w:color w:val="auto"/>
        </w:rPr>
        <w:t>CDK4/CDK6</w:t>
      </w:r>
      <w:r>
        <w:rPr>
          <w:rFonts w:ascii="Arial" w:cs="Arial" w:eastAsia="Arial" w:hAnsi="Arial"/>
          <w:sz w:val="17"/>
          <w:szCs w:val="17"/>
          <w:color w:val="auto"/>
        </w:rPr>
        <w:t>, as determined by standard NGS testing, will be enrolled in the corresponding module. The goal of Part 2 is to evaluate safety, tolerability, PK, and PD, as well as the RP2D and MTD, and to evaluate preliminary antitumor activity of BBI-355 in combination with the respective targeted therapy inhibitor studied in each module, that is the EGFR inhibitor erlotinib (module 1), pan-FGFR inhibitor futibatinib (module 2), or CDK4/CDK6 inhibitor abemaciclib (module 3).</w:t>
      </w:r>
    </w:p>
    <w:p>
      <w:pPr>
        <w:spacing w:after="0" w:line="169" w:lineRule="exact"/>
        <w:rPr>
          <w:sz w:val="20"/>
          <w:szCs w:val="20"/>
          <w:color w:val="auto"/>
        </w:rPr>
      </w:pPr>
    </w:p>
    <w:p>
      <w:pPr>
        <w:jc w:val="both"/>
        <w:ind w:left="420" w:right="140" w:firstLine="521"/>
        <w:spacing w:after="0" w:line="252" w:lineRule="auto"/>
        <w:rPr>
          <w:sz w:val="20"/>
          <w:szCs w:val="20"/>
          <w:color w:val="auto"/>
        </w:rPr>
      </w:pPr>
      <w:r>
        <w:rPr>
          <w:rFonts w:ascii="Arial" w:cs="Arial" w:eastAsia="Arial" w:hAnsi="Arial"/>
          <w:sz w:val="17"/>
          <w:szCs w:val="17"/>
          <w:color w:val="auto"/>
        </w:rPr>
        <w:t xml:space="preserve">In Part 3 of the trial, patients with amplification of oncogenes of interest, </w:t>
      </w:r>
      <w:r>
        <w:rPr>
          <w:rFonts w:ascii="Arial" w:cs="Arial" w:eastAsia="Arial" w:hAnsi="Arial"/>
          <w:sz w:val="17"/>
          <w:szCs w:val="17"/>
          <w:i w:val="1"/>
          <w:iCs w:val="1"/>
          <w:color w:val="auto"/>
        </w:rPr>
        <w:t>EGFR</w:t>
      </w:r>
      <w:r>
        <w:rPr>
          <w:rFonts w:ascii="Arial" w:cs="Arial" w:eastAsia="Arial" w:hAnsi="Arial"/>
          <w:sz w:val="17"/>
          <w:szCs w:val="17"/>
          <w:color w:val="auto"/>
        </w:rPr>
        <w:t xml:space="preserve">, </w:t>
      </w:r>
      <w:r>
        <w:rPr>
          <w:rFonts w:ascii="Arial" w:cs="Arial" w:eastAsia="Arial" w:hAnsi="Arial"/>
          <w:sz w:val="17"/>
          <w:szCs w:val="17"/>
          <w:i w:val="1"/>
          <w:iCs w:val="1"/>
          <w:color w:val="auto"/>
        </w:rPr>
        <w:t>FGFR1-4</w:t>
      </w:r>
      <w:r>
        <w:rPr>
          <w:rFonts w:ascii="Arial" w:cs="Arial" w:eastAsia="Arial" w:hAnsi="Arial"/>
          <w:sz w:val="17"/>
          <w:szCs w:val="17"/>
          <w:color w:val="auto"/>
        </w:rPr>
        <w:t xml:space="preserve">, or </w:t>
      </w:r>
      <w:r>
        <w:rPr>
          <w:rFonts w:ascii="Arial" w:cs="Arial" w:eastAsia="Arial" w:hAnsi="Arial"/>
          <w:sz w:val="17"/>
          <w:szCs w:val="17"/>
          <w:i w:val="1"/>
          <w:iCs w:val="1"/>
          <w:color w:val="auto"/>
        </w:rPr>
        <w:t>CDK4/CDK6</w:t>
      </w:r>
      <w:r>
        <w:rPr>
          <w:rFonts w:ascii="Arial" w:cs="Arial" w:eastAsia="Arial" w:hAnsi="Arial"/>
          <w:sz w:val="17"/>
          <w:szCs w:val="17"/>
          <w:color w:val="auto"/>
        </w:rPr>
        <w:t>, enabled by ecDNA as determined by testing with our ecDNA diagnostic clinical trial assay (see “Our Precision Medicine Approach” below), will be enrolled. The goal of Part 3 is to further evaluate combination antitumor activity at the combination RP2D.</w:t>
      </w:r>
    </w:p>
    <w:p>
      <w:pPr>
        <w:spacing w:after="0" w:line="164" w:lineRule="exact"/>
        <w:rPr>
          <w:sz w:val="20"/>
          <w:szCs w:val="20"/>
          <w:color w:val="auto"/>
        </w:rPr>
      </w:pPr>
    </w:p>
    <w:p>
      <w:pPr>
        <w:ind w:left="420" w:right="100" w:firstLine="521"/>
        <w:spacing w:after="0" w:line="247" w:lineRule="auto"/>
        <w:rPr>
          <w:sz w:val="20"/>
          <w:szCs w:val="20"/>
          <w:color w:val="auto"/>
        </w:rPr>
      </w:pPr>
      <w:r>
        <w:rPr>
          <w:rFonts w:ascii="Arial" w:cs="Arial" w:eastAsia="Arial" w:hAnsi="Arial"/>
          <w:sz w:val="17"/>
          <w:szCs w:val="17"/>
          <w:color w:val="auto"/>
        </w:rPr>
        <w:t>We have entered into clinical trial collaboration and supply agreements with each of Taiho Oncology and Eli Lilly providing for no-cost supply of futibatinib and abemaciclib, respectively, for use in the applicable modules of Parts 2 and 3 of this trial (which agreements also provide for the sharing of certain clinical trial data but have no financial obligations and terminate upon conclusion of the trial).</w:t>
      </w:r>
    </w:p>
    <w:p>
      <w:pPr>
        <w:spacing w:after="0" w:line="368" w:lineRule="exact"/>
        <w:rPr>
          <w:sz w:val="20"/>
          <w:szCs w:val="20"/>
          <w:color w:val="auto"/>
        </w:rPr>
      </w:pPr>
    </w:p>
    <w:p>
      <w:pPr>
        <w:ind w:left="420" w:firstLine="521"/>
        <w:spacing w:after="0" w:line="244" w:lineRule="auto"/>
        <w:rPr>
          <w:sz w:val="20"/>
          <w:szCs w:val="20"/>
          <w:color w:val="auto"/>
        </w:rPr>
      </w:pPr>
      <w:r>
        <w:rPr>
          <w:rFonts w:ascii="Arial" w:cs="Arial" w:eastAsia="Arial" w:hAnsi="Arial"/>
          <w:sz w:val="17"/>
          <w:szCs w:val="17"/>
          <w:color w:val="auto"/>
        </w:rPr>
        <w:t>It is anticipated that approximately 200 to 300 patients will be enrolled in total in this trial. Should any cohort of the trial demonstrate compelling signs of clinical antitumor activity, along with acceptable safety and tolerability, we would seek to engage with the FDA and other global regulatory bodies to discuss potential registrational paths, including the designs of any additional clinical trials we may need to conduct to support potential registrations for BBI-355. We may also consider expanding this trial with additional matched targeted agent and oncogene amplification cohorts based on our ongoing research and the dynamic clinical therapeutic landscape.</w:t>
      </w:r>
    </w:p>
    <w:p>
      <w:pPr>
        <w:spacing w:after="0" w:line="105"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0820"/>
          </w:cols>
          <w:pgMar w:left="320" w:top="439" w:right="7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3400"/>
        <w:spacing w:after="0"/>
        <w:rPr>
          <w:sz w:val="20"/>
          <w:szCs w:val="20"/>
          <w:color w:val="auto"/>
        </w:rPr>
      </w:pPr>
      <w:r>
        <w:rPr>
          <w:rFonts w:ascii="Arial" w:cs="Arial" w:eastAsia="Arial" w:hAnsi="Arial"/>
          <w:sz w:val="17"/>
          <w:szCs w:val="17"/>
          <w:b w:val="1"/>
          <w:bCs w:val="1"/>
          <w:color w:val="auto"/>
        </w:rPr>
        <w:t>Design of BBI-355 Phase 1/2 POTENTIATE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1120775</wp:posOffset>
            </wp:positionH>
            <wp:positionV relativeFrom="paragraph">
              <wp:posOffset>154305</wp:posOffset>
            </wp:positionV>
            <wp:extent cx="4908550" cy="23444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908550" cy="2344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Preliminary Results from Part 1 of the POTENTIATE trial</w:t>
      </w:r>
    </w:p>
    <w:p>
      <w:pPr>
        <w:spacing w:after="0" w:line="98" w:lineRule="exact"/>
        <w:rPr>
          <w:sz w:val="20"/>
          <w:szCs w:val="20"/>
          <w:color w:val="auto"/>
        </w:rPr>
      </w:pPr>
    </w:p>
    <w:p>
      <w:pPr>
        <w:ind w:left="420" w:right="240" w:firstLine="521"/>
        <w:spacing w:after="0" w:line="247" w:lineRule="auto"/>
        <w:rPr>
          <w:sz w:val="20"/>
          <w:szCs w:val="20"/>
          <w:color w:val="auto"/>
        </w:rPr>
      </w:pPr>
      <w:r>
        <w:rPr>
          <w:rFonts w:ascii="Arial" w:cs="Arial" w:eastAsia="Arial" w:hAnsi="Arial"/>
          <w:sz w:val="17"/>
          <w:szCs w:val="17"/>
          <w:color w:val="auto"/>
        </w:rPr>
        <w:t>Preliminary data from the ongoing POTENTIATE trial as of the dates noted below have been obtained from 22 subjects enrolled across six dosing cohorts in Part 1 of the trial. Subjects have been treated or are ongoing on an oral Q2D dosing regimen in escalating dose cohorts of 20 mg (N=3), 40 mg (N=4), 60 mg (N=3), and 80 mg (N=4), and on an oral 2 days on and 5 days off weekly dosing regimen (2ON/5OFF) at 80 mg (N=5) and 120 mg (N=3).</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Phase 1 Preliminary PK, PD, and Antitumor Activity Data</w:t>
      </w:r>
    </w:p>
    <w:p>
      <w:pPr>
        <w:spacing w:after="0" w:line="96" w:lineRule="exact"/>
        <w:rPr>
          <w:sz w:val="20"/>
          <w:szCs w:val="20"/>
          <w:color w:val="auto"/>
        </w:rPr>
      </w:pPr>
    </w:p>
    <w:p>
      <w:pPr>
        <w:ind w:left="420" w:firstLine="521"/>
        <w:spacing w:after="0" w:line="244" w:lineRule="auto"/>
        <w:rPr>
          <w:sz w:val="20"/>
          <w:szCs w:val="20"/>
          <w:color w:val="auto"/>
        </w:rPr>
      </w:pPr>
      <w:r>
        <w:rPr>
          <w:rFonts w:ascii="Arial" w:cs="Arial" w:eastAsia="Arial" w:hAnsi="Arial"/>
          <w:sz w:val="17"/>
          <w:szCs w:val="17"/>
          <w:color w:val="auto"/>
        </w:rPr>
        <w:t>Preliminary PK data analysis as of February 21, 2024, revealed good oral bioavailability of BBI-355 across the dosing range, including a dose proportional increase of Cmax and AUC values, with some inter-subject variability. The average half-life of BBI-355 was approximately 40 hours, and average drug accumulation was approximately 2 to 3-fold from day 1 to steady state. Average PK exposures at the 40 mg, 60 mg, and 80 mg Q2D doses achieved or exceeded the minimum PK concentration required for tumor regression in certain rodent cancer xenograft models.</w:t>
      </w:r>
    </w:p>
    <w:p>
      <w:pPr>
        <w:spacing w:after="0" w:line="10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0780"/>
          </w:cols>
          <w:pgMar w:left="320" w:top="439" w:right="7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BBI-355 Preliminary Multi-Dose Fitted Human PK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154305</wp:posOffset>
            </wp:positionV>
            <wp:extent cx="3853815" cy="18986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53815" cy="1898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20" w:right="240" w:firstLine="521"/>
        <w:spacing w:after="0" w:line="270" w:lineRule="auto"/>
        <w:rPr>
          <w:sz w:val="20"/>
          <w:szCs w:val="20"/>
          <w:color w:val="auto"/>
        </w:rPr>
      </w:pPr>
      <w:r>
        <w:rPr>
          <w:rFonts w:ascii="Arial" w:cs="Arial" w:eastAsia="Arial" w:hAnsi="Arial"/>
          <w:sz w:val="17"/>
          <w:szCs w:val="17"/>
          <w:color w:val="auto"/>
        </w:rPr>
        <w:t>A clinical PD assay measuring pCHK1 by immunohistochemistry (IHC) showed CHK1 target engagement in skin punch biopsies across the dosing range as well as in tumor tissue of one patient who consented to serial tumor biopsy.</w:t>
      </w:r>
    </w:p>
    <w:p>
      <w:pPr>
        <w:spacing w:after="0" w:line="250" w:lineRule="exact"/>
        <w:rPr>
          <w:sz w:val="20"/>
          <w:szCs w:val="20"/>
          <w:color w:val="auto"/>
        </w:rPr>
      </w:pPr>
    </w:p>
    <w:p>
      <w:pPr>
        <w:ind w:left="3140"/>
        <w:spacing w:after="0"/>
        <w:rPr>
          <w:sz w:val="20"/>
          <w:szCs w:val="20"/>
          <w:color w:val="auto"/>
        </w:rPr>
      </w:pPr>
      <w:r>
        <w:rPr>
          <w:rFonts w:ascii="Arial" w:cs="Arial" w:eastAsia="Arial" w:hAnsi="Arial"/>
          <w:sz w:val="17"/>
          <w:szCs w:val="17"/>
          <w:b w:val="1"/>
          <w:bCs w:val="1"/>
          <w:color w:val="auto"/>
        </w:rPr>
        <w:t>BBI-355 Preliminary Human PD Data (pCHK1 in serial biopsy)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1104900</wp:posOffset>
            </wp:positionH>
            <wp:positionV relativeFrom="paragraph">
              <wp:posOffset>154305</wp:posOffset>
            </wp:positionV>
            <wp:extent cx="4932680" cy="16224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932680" cy="1622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20" w:right="20" w:firstLine="521"/>
        <w:spacing w:after="0" w:line="276" w:lineRule="auto"/>
        <w:rPr>
          <w:sz w:val="20"/>
          <w:szCs w:val="20"/>
          <w:color w:val="auto"/>
        </w:rPr>
      </w:pPr>
      <w:r>
        <w:rPr>
          <w:rFonts w:ascii="Arial" w:cs="Arial" w:eastAsia="Arial" w:hAnsi="Arial"/>
          <w:sz w:val="16"/>
          <w:szCs w:val="16"/>
          <w:color w:val="auto"/>
        </w:rPr>
        <w:t>As for preliminary clinical antitumor activity, stable disease (per RECIST 1.1 criteria) has been observed in five of eighteen RECIST evaluable subjects, including regression of target lesions by approximately 20% in a patient with metastatic breast cancer harboring oncogene amplifications who has been a subject in the POTENTIATE trial for approximately six months and is continuing in the trial.</w:t>
      </w:r>
    </w:p>
    <w:p>
      <w:pPr>
        <w:spacing w:after="0" w:line="249"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Phase 1 Safety and Tolerability Data</w:t>
      </w:r>
    </w:p>
    <w:p>
      <w:pPr>
        <w:spacing w:after="0" w:line="96" w:lineRule="exact"/>
        <w:rPr>
          <w:sz w:val="20"/>
          <w:szCs w:val="20"/>
          <w:color w:val="auto"/>
        </w:rPr>
      </w:pPr>
    </w:p>
    <w:p>
      <w:pPr>
        <w:ind w:left="420" w:firstLine="521"/>
        <w:spacing w:after="0" w:line="244" w:lineRule="auto"/>
        <w:rPr>
          <w:sz w:val="20"/>
          <w:szCs w:val="20"/>
          <w:color w:val="auto"/>
        </w:rPr>
      </w:pPr>
      <w:r>
        <w:rPr>
          <w:rFonts w:ascii="Arial" w:cs="Arial" w:eastAsia="Arial" w:hAnsi="Arial"/>
          <w:sz w:val="17"/>
          <w:szCs w:val="17"/>
          <w:color w:val="auto"/>
        </w:rPr>
        <w:t>Preliminary clinical safety data as of the data cut-off date of March 4, 2024, showed that, BBI-355 has been generally well -tolerated at the first three dose levels (20 mg, 40 mg, 60 mg) administered Q2D, without any dose-limiting toxicities (DLTs) or drug-related serious adverse events (SAEs). At the 80 mg Q2D dose level, DLTs, specifically Grade 4 platelet count decreased and neutrophil count decreased, occurred in two of four subjects, and this dose level was determined to exceed the target toxicity rate. Therefore, 60 mg was determined to be the MTD with this dosing regimen.</w:t>
      </w:r>
    </w:p>
    <w:p>
      <w:pPr>
        <w:spacing w:after="0" w:line="10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0800"/>
          </w:cols>
          <w:pgMar w:left="320" w:top="439" w:right="77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140" w:firstLine="521"/>
        <w:spacing w:after="0" w:line="241" w:lineRule="auto"/>
        <w:rPr>
          <w:sz w:val="20"/>
          <w:szCs w:val="20"/>
          <w:color w:val="auto"/>
        </w:rPr>
      </w:pPr>
      <w:r>
        <w:rPr>
          <w:rFonts w:ascii="Arial" w:cs="Arial" w:eastAsia="Arial" w:hAnsi="Arial"/>
          <w:sz w:val="17"/>
          <w:szCs w:val="17"/>
          <w:color w:val="auto"/>
        </w:rPr>
        <w:t>BBI-355 was also evaluated on a 2ON/5OFF dosing regimen. Preliminary clinical safety data in this dosing regimen, showed that, as of the data cut-off date of March 4, 2024, BBI-355 has been generally well tolerated at the first dose level (80mg), with one DLT, specifically, administration of less than 70% of the intended dose in the DLT evaluation period due to an adverse event of Grade 4 neutrophil count decreased, in one out of five subjects at this dose level. At the 120 mg 2ON/5OFF dose level, DLTs occurred in two of three subjects, specifically one subject experienced a Grade 4 platelet count decreased and a second subject experienced an administration of less than 70% of the intended dose in the DLT evaluation period following Grade 4 neutrophil count decreased, and therefore this dose level was determined to exceed the target toxicity rate or MTD.</w:t>
      </w:r>
    </w:p>
    <w:p>
      <w:pPr>
        <w:spacing w:after="0" w:line="172" w:lineRule="exact"/>
        <w:rPr>
          <w:sz w:val="20"/>
          <w:szCs w:val="20"/>
          <w:color w:val="auto"/>
        </w:rPr>
      </w:pPr>
    </w:p>
    <w:p>
      <w:pPr>
        <w:ind w:left="420" w:right="120" w:firstLine="521"/>
        <w:spacing w:after="0" w:line="267" w:lineRule="auto"/>
        <w:rPr>
          <w:sz w:val="20"/>
          <w:szCs w:val="20"/>
          <w:color w:val="auto"/>
        </w:rPr>
      </w:pPr>
      <w:r>
        <w:rPr>
          <w:rFonts w:ascii="Arial" w:cs="Arial" w:eastAsia="Arial" w:hAnsi="Arial"/>
          <w:sz w:val="16"/>
          <w:szCs w:val="16"/>
          <w:color w:val="auto"/>
        </w:rPr>
        <w:t>We may consider evaluating other dose levels or dosing schedules to further inform the single agent RP2D and dosing schedule before proceeding to Part 1 dose expansion in platinum-resistant high-grade serous ovarian cancer or endometrial cancer. We anticipate that in the enrolled subjects continuing in the trial as well as those we may enroll in potential future dose escalation cohorts, we may observe toxicities that are novel or on-target class effects for CHK1 inhibitors, which may also constitute DLTs and/or drug-related SAEs.</w:t>
      </w:r>
    </w:p>
    <w:p>
      <w:pPr>
        <w:spacing w:after="0" w:line="152" w:lineRule="exact"/>
        <w:rPr>
          <w:sz w:val="20"/>
          <w:szCs w:val="20"/>
          <w:color w:val="auto"/>
        </w:rPr>
      </w:pPr>
    </w:p>
    <w:p>
      <w:pPr>
        <w:ind w:left="420" w:right="120" w:firstLine="521"/>
        <w:spacing w:after="0" w:line="241" w:lineRule="auto"/>
        <w:rPr>
          <w:sz w:val="20"/>
          <w:szCs w:val="20"/>
          <w:color w:val="auto"/>
        </w:rPr>
      </w:pPr>
      <w:r>
        <w:rPr>
          <w:rFonts w:ascii="Arial" w:cs="Arial" w:eastAsia="Arial" w:hAnsi="Arial"/>
          <w:sz w:val="17"/>
          <w:szCs w:val="17"/>
          <w:color w:val="auto"/>
        </w:rPr>
        <w:t>The most common reported drug-related adverse events (i.e., number of subjects with a specific adverse event) and across all dosing cohorts were neutrophil count decreased or neutropenia (N=4), fatigue (N=4), nausea (N=4), platelet count decreased (N=3), lymphocyte count decreased (N=3), white blood cell count decreased (N=3), diarrhea (N=3), vomiting (N=2), urinary frequency (N=2), headache (N=2), anorexia or loss of appetite (N=2), and dry skin (N=2). Two subjects experienced drug-related SAEs; a Grade 4 platelet count decreased and Grade 4 neutrophil count decreased in one subject, while the other subject experienced Grade 3 anemia leading to hospitalization. All observed hematologic toxicities were asymptomatic, are considered an on-target class effect for CHK1 inhibitors, and have been reported for several other clinical stage CHK1/2 inhibitors.</w:t>
      </w:r>
    </w:p>
    <w:p>
      <w:pPr>
        <w:spacing w:after="0" w:line="172" w:lineRule="exact"/>
        <w:rPr>
          <w:sz w:val="20"/>
          <w:szCs w:val="20"/>
          <w:color w:val="auto"/>
        </w:rPr>
      </w:pPr>
    </w:p>
    <w:p>
      <w:pPr>
        <w:ind w:left="420" w:right="300" w:firstLine="521"/>
        <w:spacing w:after="0" w:line="247" w:lineRule="auto"/>
        <w:rPr>
          <w:sz w:val="20"/>
          <w:szCs w:val="20"/>
          <w:color w:val="auto"/>
        </w:rPr>
      </w:pPr>
      <w:r>
        <w:rPr>
          <w:rFonts w:ascii="Arial" w:cs="Arial" w:eastAsia="Arial" w:hAnsi="Arial"/>
          <w:sz w:val="17"/>
          <w:szCs w:val="17"/>
          <w:color w:val="auto"/>
        </w:rPr>
        <w:t>Based on the totality of the clinical safety, PK, PD, and antitumor activity observed to date, the POTENTIATE trial has recently advanced into Part 2 of the study, with BBI-355 40 mg Q2D to be administered with the respective combination therapies, and with the intention to escalate to BBI-355 60 mg Q2D to be administered with the respective combination therapies. Based on our preclinical pharmacology data and human PK data, we believe 60 mg Q2D to be in the therapeutically active exposure range.</w:t>
      </w:r>
    </w:p>
    <w:p>
      <w:pPr>
        <w:spacing w:after="0" w:line="26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Addressable Patient Populations for BBI-355</w:t>
      </w:r>
    </w:p>
    <w:p>
      <w:pPr>
        <w:spacing w:after="0" w:line="98" w:lineRule="exact"/>
        <w:rPr>
          <w:sz w:val="20"/>
          <w:szCs w:val="20"/>
          <w:color w:val="auto"/>
        </w:rPr>
      </w:pPr>
    </w:p>
    <w:p>
      <w:pPr>
        <w:ind w:left="420" w:firstLine="521"/>
        <w:spacing w:after="0"/>
        <w:rPr>
          <w:sz w:val="20"/>
          <w:szCs w:val="20"/>
          <w:color w:val="auto"/>
        </w:rPr>
      </w:pPr>
      <w:r>
        <w:rPr>
          <w:rFonts w:ascii="Arial" w:cs="Arial" w:eastAsia="Arial" w:hAnsi="Arial"/>
          <w:sz w:val="17"/>
          <w:szCs w:val="17"/>
          <w:color w:val="auto"/>
        </w:rPr>
        <w:t xml:space="preserve">We estimate that BBI-355, if approved for the combination indications we are targeting in the POTENTIATE trial, could address an initial potential U.S. patient population of approximately 30,000 new patients per year with </w:t>
      </w:r>
      <w:r>
        <w:rPr>
          <w:rFonts w:ascii="Arial" w:cs="Arial" w:eastAsia="Arial" w:hAnsi="Arial"/>
          <w:sz w:val="17"/>
          <w:szCs w:val="17"/>
          <w:i w:val="1"/>
          <w:iCs w:val="1"/>
          <w:color w:val="auto"/>
        </w:rPr>
        <w:t>EGFR</w:t>
      </w:r>
      <w:r>
        <w:rPr>
          <w:rFonts w:ascii="Arial" w:cs="Arial" w:eastAsia="Arial" w:hAnsi="Arial"/>
          <w:sz w:val="17"/>
          <w:szCs w:val="17"/>
          <w:color w:val="auto"/>
        </w:rPr>
        <w:t xml:space="preserve">, </w:t>
      </w:r>
      <w:r>
        <w:rPr>
          <w:rFonts w:ascii="Arial" w:cs="Arial" w:eastAsia="Arial" w:hAnsi="Arial"/>
          <w:sz w:val="17"/>
          <w:szCs w:val="17"/>
          <w:i w:val="1"/>
          <w:iCs w:val="1"/>
          <w:color w:val="auto"/>
        </w:rPr>
        <w:t>FGFR1-4</w:t>
      </w:r>
      <w:r>
        <w:rPr>
          <w:rFonts w:ascii="Arial" w:cs="Arial" w:eastAsia="Arial" w:hAnsi="Arial"/>
          <w:sz w:val="17"/>
          <w:szCs w:val="17"/>
          <w:color w:val="auto"/>
        </w:rPr>
        <w:t xml:space="preserve">, or </w:t>
      </w:r>
      <w:r>
        <w:rPr>
          <w:rFonts w:ascii="Arial" w:cs="Arial" w:eastAsia="Arial" w:hAnsi="Arial"/>
          <w:sz w:val="17"/>
          <w:szCs w:val="17"/>
          <w:i w:val="1"/>
          <w:iCs w:val="1"/>
          <w:color w:val="auto"/>
        </w:rPr>
        <w:t>CDK4/6</w:t>
      </w:r>
      <w:r>
        <w:rPr>
          <w:rFonts w:ascii="Arial" w:cs="Arial" w:eastAsia="Arial" w:hAnsi="Arial"/>
          <w:sz w:val="17"/>
          <w:szCs w:val="17"/>
          <w:color w:val="auto"/>
        </w:rPr>
        <w:t xml:space="preserve"> amplifications on ecDNA across a broad range of tumor types. Beyond the United States, we estimate that BBI-355, if approved for such indications, could address approximately 40,000 such patients in the European Union and over 10,000 such patients in Japan, representing a total potential addressable patient population of 80,000 new patients annually in the United States, European Union, and Japan. Our goal is to achieve a tumor agnostic label for BBI-355 in combination with targeted therapies (e.g., an EGFR inhibitor, a pan-FGFR inhibitor, and a CDK4/6 inhibitor) for each of these settings. Guided by our ecDNA diagnostic test, we are evaluating basket trial cohorts of each of these indications and treatment settings.</w:t>
      </w:r>
    </w:p>
    <w:p>
      <w:pPr>
        <w:spacing w:after="0" w:line="84" w:lineRule="exact"/>
        <w:rPr>
          <w:sz w:val="20"/>
          <w:szCs w:val="20"/>
          <w:color w:val="auto"/>
        </w:rPr>
      </w:pPr>
    </w:p>
    <w:p>
      <w:pPr>
        <w:ind w:left="1660" w:right="120" w:hanging="418"/>
        <w:spacing w:after="0" w:line="247" w:lineRule="auto"/>
        <w:tabs>
          <w:tab w:leader="none" w:pos="1660" w:val="left"/>
        </w:tabs>
        <w:numPr>
          <w:ilvl w:val="0"/>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EGFR Amplified Tumor Types </w:t>
      </w:r>
      <w:r>
        <w:rPr>
          <w:rFonts w:ascii="Arial" w:cs="Arial" w:eastAsia="Arial" w:hAnsi="Arial"/>
          <w:sz w:val="17"/>
          <w:szCs w:val="17"/>
          <w:color w:val="auto"/>
        </w:rPr>
        <w:t>– Using U.S. SEER incidence data by tumor type and adjusting for ecDNA prevalence,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we estimate a potential patient population of approximately 5,000 new patients annually in the United States alone for </w:t>
      </w:r>
      <w:r>
        <w:rPr>
          <w:rFonts w:ascii="Arial" w:cs="Arial" w:eastAsia="Arial" w:hAnsi="Arial"/>
          <w:sz w:val="17"/>
          <w:szCs w:val="17"/>
          <w:i w:val="1"/>
          <w:iCs w:val="1"/>
          <w:color w:val="auto"/>
        </w:rPr>
        <w:t xml:space="preserve">EGFR </w:t>
      </w:r>
      <w:r>
        <w:rPr>
          <w:rFonts w:ascii="Arial" w:cs="Arial" w:eastAsia="Arial" w:hAnsi="Arial"/>
          <w:sz w:val="17"/>
          <w:szCs w:val="17"/>
          <w:color w:val="auto"/>
        </w:rPr>
        <w:t>amplifications. This estimate includes patients with esophageal and gastric cancer, head and neck squamous cell</w:t>
      </w:r>
      <w:r>
        <w:rPr>
          <w:rFonts w:ascii="Arial" w:cs="Arial" w:eastAsia="Arial" w:hAnsi="Arial"/>
          <w:sz w:val="17"/>
          <w:szCs w:val="17"/>
          <w:i w:val="1"/>
          <w:iCs w:val="1"/>
          <w:color w:val="auto"/>
        </w:rPr>
        <w:t xml:space="preserve"> </w:t>
      </w:r>
      <w:r>
        <w:rPr>
          <w:rFonts w:ascii="Arial" w:cs="Arial" w:eastAsia="Arial" w:hAnsi="Arial"/>
          <w:sz w:val="17"/>
          <w:szCs w:val="17"/>
          <w:color w:val="auto"/>
        </w:rPr>
        <w:t>carcinoma, NSCLC squamous cell carcinoma, and other tumor</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0800"/>
          </w:cols>
          <w:pgMar w:left="320" w:top="439" w:right="77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1660"/>
        <w:spacing w:after="0" w:line="270" w:lineRule="auto"/>
        <w:rPr>
          <w:sz w:val="20"/>
          <w:szCs w:val="20"/>
          <w:color w:val="auto"/>
        </w:rPr>
      </w:pPr>
      <w:r>
        <w:rPr>
          <w:rFonts w:ascii="Arial" w:cs="Arial" w:eastAsia="Arial" w:hAnsi="Arial"/>
          <w:sz w:val="17"/>
          <w:szCs w:val="17"/>
          <w:color w:val="auto"/>
        </w:rPr>
        <w:t xml:space="preserve">types that exhibit </w:t>
      </w:r>
      <w:r>
        <w:rPr>
          <w:rFonts w:ascii="Arial" w:cs="Arial" w:eastAsia="Arial" w:hAnsi="Arial"/>
          <w:sz w:val="17"/>
          <w:szCs w:val="17"/>
          <w:i w:val="1"/>
          <w:iCs w:val="1"/>
          <w:color w:val="auto"/>
        </w:rPr>
        <w:t>EGFR</w:t>
      </w:r>
      <w:r>
        <w:rPr>
          <w:rFonts w:ascii="Arial" w:cs="Arial" w:eastAsia="Arial" w:hAnsi="Arial"/>
          <w:sz w:val="17"/>
          <w:szCs w:val="17"/>
          <w:color w:val="auto"/>
        </w:rPr>
        <w:t xml:space="preserve"> driver oncogene amplifications on ecDNA, with the potential to expand to glioblastoma, which has high ecDNA prevalence.</w:t>
      </w:r>
    </w:p>
    <w:p>
      <w:pPr>
        <w:spacing w:after="0" w:line="58" w:lineRule="exact"/>
        <w:rPr>
          <w:sz w:val="20"/>
          <w:szCs w:val="20"/>
          <w:color w:val="auto"/>
        </w:rPr>
      </w:pPr>
    </w:p>
    <w:p>
      <w:pPr>
        <w:ind w:left="1660" w:right="200" w:hanging="418"/>
        <w:spacing w:after="0" w:line="247" w:lineRule="auto"/>
        <w:tabs>
          <w:tab w:leader="none" w:pos="1660" w:val="left"/>
        </w:tabs>
        <w:numPr>
          <w:ilvl w:val="0"/>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FGFR1-4 Amplified Tumor Types </w:t>
      </w:r>
      <w:r>
        <w:rPr>
          <w:rFonts w:ascii="Arial" w:cs="Arial" w:eastAsia="Arial" w:hAnsi="Arial"/>
          <w:sz w:val="17"/>
          <w:szCs w:val="17"/>
          <w:color w:val="auto"/>
        </w:rPr>
        <w:t>– The potential</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FGFR1-4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amplified patient population, including early and late stage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metastatic, represents up to approximately 18,000 new patients annually in the United States alone. This population includes patients with breast cancer, NSCLC squamous cell carcinoma, esophageal and gastric cancer, bladder cancer, and other tumor types that exhibit </w:t>
      </w:r>
      <w:r>
        <w:rPr>
          <w:rFonts w:ascii="Arial" w:cs="Arial" w:eastAsia="Arial" w:hAnsi="Arial"/>
          <w:sz w:val="17"/>
          <w:szCs w:val="17"/>
          <w:i w:val="1"/>
          <w:iCs w:val="1"/>
          <w:color w:val="auto"/>
        </w:rPr>
        <w:t>FGFR1-4</w:t>
      </w:r>
      <w:r>
        <w:rPr>
          <w:rFonts w:ascii="Arial" w:cs="Arial" w:eastAsia="Arial" w:hAnsi="Arial"/>
          <w:sz w:val="17"/>
          <w:szCs w:val="17"/>
          <w:color w:val="auto"/>
        </w:rPr>
        <w:t xml:space="preserve"> driver oncogene amplifications on ecDNA.</w:t>
      </w:r>
    </w:p>
    <w:p>
      <w:pPr>
        <w:spacing w:after="0" w:line="76" w:lineRule="exact"/>
        <w:rPr>
          <w:rFonts w:ascii="Arial" w:cs="Arial" w:eastAsia="Arial" w:hAnsi="Arial"/>
          <w:sz w:val="17"/>
          <w:szCs w:val="17"/>
          <w:color w:val="auto"/>
        </w:rPr>
      </w:pPr>
    </w:p>
    <w:p>
      <w:pPr>
        <w:ind w:left="1660" w:right="140" w:hanging="418"/>
        <w:spacing w:after="0" w:line="247" w:lineRule="auto"/>
        <w:tabs>
          <w:tab w:leader="none" w:pos="1660" w:val="left"/>
        </w:tabs>
        <w:numPr>
          <w:ilvl w:val="0"/>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CDK4/6 Amplified Tumor Types </w:t>
      </w:r>
      <w:r>
        <w:rPr>
          <w:rFonts w:ascii="Arial" w:cs="Arial" w:eastAsia="Arial" w:hAnsi="Arial"/>
          <w:sz w:val="17"/>
          <w:szCs w:val="17"/>
          <w:color w:val="auto"/>
        </w:rPr>
        <w:t>– The potential</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CDK4/6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amplified patient population, including early and late stage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metastatic, represents approximately 6,000 new patients annually in the United States alone. This population includes patients with liposarcoma, NSCLC squamous cell carcinoma, esophageal and gastric cancer, and other tumor types that exhibit </w:t>
      </w:r>
      <w:r>
        <w:rPr>
          <w:rFonts w:ascii="Arial" w:cs="Arial" w:eastAsia="Arial" w:hAnsi="Arial"/>
          <w:sz w:val="17"/>
          <w:szCs w:val="17"/>
          <w:i w:val="1"/>
          <w:iCs w:val="1"/>
          <w:color w:val="auto"/>
        </w:rPr>
        <w:t>CDK4/6</w:t>
      </w:r>
      <w:r>
        <w:rPr>
          <w:rFonts w:ascii="Arial" w:cs="Arial" w:eastAsia="Arial" w:hAnsi="Arial"/>
          <w:sz w:val="17"/>
          <w:szCs w:val="17"/>
          <w:color w:val="auto"/>
        </w:rPr>
        <w:t xml:space="preserve"> driver oncogene amplifications on ecDNA, with the potential to expand to glioblastoma.</w:t>
      </w:r>
    </w:p>
    <w:p>
      <w:pPr>
        <w:spacing w:after="0" w:line="166" w:lineRule="exact"/>
        <w:rPr>
          <w:sz w:val="20"/>
          <w:szCs w:val="20"/>
          <w:color w:val="auto"/>
        </w:rPr>
      </w:pPr>
    </w:p>
    <w:p>
      <w:pPr>
        <w:jc w:val="both"/>
        <w:ind w:left="420" w:right="560" w:firstLine="521"/>
        <w:spacing w:after="0" w:line="252" w:lineRule="auto"/>
        <w:rPr>
          <w:sz w:val="20"/>
          <w:szCs w:val="20"/>
          <w:color w:val="auto"/>
        </w:rPr>
      </w:pPr>
      <w:r>
        <w:rPr>
          <w:rFonts w:ascii="Arial" w:cs="Arial" w:eastAsia="Arial" w:hAnsi="Arial"/>
          <w:sz w:val="17"/>
          <w:szCs w:val="17"/>
          <w:color w:val="auto"/>
        </w:rPr>
        <w:t>We also estimate that BBI-355, if approved for the monotherapy indications we are targeting in the POTENTIATE trial, could address a total potential patient population of approximately 65,000 new patients per year with high-grade serous ovarian cancer or endometrial cancer, each with oncogene amplification, in the United States, European Union, and Japan.</w:t>
      </w:r>
    </w:p>
    <w:p>
      <w:pPr>
        <w:spacing w:after="0" w:line="164" w:lineRule="exact"/>
        <w:rPr>
          <w:sz w:val="20"/>
          <w:szCs w:val="20"/>
          <w:color w:val="auto"/>
        </w:rPr>
      </w:pPr>
    </w:p>
    <w:p>
      <w:pPr>
        <w:jc w:val="both"/>
        <w:ind w:left="420" w:right="40" w:firstLine="521"/>
        <w:spacing w:after="0" w:line="252" w:lineRule="auto"/>
        <w:rPr>
          <w:sz w:val="20"/>
          <w:szCs w:val="20"/>
          <w:color w:val="auto"/>
        </w:rPr>
      </w:pPr>
      <w:r>
        <w:rPr>
          <w:rFonts w:ascii="Arial" w:cs="Arial" w:eastAsia="Arial" w:hAnsi="Arial"/>
          <w:sz w:val="17"/>
          <w:szCs w:val="17"/>
          <w:color w:val="auto"/>
        </w:rPr>
        <w:t xml:space="preserve">In addition to the gene amplified cancer types described above, we are currently conducting preclinical studies of BBI-355 in </w:t>
      </w:r>
      <w:r>
        <w:rPr>
          <w:rFonts w:ascii="Arial" w:cs="Arial" w:eastAsia="Arial" w:hAnsi="Arial"/>
          <w:sz w:val="17"/>
          <w:szCs w:val="17"/>
          <w:i w:val="1"/>
          <w:iCs w:val="1"/>
          <w:color w:val="auto"/>
        </w:rPr>
        <w:t>MDM2</w:t>
      </w:r>
      <w:r>
        <w:rPr>
          <w:rFonts w:ascii="Arial" w:cs="Arial" w:eastAsia="Arial" w:hAnsi="Arial"/>
          <w:sz w:val="17"/>
          <w:szCs w:val="17"/>
          <w:color w:val="auto"/>
        </w:rPr>
        <w:t xml:space="preserve"> amplified cancers and non-mutated </w:t>
      </w:r>
      <w:r>
        <w:rPr>
          <w:rFonts w:ascii="Arial" w:cs="Arial" w:eastAsia="Arial" w:hAnsi="Arial"/>
          <w:sz w:val="17"/>
          <w:szCs w:val="17"/>
          <w:i w:val="1"/>
          <w:iCs w:val="1"/>
          <w:color w:val="auto"/>
        </w:rPr>
        <w:t>KRAS</w:t>
      </w:r>
      <w:r>
        <w:rPr>
          <w:rFonts w:ascii="Arial" w:cs="Arial" w:eastAsia="Arial" w:hAnsi="Arial"/>
          <w:sz w:val="17"/>
          <w:szCs w:val="17"/>
          <w:color w:val="auto"/>
        </w:rPr>
        <w:t xml:space="preserve"> amplified cancers; in the future, we intend to pursue additional gene amplified tumor settings as well. Clinical success in one or more of these indications could expand the potential addressable patient population for BBI-355.</w:t>
      </w:r>
    </w:p>
    <w:p>
      <w:pPr>
        <w:spacing w:after="0" w:line="266" w:lineRule="exact"/>
        <w:rPr>
          <w:sz w:val="20"/>
          <w:szCs w:val="20"/>
          <w:color w:val="auto"/>
        </w:rPr>
      </w:pPr>
    </w:p>
    <w:p>
      <w:pPr>
        <w:jc w:val="center"/>
        <w:ind w:left="720" w:right="140"/>
        <w:spacing w:after="0" w:line="280" w:lineRule="auto"/>
        <w:rPr>
          <w:sz w:val="20"/>
          <w:szCs w:val="20"/>
          <w:color w:val="auto"/>
        </w:rPr>
      </w:pPr>
      <w:r>
        <w:rPr>
          <w:rFonts w:ascii="Arial" w:cs="Arial" w:eastAsia="Arial" w:hAnsi="Arial"/>
          <w:sz w:val="17"/>
          <w:szCs w:val="17"/>
          <w:b w:val="1"/>
          <w:bCs w:val="1"/>
          <w:color w:val="auto"/>
        </w:rPr>
        <w:t>Initial Indications for BBI-355 May Represent a Total Addressable Population of 145,000 New Patients in the United States, the European Union, and Japan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1120775</wp:posOffset>
            </wp:positionH>
            <wp:positionV relativeFrom="paragraph">
              <wp:posOffset>110490</wp:posOffset>
            </wp:positionV>
            <wp:extent cx="4908550" cy="25234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908550" cy="2523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Central Nervous System (CNS) Penetrant CHK1 Inhibitor Program: BBI-098</w:t>
      </w:r>
    </w:p>
    <w:p>
      <w:pPr>
        <w:spacing w:after="0" w:line="98" w:lineRule="exact"/>
        <w:rPr>
          <w:sz w:val="20"/>
          <w:szCs w:val="20"/>
          <w:color w:val="auto"/>
        </w:rPr>
      </w:pPr>
    </w:p>
    <w:p>
      <w:pPr>
        <w:ind w:left="420" w:right="280" w:firstLine="521"/>
        <w:spacing w:after="0" w:line="270" w:lineRule="auto"/>
        <w:rPr>
          <w:sz w:val="20"/>
          <w:szCs w:val="20"/>
          <w:color w:val="auto"/>
        </w:rPr>
      </w:pPr>
      <w:r>
        <w:rPr>
          <w:rFonts w:ascii="Arial" w:cs="Arial" w:eastAsia="Arial" w:hAnsi="Arial"/>
          <w:sz w:val="17"/>
          <w:szCs w:val="17"/>
          <w:color w:val="auto"/>
        </w:rPr>
        <w:t>In addition to BBI-355, we have also identified a second CHK1 inhibitor candidate with a differentiated profile from BBI-355. This novel ecDTx compound, BBI-098, is orally available, selective,</w:t>
      </w:r>
    </w:p>
    <w:p>
      <w:pPr>
        <w:spacing w:after="0" w:line="8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0840"/>
          </w:cols>
          <w:pgMar w:left="320" w:top="439" w:right="7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line="242" w:lineRule="auto"/>
        <w:rPr>
          <w:sz w:val="20"/>
          <w:szCs w:val="20"/>
          <w:color w:val="auto"/>
        </w:rPr>
      </w:pPr>
      <w:r>
        <w:rPr>
          <w:rFonts w:ascii="Arial" w:cs="Arial" w:eastAsia="Arial" w:hAnsi="Arial"/>
          <w:sz w:val="17"/>
          <w:szCs w:val="17"/>
          <w:color w:val="auto"/>
        </w:rPr>
        <w:t xml:space="preserve">has shown picomolar biochemical inhibition of CHK1, and has demonstrated CNS penetrance in preclinical models. We have nominated BBI-098 as a development candidate and have completed non-Good Laboratory Practice (non-GLP) dose range finding toxicology studies. We are currently conducting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studies in multiple glioblastoma pharmacology models. If those studies are successful and we are able to demonstrate clinical activity of CHK1 inhibition in ecDNA-bearing cancers with our BBI-355 ecDTx, then we intend to advance BBI-098 into GLP toxicology studies and formulation development to pursue ecDNA-bearing oncology CNS indications such as glioblastoma or brain metastases. Properties of BBI-098 observed in preclinical studies are shown below.</w:t>
      </w:r>
    </w:p>
    <w:p>
      <w:pPr>
        <w:spacing w:after="0" w:line="274" w:lineRule="exact"/>
        <w:rPr>
          <w:sz w:val="20"/>
          <w:szCs w:val="20"/>
          <w:color w:val="auto"/>
        </w:rPr>
      </w:pPr>
    </w:p>
    <w:p>
      <w:pPr>
        <w:ind w:left="3060"/>
        <w:spacing w:after="0"/>
        <w:rPr>
          <w:sz w:val="20"/>
          <w:szCs w:val="20"/>
          <w:color w:val="auto"/>
        </w:rPr>
      </w:pPr>
      <w:r>
        <w:rPr>
          <w:rFonts w:ascii="Arial" w:cs="Arial" w:eastAsia="Arial" w:hAnsi="Arial"/>
          <w:sz w:val="17"/>
          <w:szCs w:val="17"/>
          <w:b w:val="1"/>
          <w:bCs w:val="1"/>
          <w:color w:val="auto"/>
        </w:rPr>
        <w:t>Preclinical Properties of BBI-098 CNS Penetrant CHK1 Inhibitor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1494155</wp:posOffset>
            </wp:positionH>
            <wp:positionV relativeFrom="paragraph">
              <wp:posOffset>154305</wp:posOffset>
            </wp:positionV>
            <wp:extent cx="4154170" cy="32531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154170" cy="3253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Our Second ecDTx: BBI-825 RNR Inhibitor</w:t>
      </w:r>
    </w:p>
    <w:p>
      <w:pPr>
        <w:spacing w:after="0" w:line="98" w:lineRule="exact"/>
        <w:rPr>
          <w:sz w:val="20"/>
          <w:szCs w:val="20"/>
          <w:color w:val="auto"/>
        </w:rPr>
      </w:pPr>
    </w:p>
    <w:p>
      <w:pPr>
        <w:ind w:left="420" w:firstLine="521"/>
        <w:spacing w:after="0" w:line="241" w:lineRule="auto"/>
        <w:rPr>
          <w:sz w:val="20"/>
          <w:szCs w:val="20"/>
          <w:color w:val="auto"/>
        </w:rPr>
      </w:pPr>
      <w:r>
        <w:rPr>
          <w:rFonts w:ascii="Arial" w:cs="Arial" w:eastAsia="Arial" w:hAnsi="Arial"/>
          <w:sz w:val="17"/>
          <w:szCs w:val="17"/>
          <w:color w:val="auto"/>
        </w:rPr>
        <w:t>Our second ecDTx, BBI-825, is a novel, selective, oral small molecule inhibitor of RNR. RNR is a rate-limiting enzyme responsible for cellular production of dNTPs, the building blocks of DNA, and is essential to the assembly and repair of ecDNA. We have demonstrated that inhibition of RNR with BBI-825 starved ecDNA-reliant cancer cells of dNTPs, depleted ecDNA, and was synthetic lethal in multiple ecDNA-bearing cancers, including both driver oncogene and resistance settings. In January 2024, we received allowance from the FDA to initiate the first-in-human, Phase 1/2 STARMAP clinical trial in patients with resistance gene amplifications. We initiated the STARMAP trial in February 2024 and expect to have preliminary clinical proof of concept safety and antitumor activity data of BBI-825 in combination with targeted therapies from the STARMAP trial in the second half of 2025.</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RNR Synthetic Lethality in ecDNA-enabled Cancer</w:t>
      </w:r>
    </w:p>
    <w:p>
      <w:pPr>
        <w:spacing w:after="0" w:line="98" w:lineRule="exact"/>
        <w:rPr>
          <w:sz w:val="20"/>
          <w:szCs w:val="20"/>
          <w:color w:val="auto"/>
        </w:rPr>
      </w:pPr>
    </w:p>
    <w:p>
      <w:pPr>
        <w:ind w:left="420" w:right="220" w:firstLine="521"/>
        <w:spacing w:after="0" w:line="270" w:lineRule="auto"/>
        <w:rPr>
          <w:sz w:val="20"/>
          <w:szCs w:val="20"/>
          <w:color w:val="auto"/>
        </w:rPr>
      </w:pPr>
      <w:r>
        <w:rPr>
          <w:rFonts w:ascii="Arial" w:cs="Arial" w:eastAsia="Arial" w:hAnsi="Arial"/>
          <w:sz w:val="17"/>
          <w:szCs w:val="17"/>
          <w:color w:val="auto"/>
        </w:rPr>
        <w:t xml:space="preserve">RNR is a rate-limiting enzyme responsible for cellular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synthesis of dNTPs and is essential to the assembly and repair of ecDNA. The premise for this ecDTx program is based on the</w:t>
      </w:r>
    </w:p>
    <w:p>
      <w:pPr>
        <w:spacing w:after="0" w:line="8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0780"/>
          </w:cols>
          <w:pgMar w:left="320" w:top="439" w:right="7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420"/>
        <w:spacing w:after="0" w:line="270" w:lineRule="auto"/>
        <w:rPr>
          <w:sz w:val="20"/>
          <w:szCs w:val="20"/>
          <w:color w:val="auto"/>
        </w:rPr>
      </w:pPr>
      <w:r>
        <w:rPr>
          <w:rFonts w:ascii="Arial" w:cs="Arial" w:eastAsia="Arial" w:hAnsi="Arial"/>
          <w:sz w:val="17"/>
          <w:szCs w:val="17"/>
          <w:color w:val="auto"/>
        </w:rPr>
        <w:t>preclinical observation that RNR inhibition starved ecDNA-reliant cancer cells of dNTPs, depleted ecDNA, and was synthetic lethal in amplification-bearing cancer cells.</w:t>
      </w:r>
    </w:p>
    <w:p>
      <w:pPr>
        <w:spacing w:after="0" w:line="148" w:lineRule="exact"/>
        <w:rPr>
          <w:sz w:val="20"/>
          <w:szCs w:val="20"/>
          <w:color w:val="auto"/>
        </w:rPr>
      </w:pPr>
    </w:p>
    <w:p>
      <w:pPr>
        <w:ind w:left="420" w:right="400" w:firstLine="521"/>
        <w:spacing w:after="0" w:line="231" w:lineRule="auto"/>
        <w:rPr>
          <w:sz w:val="20"/>
          <w:szCs w:val="20"/>
          <w:color w:val="auto"/>
        </w:rPr>
      </w:pPr>
      <w:r>
        <w:rPr>
          <w:rFonts w:ascii="Arial" w:cs="Arial" w:eastAsia="Arial" w:hAnsi="Arial"/>
          <w:sz w:val="16"/>
          <w:szCs w:val="16"/>
          <w:color w:val="auto"/>
        </w:rPr>
        <w:t xml:space="preserve">We have observed particular sensitivity to RNR inhibition in cancer cells harboring certain oncodriver mutations, for instance </w:t>
      </w:r>
      <w:r>
        <w:rPr>
          <w:rFonts w:ascii="Arial" w:cs="Arial" w:eastAsia="Arial" w:hAnsi="Arial"/>
          <w:sz w:val="16"/>
          <w:szCs w:val="16"/>
          <w:i w:val="1"/>
          <w:iCs w:val="1"/>
          <w:color w:val="auto"/>
        </w:rPr>
        <w:t>KRAS</w:t>
      </w:r>
      <w:r>
        <w:rPr>
          <w:rFonts w:ascii="Arial" w:cs="Arial" w:eastAsia="Arial" w:hAnsi="Arial"/>
          <w:sz w:val="24"/>
          <w:szCs w:val="24"/>
          <w:i w:val="1"/>
          <w:iCs w:val="1"/>
          <w:color w:val="auto"/>
          <w:vertAlign w:val="superscript"/>
        </w:rPr>
        <w:t>G12C</w:t>
      </w:r>
      <w:r>
        <w:rPr>
          <w:rFonts w:ascii="Arial" w:cs="Arial" w:eastAsia="Arial" w:hAnsi="Arial"/>
          <w:sz w:val="16"/>
          <w:szCs w:val="16"/>
          <w:i w:val="1"/>
          <w:iCs w:val="1"/>
          <w:color w:val="auto"/>
        </w:rPr>
        <w:t xml:space="preserve"> </w:t>
      </w:r>
      <w:r>
        <w:rPr>
          <w:rFonts w:ascii="Arial" w:cs="Arial" w:eastAsia="Arial" w:hAnsi="Arial"/>
          <w:sz w:val="16"/>
          <w:szCs w:val="16"/>
          <w:color w:val="auto"/>
        </w:rPr>
        <w:t>and</w:t>
      </w:r>
      <w:r>
        <w:rPr>
          <w:rFonts w:ascii="Arial" w:cs="Arial" w:eastAsia="Arial" w:hAnsi="Arial"/>
          <w:sz w:val="16"/>
          <w:szCs w:val="16"/>
          <w:i w:val="1"/>
          <w:iCs w:val="1"/>
          <w:color w:val="auto"/>
        </w:rPr>
        <w:t xml:space="preserve"> BRAF</w:t>
      </w:r>
      <w:r>
        <w:rPr>
          <w:rFonts w:ascii="Arial" w:cs="Arial" w:eastAsia="Arial" w:hAnsi="Arial"/>
          <w:sz w:val="24"/>
          <w:szCs w:val="24"/>
          <w:i w:val="1"/>
          <w:iCs w:val="1"/>
          <w:color w:val="auto"/>
          <w:vertAlign w:val="superscript"/>
        </w:rPr>
        <w:t>V600</w:t>
      </w:r>
      <w:r>
        <w:rPr>
          <w:rFonts w:ascii="Arial" w:cs="Arial" w:eastAsia="Arial" w:hAnsi="Arial"/>
          <w:sz w:val="16"/>
          <w:szCs w:val="16"/>
          <w:color w:val="auto"/>
        </w:rPr>
        <w:t>, previously shown to have hyperactive dNTP synthesis that promotes the activity of key</w:t>
      </w:r>
      <w:r>
        <w:rPr>
          <w:rFonts w:ascii="Arial" w:cs="Arial" w:eastAsia="Arial" w:hAnsi="Arial"/>
          <w:sz w:val="16"/>
          <w:szCs w:val="16"/>
          <w:i w:val="1"/>
          <w:iCs w:val="1"/>
          <w:color w:val="auto"/>
        </w:rPr>
        <w:t xml:space="preserve"> de novo </w:t>
      </w:r>
      <w:r>
        <w:rPr>
          <w:rFonts w:ascii="Arial" w:cs="Arial" w:eastAsia="Arial" w:hAnsi="Arial"/>
          <w:sz w:val="16"/>
          <w:szCs w:val="16"/>
          <w:color w:val="auto"/>
        </w:rPr>
        <w:t>nucleotide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biosynthesis pathway enzymes, including RNR. Critically, </w:t>
      </w:r>
      <w:r>
        <w:rPr>
          <w:rFonts w:ascii="Arial" w:cs="Arial" w:eastAsia="Arial" w:hAnsi="Arial"/>
          <w:sz w:val="16"/>
          <w:szCs w:val="16"/>
          <w:i w:val="1"/>
          <w:iCs w:val="1"/>
          <w:color w:val="auto"/>
        </w:rPr>
        <w:t>KRAS</w:t>
      </w:r>
      <w:r>
        <w:rPr>
          <w:rFonts w:ascii="Arial" w:cs="Arial" w:eastAsia="Arial" w:hAnsi="Arial"/>
          <w:sz w:val="16"/>
          <w:szCs w:val="16"/>
          <w:color w:val="auto"/>
        </w:rPr>
        <w:t xml:space="preserve">, </w:t>
      </w:r>
      <w:r>
        <w:rPr>
          <w:rFonts w:ascii="Arial" w:cs="Arial" w:eastAsia="Arial" w:hAnsi="Arial"/>
          <w:sz w:val="16"/>
          <w:szCs w:val="16"/>
          <w:i w:val="1"/>
          <w:iCs w:val="1"/>
          <w:color w:val="auto"/>
        </w:rPr>
        <w:t>BRAF</w:t>
      </w:r>
      <w:r>
        <w:rPr>
          <w:rFonts w:ascii="Arial" w:cs="Arial" w:eastAsia="Arial" w:hAnsi="Arial"/>
          <w:sz w:val="16"/>
          <w:szCs w:val="16"/>
          <w:color w:val="auto"/>
        </w:rPr>
        <w:t>, and other genes involved in MAPK pathway signaling are frequently amplified on ecDNA, potentially further compounding the demand for dNTPs and reliance on RNR for tumor cell survival.</w:t>
      </w:r>
    </w:p>
    <w:p>
      <w:pPr>
        <w:spacing w:after="0" w:line="276"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Limitations with Prior RNR Inhibitors</w:t>
      </w:r>
    </w:p>
    <w:p>
      <w:pPr>
        <w:spacing w:after="0" w:line="98" w:lineRule="exact"/>
        <w:rPr>
          <w:sz w:val="20"/>
          <w:szCs w:val="20"/>
          <w:color w:val="auto"/>
        </w:rPr>
      </w:pPr>
    </w:p>
    <w:p>
      <w:pPr>
        <w:ind w:left="420" w:firstLine="521"/>
        <w:spacing w:after="0" w:line="239" w:lineRule="auto"/>
        <w:rPr>
          <w:sz w:val="20"/>
          <w:szCs w:val="20"/>
          <w:color w:val="auto"/>
        </w:rPr>
      </w:pPr>
      <w:r>
        <w:rPr>
          <w:rFonts w:ascii="Arial" w:cs="Arial" w:eastAsia="Arial" w:hAnsi="Arial"/>
          <w:sz w:val="17"/>
          <w:szCs w:val="17"/>
          <w:color w:val="auto"/>
        </w:rPr>
        <w:t>RNR inhibition as a pharmacological strategy for treating cancer has been clinically validated by approved drugs with RNR inhibitory activity, such as gemcitabine and hydroxyurea. These drugs, however, are not selective for RNR and were not originally intended for, nor optimized for, RNR inhibitor properties. They have several shortcomings, including poor PK properties, IV delivery (gemcitabine), weak potency (hydroxyurea), polypharmacology, and other metabolic liabilities. Despite these limitations, drugs with RNR inhibitory activity have shown clinical activity in multiple settings, with anecdotal evidence supporting synthetic lethality for gemcitabine in high-RS tumors with oncogene amplification. To date, no selective RNR inhibitor has either been approved, nor to our knowledge is being actively developed. Additionally, no compounds with RNR inhibitory properties have been previously approved with a biomarker for patient selection. Therefore, we believe there is a significant opportunity for a precision medicine approach to pursuing this clinically validated cancer target via an intentionally designed, selective, oral RNR inhibitor, with a biomarker-enabled approach for selection of patients with cancers most likely to benefit from this therapeutic strategy.</w:t>
      </w:r>
    </w:p>
    <w:p>
      <w:pPr>
        <w:spacing w:after="0" w:line="277"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Our Differentiated Approach</w:t>
      </w:r>
    </w:p>
    <w:p>
      <w:pPr>
        <w:spacing w:after="0" w:line="98" w:lineRule="exact"/>
        <w:rPr>
          <w:sz w:val="20"/>
          <w:szCs w:val="20"/>
          <w:color w:val="auto"/>
        </w:rPr>
      </w:pPr>
    </w:p>
    <w:p>
      <w:pPr>
        <w:ind w:left="420" w:right="140" w:firstLine="521"/>
        <w:spacing w:after="0" w:line="219" w:lineRule="auto"/>
        <w:rPr>
          <w:sz w:val="20"/>
          <w:szCs w:val="20"/>
          <w:color w:val="auto"/>
        </w:rPr>
      </w:pPr>
      <w:r>
        <w:rPr>
          <w:rFonts w:ascii="Arial" w:cs="Arial" w:eastAsia="Arial" w:hAnsi="Arial"/>
          <w:sz w:val="17"/>
          <w:szCs w:val="17"/>
          <w:color w:val="auto"/>
        </w:rPr>
        <w:t xml:space="preserve">To this end, we have designed BBI-825, a novel, RNR-selective inhibitor optimized for ecDNA-enabled cancers, including those with MAPK pathway activation (e.g., </w:t>
      </w:r>
      <w:r>
        <w:rPr>
          <w:rFonts w:ascii="Arial" w:cs="Arial" w:eastAsia="Arial" w:hAnsi="Arial"/>
          <w:sz w:val="17"/>
          <w:szCs w:val="17"/>
          <w:i w:val="1"/>
          <w:iCs w:val="1"/>
          <w:color w:val="auto"/>
        </w:rPr>
        <w:t>BRAF</w:t>
      </w:r>
      <w:r>
        <w:rPr>
          <w:rFonts w:ascii="Arial" w:cs="Arial" w:eastAsia="Arial" w:hAnsi="Arial"/>
          <w:sz w:val="25"/>
          <w:szCs w:val="25"/>
          <w:i w:val="1"/>
          <w:iCs w:val="1"/>
          <w:color w:val="auto"/>
          <w:vertAlign w:val="superscript"/>
        </w:rPr>
        <w:t>V600E</w:t>
      </w:r>
      <w:r>
        <w:rPr>
          <w:rFonts w:ascii="Arial" w:cs="Arial" w:eastAsia="Arial" w:hAnsi="Arial"/>
          <w:sz w:val="17"/>
          <w:szCs w:val="17"/>
          <w:color w:val="auto"/>
        </w:rPr>
        <w:t xml:space="preserve"> and </w:t>
      </w:r>
      <w:r>
        <w:rPr>
          <w:rFonts w:ascii="Arial" w:cs="Arial" w:eastAsia="Arial" w:hAnsi="Arial"/>
          <w:sz w:val="17"/>
          <w:szCs w:val="17"/>
          <w:i w:val="1"/>
          <w:iCs w:val="1"/>
          <w:color w:val="auto"/>
        </w:rPr>
        <w:t>KRAS</w:t>
      </w:r>
      <w:r>
        <w:rPr>
          <w:rFonts w:ascii="Arial" w:cs="Arial" w:eastAsia="Arial" w:hAnsi="Arial"/>
          <w:sz w:val="25"/>
          <w:szCs w:val="25"/>
          <w:i w:val="1"/>
          <w:iCs w:val="1"/>
          <w:color w:val="auto"/>
          <w:vertAlign w:val="superscript"/>
        </w:rPr>
        <w:t>G12C</w:t>
      </w:r>
      <w:r>
        <w:rPr>
          <w:rFonts w:ascii="Arial" w:cs="Arial" w:eastAsia="Arial" w:hAnsi="Arial"/>
          <w:sz w:val="17"/>
          <w:szCs w:val="17"/>
          <w:color w:val="auto"/>
        </w:rPr>
        <w:t xml:space="preserve"> mutations). BBI-825 is orally available and has demonstrated selective, low double digit nanomolar biochemical inhibition of RNR, encouraging PK properties in higher species, and a favorable profile for hERG interaction. Properties of BBI-825 observed in preclinical studies are shown below.</w:t>
      </w:r>
    </w:p>
    <w:p>
      <w:pPr>
        <w:spacing w:after="0" w:line="276" w:lineRule="exact"/>
        <w:rPr>
          <w:sz w:val="20"/>
          <w:szCs w:val="20"/>
          <w:color w:val="auto"/>
        </w:rPr>
      </w:pPr>
    </w:p>
    <w:p>
      <w:pPr>
        <w:ind w:left="3340"/>
        <w:spacing w:after="0"/>
        <w:rPr>
          <w:sz w:val="20"/>
          <w:szCs w:val="20"/>
          <w:color w:val="auto"/>
        </w:rPr>
      </w:pPr>
      <w:r>
        <w:rPr>
          <w:rFonts w:ascii="Arial" w:cs="Arial" w:eastAsia="Arial" w:hAnsi="Arial"/>
          <w:sz w:val="17"/>
          <w:szCs w:val="17"/>
          <w:b w:val="1"/>
          <w:bCs w:val="1"/>
          <w:color w:val="auto"/>
        </w:rPr>
        <w:t>Preclinical Properties of BBI-825 Selective RNR Inhibitor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1624330</wp:posOffset>
            </wp:positionH>
            <wp:positionV relativeFrom="paragraph">
              <wp:posOffset>8255</wp:posOffset>
            </wp:positionV>
            <wp:extent cx="3894455" cy="18415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94455" cy="184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0820"/>
          </w:cols>
          <w:pgMar w:left="320" w:top="439" w:right="7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BBI-825 In Vitro Preclinical Data</w:t>
      </w:r>
    </w:p>
    <w:p>
      <w:pPr>
        <w:spacing w:after="0" w:line="98" w:lineRule="exact"/>
        <w:rPr>
          <w:sz w:val="20"/>
          <w:szCs w:val="20"/>
          <w:color w:val="auto"/>
        </w:rPr>
      </w:pPr>
    </w:p>
    <w:p>
      <w:pPr>
        <w:ind w:left="420" w:right="180" w:firstLine="521"/>
        <w:spacing w:after="0" w:line="244" w:lineRule="auto"/>
        <w:rPr>
          <w:sz w:val="20"/>
          <w:szCs w:val="20"/>
          <w:color w:val="auto"/>
        </w:rPr>
      </w:pPr>
      <w:r>
        <w:rPr>
          <w:rFonts w:ascii="Arial" w:cs="Arial" w:eastAsia="Arial" w:hAnsi="Arial"/>
          <w:sz w:val="17"/>
          <w:szCs w:val="17"/>
          <w:color w:val="auto"/>
        </w:rPr>
        <w:t xml:space="preserve">BBI-825 was first characterized extensively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 seen in the figure below, dysregulation of cellular dNTP levels in ecDNA-enabled </w:t>
      </w:r>
      <w:r>
        <w:rPr>
          <w:rFonts w:ascii="Arial" w:cs="Arial" w:eastAsia="Arial" w:hAnsi="Arial"/>
          <w:sz w:val="17"/>
          <w:szCs w:val="17"/>
          <w:i w:val="1"/>
          <w:iCs w:val="1"/>
          <w:color w:val="auto"/>
        </w:rPr>
        <w:t>FGFR2</w:t>
      </w:r>
      <w:r>
        <w:rPr>
          <w:rFonts w:ascii="Arial" w:cs="Arial" w:eastAsia="Arial" w:hAnsi="Arial"/>
          <w:sz w:val="17"/>
          <w:szCs w:val="17"/>
          <w:color w:val="auto"/>
        </w:rPr>
        <w:t xml:space="preserve"> amplified gastric cancer cells treated with BBI-825 resulted in a substantial reduction of ecDNA compared to untreated cells. Reduction in ecDNA levels correlated directly with tumor cell cytotoxicity in both a concentration and temporal-dependent manner. Similar effects on ecDNA levels and cell viability were observed in other tumor cell lines irrespective of the specific ecDNA amplified oncogene, consistent with RNR representing an ecDNA-essential drug target.</w:t>
      </w:r>
    </w:p>
    <w:p>
      <w:pPr>
        <w:spacing w:after="0" w:line="271" w:lineRule="exact"/>
        <w:rPr>
          <w:sz w:val="20"/>
          <w:szCs w:val="20"/>
          <w:color w:val="auto"/>
        </w:rPr>
      </w:pPr>
    </w:p>
    <w:p>
      <w:pPr>
        <w:jc w:val="center"/>
        <w:ind w:left="800" w:right="100"/>
        <w:spacing w:after="0" w:line="280" w:lineRule="auto"/>
        <w:rPr>
          <w:sz w:val="20"/>
          <w:szCs w:val="20"/>
          <w:color w:val="auto"/>
        </w:rPr>
      </w:pPr>
      <w:r>
        <w:rPr>
          <w:rFonts w:ascii="Arial" w:cs="Arial" w:eastAsia="Arial" w:hAnsi="Arial"/>
          <w:sz w:val="17"/>
          <w:szCs w:val="17"/>
          <w:b w:val="1"/>
          <w:bCs w:val="1"/>
          <w:color w:val="auto"/>
        </w:rPr>
        <w:t>Selective Inhibition of RNR with BBI-825 Resulted in dNTP Depletion, ecDNA Reduction, and Cytotoxicity in ecDNA Amplified Colorectal Cancer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-34925</wp:posOffset>
            </wp:positionV>
            <wp:extent cx="4852035" cy="1939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852035" cy="1939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20" w:firstLine="521"/>
        <w:spacing w:after="0" w:line="195" w:lineRule="auto"/>
        <w:rPr>
          <w:sz w:val="20"/>
          <w:szCs w:val="20"/>
          <w:color w:val="auto"/>
        </w:rPr>
      </w:pPr>
      <w:r>
        <w:rPr>
          <w:rFonts w:ascii="Arial" w:cs="Arial" w:eastAsia="Arial" w:hAnsi="Arial"/>
          <w:sz w:val="17"/>
          <w:szCs w:val="17"/>
          <w:color w:val="auto"/>
        </w:rPr>
        <w:t xml:space="preserve">As seen in the figure below, similar to the results observed in </w:t>
      </w:r>
      <w:r>
        <w:rPr>
          <w:rFonts w:ascii="Arial" w:cs="Arial" w:eastAsia="Arial" w:hAnsi="Arial"/>
          <w:sz w:val="17"/>
          <w:szCs w:val="17"/>
          <w:i w:val="1"/>
          <w:iCs w:val="1"/>
          <w:color w:val="auto"/>
        </w:rPr>
        <w:t>KRAS</w:t>
      </w:r>
      <w:r>
        <w:rPr>
          <w:rFonts w:ascii="Arial" w:cs="Arial" w:eastAsia="Arial" w:hAnsi="Arial"/>
          <w:sz w:val="25"/>
          <w:szCs w:val="25"/>
          <w:i w:val="1"/>
          <w:iCs w:val="1"/>
          <w:color w:val="auto"/>
          <w:vertAlign w:val="superscript"/>
        </w:rPr>
        <w:t>G12C</w:t>
      </w:r>
      <w:r>
        <w:rPr>
          <w:rFonts w:ascii="Arial" w:cs="Arial" w:eastAsia="Arial" w:hAnsi="Arial"/>
          <w:sz w:val="17"/>
          <w:szCs w:val="17"/>
          <w:color w:val="auto"/>
        </w:rPr>
        <w:t xml:space="preserve"> mutant models, BBI-825 also demonstrated antitumor activity in WiDr </w:t>
      </w:r>
      <w:r>
        <w:rPr>
          <w:rFonts w:ascii="Arial" w:cs="Arial" w:eastAsia="Arial" w:hAnsi="Arial"/>
          <w:sz w:val="17"/>
          <w:szCs w:val="17"/>
          <w:i w:val="1"/>
          <w:iCs w:val="1"/>
          <w:color w:val="auto"/>
        </w:rPr>
        <w:t>BRAF</w:t>
      </w:r>
      <w:r>
        <w:rPr>
          <w:rFonts w:ascii="Arial" w:cs="Arial" w:eastAsia="Arial" w:hAnsi="Arial"/>
          <w:sz w:val="25"/>
          <w:szCs w:val="25"/>
          <w:i w:val="1"/>
          <w:iCs w:val="1"/>
          <w:color w:val="auto"/>
          <w:vertAlign w:val="superscript"/>
        </w:rPr>
        <w:t>V600E</w:t>
      </w:r>
      <w:r>
        <w:rPr>
          <w:rFonts w:ascii="Arial" w:cs="Arial" w:eastAsia="Arial" w:hAnsi="Arial"/>
          <w:sz w:val="17"/>
          <w:szCs w:val="17"/>
          <w:color w:val="auto"/>
        </w:rPr>
        <w:t xml:space="preserve"> mutant colorectal cancer cells. In this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model, WiDr cells were initially sensitive to the combination of the BRAF inhibitor vemurafenib and the EGFR inhibitor cetuximab, but cells developed resistance through amplification and subsequent overexpression of </w:t>
      </w:r>
      <w:r>
        <w:rPr>
          <w:rFonts w:ascii="Arial" w:cs="Arial" w:eastAsia="Arial" w:hAnsi="Arial"/>
          <w:sz w:val="17"/>
          <w:szCs w:val="17"/>
          <w:i w:val="1"/>
          <w:iCs w:val="1"/>
          <w:color w:val="auto"/>
        </w:rPr>
        <w:t>BRAF</w:t>
      </w:r>
      <w:r>
        <w:rPr>
          <w:rFonts w:ascii="Arial" w:cs="Arial" w:eastAsia="Arial" w:hAnsi="Arial"/>
          <w:sz w:val="25"/>
          <w:szCs w:val="25"/>
          <w:i w:val="1"/>
          <w:iCs w:val="1"/>
          <w:color w:val="auto"/>
          <w:vertAlign w:val="superscript"/>
        </w:rPr>
        <w:t>V600</w:t>
      </w:r>
      <w:r>
        <w:rPr>
          <w:rFonts w:ascii="Arial" w:cs="Arial" w:eastAsia="Arial" w:hAnsi="Arial"/>
          <w:sz w:val="17"/>
          <w:szCs w:val="17"/>
          <w:color w:val="auto"/>
        </w:rPr>
        <w:t>. Consistent with the results observed in the mutant KRAS setting, the addition of BBI-825 to the vemurafenib and cetuximab therapy resulted in complete inhibition of WiDr tumor cell growth. In contrast, cells treated with either BBI-825 alone, or vemurafenib and cetuximab alone, eventually resumed growth after several weeks in culture.</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0780"/>
          </w:cols>
          <w:pgMar w:left="320" w:top="439" w:right="7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center"/>
        <w:ind w:left="800"/>
        <w:spacing w:after="0" w:line="210" w:lineRule="auto"/>
        <w:rPr>
          <w:sz w:val="20"/>
          <w:szCs w:val="20"/>
          <w:color w:val="auto"/>
        </w:rPr>
      </w:pPr>
      <w:r>
        <w:rPr>
          <w:rFonts w:ascii="Arial" w:cs="Arial" w:eastAsia="Arial" w:hAnsi="Arial"/>
          <w:sz w:val="17"/>
          <w:szCs w:val="17"/>
          <w:b w:val="1"/>
          <w:bCs w:val="1"/>
          <w:color w:val="auto"/>
        </w:rPr>
        <w:t xml:space="preserve">BBI-825 Overcame Amplification-based Resistance Arising from Combination BRAF and EGFR Inhibition in </w:t>
      </w:r>
      <w:r>
        <w:rPr>
          <w:rFonts w:ascii="Arial" w:cs="Arial" w:eastAsia="Arial" w:hAnsi="Arial"/>
          <w:sz w:val="17"/>
          <w:szCs w:val="17"/>
          <w:b w:val="1"/>
          <w:bCs w:val="1"/>
          <w:i w:val="1"/>
          <w:iCs w:val="1"/>
          <w:color w:val="auto"/>
        </w:rPr>
        <w:t>BRAF</w:t>
      </w:r>
      <w:r>
        <w:rPr>
          <w:rFonts w:ascii="Arial" w:cs="Arial" w:eastAsia="Arial" w:hAnsi="Arial"/>
          <w:sz w:val="25"/>
          <w:szCs w:val="25"/>
          <w:b w:val="1"/>
          <w:bCs w:val="1"/>
          <w:i w:val="1"/>
          <w:iCs w:val="1"/>
          <w:color w:val="auto"/>
          <w:vertAlign w:val="superscript"/>
        </w:rPr>
        <w:t>V600E</w:t>
      </w:r>
      <w:r>
        <w:rPr>
          <w:rFonts w:ascii="Arial" w:cs="Arial" w:eastAsia="Arial" w:hAnsi="Arial"/>
          <w:sz w:val="17"/>
          <w:szCs w:val="17"/>
          <w:b w:val="1"/>
          <w:bCs w:val="1"/>
          <w:color w:val="auto"/>
        </w:rPr>
        <w:t xml:space="preserve"> Mutated Colorectal Cancer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132080</wp:posOffset>
            </wp:positionV>
            <wp:extent cx="4916805" cy="254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916805" cy="254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BBI-825 In Vivo Preclinical Data</w:t>
      </w:r>
    </w:p>
    <w:p>
      <w:pPr>
        <w:spacing w:after="0" w:line="98" w:lineRule="exact"/>
        <w:rPr>
          <w:sz w:val="20"/>
          <w:szCs w:val="20"/>
          <w:color w:val="auto"/>
        </w:rPr>
      </w:pPr>
    </w:p>
    <w:p>
      <w:pPr>
        <w:ind w:left="420" w:right="60" w:firstLine="521"/>
        <w:spacing w:after="0" w:line="229" w:lineRule="auto"/>
        <w:rPr>
          <w:sz w:val="20"/>
          <w:szCs w:val="20"/>
          <w:color w:val="auto"/>
        </w:rPr>
      </w:pPr>
      <w:r>
        <w:rPr>
          <w:rFonts w:ascii="Arial" w:cs="Arial" w:eastAsia="Arial" w:hAnsi="Arial"/>
          <w:sz w:val="17"/>
          <w:szCs w:val="17"/>
          <w:color w:val="auto"/>
        </w:rPr>
        <w:t>Pharmacological inhibition of RNR using BBI-825 in tumor xenograft models reinforces the potential of this ecDTx to treat amplification-enabled oncogene-dependent cancers. BBI-825 demonstrated antitumor activity in models that have driver oncogene amplifications and models that developed resistance amplifications in response to MAPK pathway targeting therapies such as KRAS</w:t>
      </w:r>
      <w:r>
        <w:rPr>
          <w:rFonts w:ascii="Arial" w:cs="Arial" w:eastAsia="Arial" w:hAnsi="Arial"/>
          <w:sz w:val="25"/>
          <w:szCs w:val="25"/>
          <w:color w:val="auto"/>
          <w:vertAlign w:val="superscript"/>
        </w:rPr>
        <w:t>G12C</w:t>
      </w:r>
      <w:r>
        <w:rPr>
          <w:rFonts w:ascii="Arial" w:cs="Arial" w:eastAsia="Arial" w:hAnsi="Arial"/>
          <w:sz w:val="17"/>
          <w:szCs w:val="17"/>
          <w:color w:val="auto"/>
        </w:rPr>
        <w:t xml:space="preserve"> inhibitors. The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antitumor activity of BBI-825 has been demonstrated in an ecDNA-enabled </w:t>
      </w:r>
      <w:r>
        <w:rPr>
          <w:rFonts w:ascii="Arial" w:cs="Arial" w:eastAsia="Arial" w:hAnsi="Arial"/>
          <w:sz w:val="17"/>
          <w:szCs w:val="17"/>
          <w:i w:val="1"/>
          <w:iCs w:val="1"/>
          <w:color w:val="auto"/>
        </w:rPr>
        <w:t>FGFR2</w:t>
      </w:r>
      <w:r>
        <w:rPr>
          <w:rFonts w:ascii="Arial" w:cs="Arial" w:eastAsia="Arial" w:hAnsi="Arial"/>
          <w:sz w:val="17"/>
          <w:szCs w:val="17"/>
          <w:color w:val="auto"/>
        </w:rPr>
        <w:t xml:space="preserve"> amplified gastric cancer xenograft model and an ecDNA-enabled </w:t>
      </w:r>
      <w:r>
        <w:rPr>
          <w:rFonts w:ascii="Arial" w:cs="Arial" w:eastAsia="Arial" w:hAnsi="Arial"/>
          <w:sz w:val="17"/>
          <w:szCs w:val="17"/>
          <w:i w:val="1"/>
          <w:iCs w:val="1"/>
          <w:color w:val="auto"/>
        </w:rPr>
        <w:t>KRAS</w:t>
      </w:r>
      <w:r>
        <w:rPr>
          <w:rFonts w:ascii="Arial" w:cs="Arial" w:eastAsia="Arial" w:hAnsi="Arial"/>
          <w:sz w:val="25"/>
          <w:szCs w:val="25"/>
          <w:i w:val="1"/>
          <w:iCs w:val="1"/>
          <w:color w:val="auto"/>
          <w:vertAlign w:val="superscript"/>
        </w:rPr>
        <w:t>G12C</w:t>
      </w:r>
      <w:r>
        <w:rPr>
          <w:rFonts w:ascii="Arial" w:cs="Arial" w:eastAsia="Arial" w:hAnsi="Arial"/>
          <w:sz w:val="17"/>
          <w:szCs w:val="17"/>
          <w:color w:val="auto"/>
        </w:rPr>
        <w:t>-addicted syngeneic colorectal cancer xenograft model.</w:t>
      </w:r>
    </w:p>
    <w:p>
      <w:pPr>
        <w:spacing w:after="0" w:line="4"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0760"/>
          </w:cols>
          <w:pgMar w:left="320" w:top="439" w:right="8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420" w:firstLine="521"/>
        <w:spacing w:after="0" w:line="302" w:lineRule="auto"/>
        <w:rPr>
          <w:sz w:val="20"/>
          <w:szCs w:val="20"/>
          <w:color w:val="auto"/>
        </w:rPr>
      </w:pPr>
      <w:r>
        <w:rPr>
          <w:rFonts w:ascii="Arial" w:cs="Arial" w:eastAsia="Arial" w:hAnsi="Arial"/>
          <w:sz w:val="16"/>
          <w:szCs w:val="16"/>
          <w:color w:val="auto"/>
        </w:rPr>
        <w:t xml:space="preserve">As seen in the figure below, in the </w:t>
      </w:r>
      <w:r>
        <w:rPr>
          <w:rFonts w:ascii="Arial" w:cs="Arial" w:eastAsia="Arial" w:hAnsi="Arial"/>
          <w:sz w:val="16"/>
          <w:szCs w:val="16"/>
          <w:i w:val="1"/>
          <w:iCs w:val="1"/>
          <w:color w:val="auto"/>
        </w:rPr>
        <w:t>FGFR2</w:t>
      </w:r>
      <w:r>
        <w:rPr>
          <w:rFonts w:ascii="Arial" w:cs="Arial" w:eastAsia="Arial" w:hAnsi="Arial"/>
          <w:sz w:val="16"/>
          <w:szCs w:val="16"/>
          <w:color w:val="auto"/>
        </w:rPr>
        <w:t xml:space="preserve"> amplified gastric cancer xenograft model, BBI-825 showed single agent antitumor activity, and the combination of BBI-825 and infigratinib yielded significantly deeper tumor regressions than either single agent alone.</w:t>
      </w:r>
    </w:p>
    <w:p>
      <w:pPr>
        <w:spacing w:after="0" w:line="227" w:lineRule="exact"/>
        <w:rPr>
          <w:sz w:val="20"/>
          <w:szCs w:val="20"/>
          <w:color w:val="auto"/>
        </w:rPr>
      </w:pPr>
    </w:p>
    <w:p>
      <w:pPr>
        <w:jc w:val="center"/>
        <w:ind w:left="760"/>
        <w:spacing w:after="0" w:line="280" w:lineRule="auto"/>
        <w:rPr>
          <w:sz w:val="20"/>
          <w:szCs w:val="20"/>
          <w:color w:val="auto"/>
        </w:rPr>
      </w:pPr>
      <w:r>
        <w:rPr>
          <w:rFonts w:ascii="Arial" w:cs="Arial" w:eastAsia="Arial" w:hAnsi="Arial"/>
          <w:sz w:val="17"/>
          <w:szCs w:val="17"/>
          <w:b w:val="1"/>
          <w:bCs w:val="1"/>
          <w:color w:val="auto"/>
        </w:rPr>
        <w:t xml:space="preserve">BBI-825 </w:t>
      </w:r>
      <w:r>
        <w:rPr>
          <w:rFonts w:ascii="Arial" w:cs="Arial" w:eastAsia="Arial" w:hAnsi="Arial"/>
          <w:sz w:val="17"/>
          <w:szCs w:val="17"/>
          <w:b w:val="1"/>
          <w:bCs w:val="1"/>
          <w:i w:val="1"/>
          <w:iCs w:val="1"/>
          <w:color w:val="auto"/>
        </w:rPr>
        <w:t>In Vivo</w:t>
      </w:r>
      <w:r>
        <w:rPr>
          <w:rFonts w:ascii="Arial" w:cs="Arial" w:eastAsia="Arial" w:hAnsi="Arial"/>
          <w:sz w:val="17"/>
          <w:szCs w:val="17"/>
          <w:b w:val="1"/>
          <w:bCs w:val="1"/>
          <w:color w:val="auto"/>
        </w:rPr>
        <w:t xml:space="preserve"> Antitumor Activity as a Single Agent and in Combination with Infigratinib in an ecDNA-enabled </w:t>
      </w:r>
      <w:r>
        <w:rPr>
          <w:rFonts w:ascii="Arial" w:cs="Arial" w:eastAsia="Arial" w:hAnsi="Arial"/>
          <w:sz w:val="17"/>
          <w:szCs w:val="17"/>
          <w:b w:val="1"/>
          <w:bCs w:val="1"/>
          <w:i w:val="1"/>
          <w:iCs w:val="1"/>
          <w:color w:val="auto"/>
        </w:rPr>
        <w:t>FGFR2</w:t>
      </w:r>
      <w:r>
        <w:rPr>
          <w:rFonts w:ascii="Arial" w:cs="Arial" w:eastAsia="Arial" w:hAnsi="Arial"/>
          <w:sz w:val="17"/>
          <w:szCs w:val="17"/>
          <w:b w:val="1"/>
          <w:bCs w:val="1"/>
          <w:color w:val="auto"/>
        </w:rPr>
        <w:t xml:space="preserve"> Amplified Gastric Cancer CDX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1113155</wp:posOffset>
            </wp:positionH>
            <wp:positionV relativeFrom="paragraph">
              <wp:posOffset>110490</wp:posOffset>
            </wp:positionV>
            <wp:extent cx="4916805" cy="26936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916805" cy="269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0800"/>
          </w:cols>
          <w:pgMar w:left="320" w:top="439" w:right="77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Prevention of Amplification-Mediated Resistance in MAPK Pathway-Activated Tumors</w:t>
      </w:r>
    </w:p>
    <w:p>
      <w:pPr>
        <w:spacing w:after="0" w:line="98" w:lineRule="exact"/>
        <w:rPr>
          <w:sz w:val="20"/>
          <w:szCs w:val="20"/>
          <w:color w:val="auto"/>
        </w:rPr>
      </w:pPr>
    </w:p>
    <w:p>
      <w:pPr>
        <w:ind w:left="420" w:firstLine="521"/>
        <w:spacing w:after="0" w:line="184" w:lineRule="auto"/>
        <w:rPr>
          <w:sz w:val="20"/>
          <w:szCs w:val="20"/>
          <w:color w:val="auto"/>
        </w:rPr>
      </w:pPr>
      <w:r>
        <w:rPr>
          <w:rFonts w:ascii="Arial" w:cs="Arial" w:eastAsia="Arial" w:hAnsi="Arial"/>
          <w:sz w:val="17"/>
          <w:szCs w:val="17"/>
          <w:color w:val="auto"/>
        </w:rPr>
        <w:t>As seen in the figure below, in an ecDNA-enabled KRAS</w:t>
      </w:r>
      <w:r>
        <w:rPr>
          <w:rFonts w:ascii="Arial" w:cs="Arial" w:eastAsia="Arial" w:hAnsi="Arial"/>
          <w:sz w:val="25"/>
          <w:szCs w:val="25"/>
          <w:color w:val="auto"/>
          <w:vertAlign w:val="superscript"/>
        </w:rPr>
        <w:t>G12C</w:t>
      </w:r>
      <w:r>
        <w:rPr>
          <w:rFonts w:ascii="Arial" w:cs="Arial" w:eastAsia="Arial" w:hAnsi="Arial"/>
          <w:sz w:val="17"/>
          <w:szCs w:val="17"/>
          <w:color w:val="auto"/>
        </w:rPr>
        <w:t xml:space="preserve"> inhibitor induced resistance colorectal cancer xenograft model, KRAS</w:t>
      </w:r>
      <w:r>
        <w:rPr>
          <w:rFonts w:ascii="Arial" w:cs="Arial" w:eastAsia="Arial" w:hAnsi="Arial"/>
          <w:sz w:val="25"/>
          <w:szCs w:val="25"/>
          <w:color w:val="auto"/>
          <w:vertAlign w:val="superscript"/>
        </w:rPr>
        <w:t>G12C</w:t>
      </w:r>
      <w:r>
        <w:rPr>
          <w:rFonts w:ascii="Arial" w:cs="Arial" w:eastAsia="Arial" w:hAnsi="Arial"/>
          <w:sz w:val="17"/>
          <w:szCs w:val="17"/>
          <w:color w:val="auto"/>
        </w:rPr>
        <w:t xml:space="preserve"> inhibition by adagrasib induced ecDNA amplification harboring </w:t>
      </w:r>
      <w:r>
        <w:rPr>
          <w:rFonts w:ascii="Arial" w:cs="Arial" w:eastAsia="Arial" w:hAnsi="Arial"/>
          <w:sz w:val="17"/>
          <w:szCs w:val="17"/>
          <w:i w:val="1"/>
          <w:iCs w:val="1"/>
          <w:color w:val="auto"/>
        </w:rPr>
        <w:t>KRAS</w:t>
      </w:r>
      <w:r>
        <w:rPr>
          <w:rFonts w:ascii="Arial" w:cs="Arial" w:eastAsia="Arial" w:hAnsi="Arial"/>
          <w:sz w:val="25"/>
          <w:szCs w:val="25"/>
          <w:i w:val="1"/>
          <w:iCs w:val="1"/>
          <w:color w:val="auto"/>
          <w:vertAlign w:val="superscript"/>
        </w:rPr>
        <w:t>G12C</w:t>
      </w:r>
      <w:r>
        <w:rPr>
          <w:rFonts w:ascii="Arial" w:cs="Arial" w:eastAsia="Arial" w:hAnsi="Arial"/>
          <w:sz w:val="17"/>
          <w:szCs w:val="17"/>
          <w:color w:val="auto"/>
        </w:rPr>
        <w:t xml:space="preserve"> concurrent with development of drug resistance and tumor regrowth. This resistance mechanism was consistent with recurrent clinical observations where </w:t>
      </w:r>
      <w:r>
        <w:rPr>
          <w:rFonts w:ascii="Arial" w:cs="Arial" w:eastAsia="Arial" w:hAnsi="Arial"/>
          <w:sz w:val="17"/>
          <w:szCs w:val="17"/>
          <w:i w:val="1"/>
          <w:iCs w:val="1"/>
          <w:color w:val="auto"/>
        </w:rPr>
        <w:t>KRAS</w:t>
      </w:r>
      <w:r>
        <w:rPr>
          <w:rFonts w:ascii="Arial" w:cs="Arial" w:eastAsia="Arial" w:hAnsi="Arial"/>
          <w:sz w:val="17"/>
          <w:szCs w:val="17"/>
          <w:color w:val="auto"/>
        </w:rPr>
        <w:t xml:space="preserve"> amplification was associated with disease progression in patients following treatment with the combination of KRAS</w:t>
      </w:r>
      <w:r>
        <w:rPr>
          <w:rFonts w:ascii="Arial" w:cs="Arial" w:eastAsia="Arial" w:hAnsi="Arial"/>
          <w:sz w:val="25"/>
          <w:szCs w:val="25"/>
          <w:color w:val="auto"/>
          <w:vertAlign w:val="superscript"/>
        </w:rPr>
        <w:t>G12C</w:t>
      </w:r>
      <w:r>
        <w:rPr>
          <w:rFonts w:ascii="Arial" w:cs="Arial" w:eastAsia="Arial" w:hAnsi="Arial"/>
          <w:sz w:val="17"/>
          <w:szCs w:val="17"/>
          <w:color w:val="auto"/>
        </w:rPr>
        <w:t xml:space="preserve"> inhibition by adagrasib and EGFR inhibition by cetuximab. The combination of BBI-825 with adagrasib in </w:t>
      </w:r>
      <w:r>
        <w:rPr>
          <w:rFonts w:ascii="Arial" w:cs="Arial" w:eastAsia="Arial" w:hAnsi="Arial"/>
          <w:sz w:val="17"/>
          <w:szCs w:val="17"/>
          <w:i w:val="1"/>
          <w:iCs w:val="1"/>
          <w:color w:val="auto"/>
        </w:rPr>
        <w:t>KRAS</w:t>
      </w:r>
      <w:r>
        <w:rPr>
          <w:rFonts w:ascii="Arial" w:cs="Arial" w:eastAsia="Arial" w:hAnsi="Arial"/>
          <w:sz w:val="25"/>
          <w:szCs w:val="25"/>
          <w:i w:val="1"/>
          <w:iCs w:val="1"/>
          <w:color w:val="auto"/>
          <w:vertAlign w:val="superscript"/>
        </w:rPr>
        <w:t>G12C</w:t>
      </w:r>
      <w:r>
        <w:rPr>
          <w:rFonts w:ascii="Arial" w:cs="Arial" w:eastAsia="Arial" w:hAnsi="Arial"/>
          <w:sz w:val="17"/>
          <w:szCs w:val="17"/>
          <w:color w:val="auto"/>
        </w:rPr>
        <w:t xml:space="preserve"> colorectal cancer xenograft models led to robust tumor regressions and inhibited the development of amplification-mediated resistance to adagrasib.</w:t>
      </w:r>
    </w:p>
    <w:p>
      <w:pPr>
        <w:spacing w:after="0" w:line="19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 xml:space="preserve">BBI-825 </w:t>
      </w:r>
      <w:r>
        <w:rPr>
          <w:rFonts w:ascii="Arial" w:cs="Arial" w:eastAsia="Arial" w:hAnsi="Arial"/>
          <w:sz w:val="17"/>
          <w:szCs w:val="17"/>
          <w:b w:val="1"/>
          <w:bCs w:val="1"/>
          <w:i w:val="1"/>
          <w:iCs w:val="1"/>
          <w:color w:val="auto"/>
        </w:rPr>
        <w:t>In Vivo</w:t>
      </w:r>
      <w:r>
        <w:rPr>
          <w:rFonts w:ascii="Arial" w:cs="Arial" w:eastAsia="Arial" w:hAnsi="Arial"/>
          <w:sz w:val="17"/>
          <w:szCs w:val="17"/>
          <w:b w:val="1"/>
          <w:bCs w:val="1"/>
          <w:color w:val="auto"/>
        </w:rPr>
        <w:t xml:space="preserve"> Antitumor Activity in Combination with Adagrasib in </w:t>
      </w:r>
      <w:r>
        <w:rPr>
          <w:rFonts w:ascii="Arial" w:cs="Arial" w:eastAsia="Arial" w:hAnsi="Arial"/>
          <w:sz w:val="17"/>
          <w:szCs w:val="17"/>
          <w:b w:val="1"/>
          <w:bCs w:val="1"/>
          <w:i w:val="1"/>
          <w:iCs w:val="1"/>
          <w:color w:val="auto"/>
        </w:rPr>
        <w:t>KRAS</w:t>
      </w:r>
      <w:r>
        <w:rPr>
          <w:rFonts w:ascii="Arial" w:cs="Arial" w:eastAsia="Arial" w:hAnsi="Arial"/>
          <w:sz w:val="25"/>
          <w:szCs w:val="25"/>
          <w:b w:val="1"/>
          <w:bCs w:val="1"/>
          <w:i w:val="1"/>
          <w:iCs w:val="1"/>
          <w:color w:val="auto"/>
          <w:vertAlign w:val="superscript"/>
        </w:rPr>
        <w:t>G12C</w:t>
      </w:r>
      <w:r>
        <w:rPr>
          <w:rFonts w:ascii="Arial" w:cs="Arial" w:eastAsia="Arial" w:hAnsi="Arial"/>
          <w:sz w:val="17"/>
          <w:szCs w:val="17"/>
          <w:b w:val="1"/>
          <w:bCs w:val="1"/>
          <w:color w:val="auto"/>
        </w:rPr>
        <w:t xml:space="preserve"> Mutated Colorectal Cancer CDX Model:</w:t>
      </w:r>
    </w:p>
    <w:p>
      <w:pPr>
        <w:ind w:left="4600"/>
        <w:spacing w:after="0"/>
        <w:rPr>
          <w:sz w:val="20"/>
          <w:szCs w:val="20"/>
          <w:color w:val="auto"/>
        </w:rPr>
      </w:pPr>
      <w:r>
        <w:rPr>
          <w:rFonts w:ascii="Arial" w:cs="Arial" w:eastAsia="Arial" w:hAnsi="Arial"/>
          <w:sz w:val="17"/>
          <w:szCs w:val="17"/>
          <w:b w:val="1"/>
          <w:bCs w:val="1"/>
          <w:color w:val="auto"/>
        </w:rPr>
        <w:t>Prevention of Resistance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1210310</wp:posOffset>
            </wp:positionH>
            <wp:positionV relativeFrom="paragraph">
              <wp:posOffset>144145</wp:posOffset>
            </wp:positionV>
            <wp:extent cx="4721860" cy="31076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721860" cy="310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0760"/>
          </w:cols>
          <w:pgMar w:left="320" w:top="439" w:right="8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Treatment of Amplification-Mediated Resistance in MAPK Pathway-Activated Tumors</w:t>
      </w:r>
    </w:p>
    <w:p>
      <w:pPr>
        <w:spacing w:after="0" w:line="98" w:lineRule="exact"/>
        <w:rPr>
          <w:sz w:val="20"/>
          <w:szCs w:val="20"/>
          <w:color w:val="auto"/>
        </w:rPr>
      </w:pPr>
    </w:p>
    <w:p>
      <w:pPr>
        <w:ind w:left="420" w:right="20" w:firstLine="521"/>
        <w:spacing w:after="0" w:line="198" w:lineRule="auto"/>
        <w:rPr>
          <w:sz w:val="20"/>
          <w:szCs w:val="20"/>
          <w:color w:val="auto"/>
        </w:rPr>
      </w:pPr>
      <w:r>
        <w:rPr>
          <w:rFonts w:ascii="Arial" w:cs="Arial" w:eastAsia="Arial" w:hAnsi="Arial"/>
          <w:sz w:val="17"/>
          <w:szCs w:val="17"/>
          <w:color w:val="auto"/>
        </w:rPr>
        <w:t xml:space="preserve">As seen in the figure below, BBI-825 also demonstrated significant antitumor activity in an </w:t>
      </w:r>
      <w:r>
        <w:rPr>
          <w:rFonts w:ascii="Arial" w:cs="Arial" w:eastAsia="Arial" w:hAnsi="Arial"/>
          <w:sz w:val="17"/>
          <w:szCs w:val="17"/>
          <w:i w:val="1"/>
          <w:iCs w:val="1"/>
          <w:color w:val="auto"/>
        </w:rPr>
        <w:t>in vivo KRAS</w:t>
      </w:r>
      <w:r>
        <w:rPr>
          <w:rFonts w:ascii="Arial" w:cs="Arial" w:eastAsia="Arial" w:hAnsi="Arial"/>
          <w:sz w:val="25"/>
          <w:szCs w:val="25"/>
          <w:i w:val="1"/>
          <w:iCs w:val="1"/>
          <w:color w:val="auto"/>
          <w:vertAlign w:val="superscript"/>
        </w:rPr>
        <w:t>G12C</w:t>
      </w:r>
      <w:r>
        <w:rPr>
          <w:rFonts w:ascii="Arial" w:cs="Arial" w:eastAsia="Arial" w:hAnsi="Arial"/>
          <w:sz w:val="17"/>
          <w:szCs w:val="17"/>
          <w:color w:val="auto"/>
        </w:rPr>
        <w:t xml:space="preserve"> colorectal cancer CDX model that had already developed amplification-mediated resistance to adagrasib. In this model where amplification-mediated resistance to KRAS</w:t>
      </w:r>
      <w:r>
        <w:rPr>
          <w:rFonts w:ascii="Arial" w:cs="Arial" w:eastAsia="Arial" w:hAnsi="Arial"/>
          <w:sz w:val="25"/>
          <w:szCs w:val="25"/>
          <w:color w:val="auto"/>
          <w:vertAlign w:val="superscript"/>
        </w:rPr>
        <w:t>G12C</w:t>
      </w:r>
      <w:r>
        <w:rPr>
          <w:rFonts w:ascii="Arial" w:cs="Arial" w:eastAsia="Arial" w:hAnsi="Arial"/>
          <w:sz w:val="17"/>
          <w:szCs w:val="17"/>
          <w:color w:val="auto"/>
        </w:rPr>
        <w:t xml:space="preserve"> inhibitor treatment was already established, BBI-825 significantly inhibited tumor growth as monotherapy, showing 92% tumor growth inhibition compared to vehicle or adagrasib alone, including tumor regressions in multiple animals.</w:t>
      </w:r>
    </w:p>
    <w:p>
      <w:pPr>
        <w:spacing w:after="0" w:line="276" w:lineRule="exact"/>
        <w:rPr>
          <w:sz w:val="20"/>
          <w:szCs w:val="20"/>
          <w:color w:val="auto"/>
        </w:rPr>
      </w:pPr>
    </w:p>
    <w:p>
      <w:pPr>
        <w:jc w:val="center"/>
        <w:ind w:left="760"/>
        <w:spacing w:after="0" w:line="210" w:lineRule="auto"/>
        <w:rPr>
          <w:sz w:val="20"/>
          <w:szCs w:val="20"/>
          <w:color w:val="auto"/>
        </w:rPr>
      </w:pPr>
      <w:r>
        <w:rPr>
          <w:rFonts w:ascii="Arial" w:cs="Arial" w:eastAsia="Arial" w:hAnsi="Arial"/>
          <w:sz w:val="17"/>
          <w:szCs w:val="17"/>
          <w:b w:val="1"/>
          <w:bCs w:val="1"/>
          <w:color w:val="auto"/>
        </w:rPr>
        <w:t xml:space="preserve">BBI-825 </w:t>
      </w:r>
      <w:r>
        <w:rPr>
          <w:rFonts w:ascii="Arial" w:cs="Arial" w:eastAsia="Arial" w:hAnsi="Arial"/>
          <w:sz w:val="17"/>
          <w:szCs w:val="17"/>
          <w:b w:val="1"/>
          <w:bCs w:val="1"/>
          <w:i w:val="1"/>
          <w:iCs w:val="1"/>
          <w:color w:val="auto"/>
        </w:rPr>
        <w:t>In Vivo</w:t>
      </w:r>
      <w:r>
        <w:rPr>
          <w:rFonts w:ascii="Arial" w:cs="Arial" w:eastAsia="Arial" w:hAnsi="Arial"/>
          <w:sz w:val="17"/>
          <w:szCs w:val="17"/>
          <w:b w:val="1"/>
          <w:bCs w:val="1"/>
          <w:color w:val="auto"/>
        </w:rPr>
        <w:t xml:space="preserve"> Antitumor Activity as a Single Agent in Adagrasib-Resistant </w:t>
      </w:r>
      <w:r>
        <w:rPr>
          <w:rFonts w:ascii="Arial" w:cs="Arial" w:eastAsia="Arial" w:hAnsi="Arial"/>
          <w:sz w:val="17"/>
          <w:szCs w:val="17"/>
          <w:b w:val="1"/>
          <w:bCs w:val="1"/>
          <w:i w:val="1"/>
          <w:iCs w:val="1"/>
          <w:color w:val="auto"/>
        </w:rPr>
        <w:t>KRAS</w:t>
      </w:r>
      <w:r>
        <w:rPr>
          <w:rFonts w:ascii="Arial" w:cs="Arial" w:eastAsia="Arial" w:hAnsi="Arial"/>
          <w:sz w:val="25"/>
          <w:szCs w:val="25"/>
          <w:b w:val="1"/>
          <w:bCs w:val="1"/>
          <w:i w:val="1"/>
          <w:iCs w:val="1"/>
          <w:color w:val="auto"/>
          <w:vertAlign w:val="superscript"/>
        </w:rPr>
        <w:t>G12C</w:t>
      </w:r>
      <w:r>
        <w:rPr>
          <w:rFonts w:ascii="Arial" w:cs="Arial" w:eastAsia="Arial" w:hAnsi="Arial"/>
          <w:sz w:val="17"/>
          <w:szCs w:val="17"/>
          <w:b w:val="1"/>
          <w:bCs w:val="1"/>
          <w:color w:val="auto"/>
        </w:rPr>
        <w:t xml:space="preserve"> Mutated and Amplified Colorectal Cancer CDX Model: Treatment of Resistance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1113155</wp:posOffset>
            </wp:positionH>
            <wp:positionV relativeFrom="paragraph">
              <wp:posOffset>132080</wp:posOffset>
            </wp:positionV>
            <wp:extent cx="4916805" cy="23850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916805" cy="2385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BBI-825 Clinical Development Plan</w:t>
      </w:r>
    </w:p>
    <w:p>
      <w:pPr>
        <w:spacing w:after="0" w:line="98" w:lineRule="exact"/>
        <w:rPr>
          <w:sz w:val="20"/>
          <w:szCs w:val="20"/>
          <w:color w:val="auto"/>
        </w:rPr>
      </w:pPr>
    </w:p>
    <w:p>
      <w:pPr>
        <w:ind w:left="420" w:right="40" w:firstLine="521"/>
        <w:spacing w:after="0" w:line="203" w:lineRule="auto"/>
        <w:rPr>
          <w:sz w:val="20"/>
          <w:szCs w:val="20"/>
          <w:color w:val="auto"/>
        </w:rPr>
      </w:pPr>
      <w:r>
        <w:rPr>
          <w:rFonts w:ascii="Arial" w:cs="Arial" w:eastAsia="Arial" w:hAnsi="Arial"/>
          <w:sz w:val="17"/>
          <w:szCs w:val="17"/>
          <w:color w:val="auto"/>
        </w:rPr>
        <w:t>For the initial clinical development of BBI-825, we prioritized indications based on the preclinical antitumor activity we have observed for BBI-825 to date and our understanding of the evolving unmet medical need in cancer. BRAF and KRAS</w:t>
      </w:r>
      <w:r>
        <w:rPr>
          <w:rFonts w:ascii="Arial" w:cs="Arial" w:eastAsia="Arial" w:hAnsi="Arial"/>
          <w:sz w:val="25"/>
          <w:szCs w:val="25"/>
          <w:color w:val="auto"/>
          <w:vertAlign w:val="superscript"/>
        </w:rPr>
        <w:t>G12C</w:t>
      </w:r>
      <w:r>
        <w:rPr>
          <w:rFonts w:ascii="Arial" w:cs="Arial" w:eastAsia="Arial" w:hAnsi="Arial"/>
          <w:sz w:val="17"/>
          <w:szCs w:val="17"/>
          <w:color w:val="auto"/>
        </w:rPr>
        <w:t xml:space="preserve"> inhibitors have shown the capacity to drive deeper and more durable responses than conventional chemotherapy regimens while minimizing unwanted side effects and damage to normal healthy tissues in patients with </w:t>
      </w:r>
      <w:r>
        <w:rPr>
          <w:rFonts w:ascii="Arial" w:cs="Arial" w:eastAsia="Arial" w:hAnsi="Arial"/>
          <w:sz w:val="17"/>
          <w:szCs w:val="17"/>
          <w:i w:val="1"/>
          <w:iCs w:val="1"/>
          <w:color w:val="auto"/>
        </w:rPr>
        <w:t>BRAF</w:t>
      </w:r>
      <w:r>
        <w:rPr>
          <w:rFonts w:ascii="Arial" w:cs="Arial" w:eastAsia="Arial" w:hAnsi="Arial"/>
          <w:sz w:val="25"/>
          <w:szCs w:val="25"/>
          <w:i w:val="1"/>
          <w:iCs w:val="1"/>
          <w:color w:val="auto"/>
          <w:vertAlign w:val="superscript"/>
        </w:rPr>
        <w:t>V600E</w:t>
      </w:r>
      <w:r>
        <w:rPr>
          <w:rFonts w:ascii="Arial" w:cs="Arial" w:eastAsia="Arial" w:hAnsi="Arial"/>
          <w:sz w:val="17"/>
          <w:szCs w:val="17"/>
          <w:color w:val="auto"/>
        </w:rPr>
        <w:t xml:space="preserve"> or </w:t>
      </w:r>
      <w:r>
        <w:rPr>
          <w:rFonts w:ascii="Arial" w:cs="Arial" w:eastAsia="Arial" w:hAnsi="Arial"/>
          <w:sz w:val="17"/>
          <w:szCs w:val="17"/>
          <w:i w:val="1"/>
          <w:iCs w:val="1"/>
          <w:color w:val="auto"/>
        </w:rPr>
        <w:t>KRAS</w:t>
      </w:r>
      <w:r>
        <w:rPr>
          <w:rFonts w:ascii="Arial" w:cs="Arial" w:eastAsia="Arial" w:hAnsi="Arial"/>
          <w:sz w:val="25"/>
          <w:szCs w:val="25"/>
          <w:i w:val="1"/>
          <w:iCs w:val="1"/>
          <w:color w:val="auto"/>
          <w:vertAlign w:val="superscript"/>
        </w:rPr>
        <w:t>G12C</w:t>
      </w:r>
      <w:r>
        <w:rPr>
          <w:rFonts w:ascii="Arial" w:cs="Arial" w:eastAsia="Arial" w:hAnsi="Arial"/>
          <w:sz w:val="17"/>
          <w:szCs w:val="17"/>
          <w:color w:val="auto"/>
        </w:rPr>
        <w:t xml:space="preserve"> mutated cancers. Unfortunately, resistance to BRAF and KRAS</w:t>
      </w:r>
      <w:r>
        <w:rPr>
          <w:rFonts w:ascii="Arial" w:cs="Arial" w:eastAsia="Arial" w:hAnsi="Arial"/>
          <w:sz w:val="25"/>
          <w:szCs w:val="25"/>
          <w:color w:val="auto"/>
          <w:vertAlign w:val="superscript"/>
        </w:rPr>
        <w:t>G12C</w:t>
      </w:r>
      <w:r>
        <w:rPr>
          <w:rFonts w:ascii="Arial" w:cs="Arial" w:eastAsia="Arial" w:hAnsi="Arial"/>
          <w:sz w:val="17"/>
          <w:szCs w:val="17"/>
          <w:color w:val="auto"/>
        </w:rPr>
        <w:t xml:space="preserve"> inhibitors is almost always inevitable. The predominant resistance mechanisms to these targeted therapies, including when administered in combination with EGFR inhibitors in colorectal cancer, are secondary mutations of the oncodriver targets (</w:t>
      </w:r>
      <w:r>
        <w:rPr>
          <w:rFonts w:ascii="Arial" w:cs="Arial" w:eastAsia="Arial" w:hAnsi="Arial"/>
          <w:sz w:val="17"/>
          <w:szCs w:val="17"/>
          <w:i w:val="1"/>
          <w:iCs w:val="1"/>
          <w:color w:val="auto"/>
        </w:rPr>
        <w:t>BRAFV</w:t>
      </w:r>
      <w:r>
        <w:rPr>
          <w:rFonts w:ascii="Arial" w:cs="Arial" w:eastAsia="Arial" w:hAnsi="Arial"/>
          <w:sz w:val="25"/>
          <w:szCs w:val="25"/>
          <w:i w:val="1"/>
          <w:iCs w:val="1"/>
          <w:color w:val="auto"/>
          <w:vertAlign w:val="superscript"/>
        </w:rPr>
        <w:t>600E</w:t>
      </w:r>
      <w:r>
        <w:rPr>
          <w:rFonts w:ascii="Arial" w:cs="Arial" w:eastAsia="Arial" w:hAnsi="Arial"/>
          <w:sz w:val="17"/>
          <w:szCs w:val="17"/>
          <w:color w:val="auto"/>
        </w:rPr>
        <w:t xml:space="preserve"> or </w:t>
      </w:r>
      <w:r>
        <w:rPr>
          <w:rFonts w:ascii="Arial" w:cs="Arial" w:eastAsia="Arial" w:hAnsi="Arial"/>
          <w:sz w:val="17"/>
          <w:szCs w:val="17"/>
          <w:i w:val="1"/>
          <w:iCs w:val="1"/>
          <w:color w:val="auto"/>
        </w:rPr>
        <w:t>KRAS</w:t>
      </w:r>
      <w:r>
        <w:rPr>
          <w:rFonts w:ascii="Arial" w:cs="Arial" w:eastAsia="Arial" w:hAnsi="Arial"/>
          <w:sz w:val="25"/>
          <w:szCs w:val="25"/>
          <w:i w:val="1"/>
          <w:iCs w:val="1"/>
          <w:color w:val="auto"/>
          <w:vertAlign w:val="superscript"/>
        </w:rPr>
        <w:t>G12C</w:t>
      </w:r>
      <w:r>
        <w:rPr>
          <w:rFonts w:ascii="Arial" w:cs="Arial" w:eastAsia="Arial" w:hAnsi="Arial"/>
          <w:sz w:val="17"/>
          <w:szCs w:val="17"/>
          <w:color w:val="auto"/>
        </w:rPr>
        <w:t xml:space="preserve">), other MAPK pathway activation, and resistance gene amplifications. Thus, we initially intend to explore the antitumor activity of BBI-825 in patients with locally advanced or metastatic non-resectable colorectal cancer with MAPK pathway alterations, specifically </w:t>
      </w:r>
      <w:r>
        <w:rPr>
          <w:rFonts w:ascii="Arial" w:cs="Arial" w:eastAsia="Arial" w:hAnsi="Arial"/>
          <w:sz w:val="17"/>
          <w:szCs w:val="17"/>
          <w:i w:val="1"/>
          <w:iCs w:val="1"/>
          <w:color w:val="auto"/>
        </w:rPr>
        <w:t>BRAF</w:t>
      </w:r>
      <w:r>
        <w:rPr>
          <w:rFonts w:ascii="Arial" w:cs="Arial" w:eastAsia="Arial" w:hAnsi="Arial"/>
          <w:sz w:val="25"/>
          <w:szCs w:val="25"/>
          <w:i w:val="1"/>
          <w:iCs w:val="1"/>
          <w:color w:val="auto"/>
          <w:vertAlign w:val="superscript"/>
        </w:rPr>
        <w:t>V600E</w:t>
      </w:r>
      <w:r>
        <w:rPr>
          <w:rFonts w:ascii="Arial" w:cs="Arial" w:eastAsia="Arial" w:hAnsi="Arial"/>
          <w:sz w:val="17"/>
          <w:szCs w:val="17"/>
          <w:color w:val="auto"/>
        </w:rPr>
        <w:t xml:space="preserve"> and </w:t>
      </w:r>
      <w:r>
        <w:rPr>
          <w:rFonts w:ascii="Arial" w:cs="Arial" w:eastAsia="Arial" w:hAnsi="Arial"/>
          <w:sz w:val="17"/>
          <w:szCs w:val="17"/>
          <w:i w:val="1"/>
          <w:iCs w:val="1"/>
          <w:color w:val="auto"/>
        </w:rPr>
        <w:t>KRAS</w:t>
      </w:r>
      <w:r>
        <w:rPr>
          <w:rFonts w:ascii="Arial" w:cs="Arial" w:eastAsia="Arial" w:hAnsi="Arial"/>
          <w:sz w:val="25"/>
          <w:szCs w:val="25"/>
          <w:i w:val="1"/>
          <w:iCs w:val="1"/>
          <w:color w:val="auto"/>
          <w:vertAlign w:val="superscript"/>
        </w:rPr>
        <w:t>G12C</w:t>
      </w:r>
      <w:r>
        <w:rPr>
          <w:rFonts w:ascii="Arial" w:cs="Arial" w:eastAsia="Arial" w:hAnsi="Arial"/>
          <w:sz w:val="17"/>
          <w:szCs w:val="17"/>
          <w:color w:val="auto"/>
        </w:rPr>
        <w:t xml:space="preserve"> mutations, and co-occurring resistance gene amplifications.</w:t>
      </w:r>
    </w:p>
    <w:p>
      <w:pPr>
        <w:spacing w:after="0" w:line="52" w:lineRule="exact"/>
        <w:rPr>
          <w:sz w:val="20"/>
          <w:szCs w:val="20"/>
          <w:color w:val="auto"/>
        </w:rPr>
      </w:pPr>
    </w:p>
    <w:p>
      <w:pPr>
        <w:ind w:left="420" w:right="100" w:firstLine="521"/>
        <w:spacing w:after="0" w:line="244" w:lineRule="auto"/>
        <w:rPr>
          <w:sz w:val="20"/>
          <w:szCs w:val="20"/>
          <w:color w:val="auto"/>
        </w:rPr>
      </w:pPr>
      <w:r>
        <w:rPr>
          <w:rFonts w:ascii="Arial" w:cs="Arial" w:eastAsia="Arial" w:hAnsi="Arial"/>
          <w:sz w:val="17"/>
          <w:szCs w:val="17"/>
          <w:color w:val="auto"/>
        </w:rPr>
        <w:t>In February 2024, we initiated a first-in-human, Phase 1/2 clinical trial of BBI-825 and BBI-825 in combination with select targeted therapies in subjects with locally advanced or metastatic solid tumors with resistance gene amplifications. The title of the trial (NCT pending) is: “An open-label, multicenter, first-in-human, dose-escalation and dose expansion, Phase 1/2 study of BBI-825 and BBI-825 in combination with select targeted therapies in subjects with locally advanced or metastatic solid tumors with resistance gene amplifications.” We also call the trial STARMAP, for “</w:t>
      </w:r>
      <w:r>
        <w:rPr>
          <w:rFonts w:ascii="Arial" w:cs="Arial" w:eastAsia="Arial" w:hAnsi="Arial"/>
          <w:sz w:val="17"/>
          <w:szCs w:val="17"/>
          <w:u w:val="single" w:color="auto"/>
          <w:color w:val="auto"/>
        </w:rPr>
        <w:t>S</w:t>
      </w:r>
      <w:r>
        <w:rPr>
          <w:rFonts w:ascii="Arial" w:cs="Arial" w:eastAsia="Arial" w:hAnsi="Arial"/>
          <w:sz w:val="17"/>
          <w:szCs w:val="17"/>
          <w:color w:val="auto"/>
        </w:rPr>
        <w:t xml:space="preserve">tudy </w:t>
      </w:r>
      <w:r>
        <w:rPr>
          <w:rFonts w:ascii="Arial" w:cs="Arial" w:eastAsia="Arial" w:hAnsi="Arial"/>
          <w:sz w:val="17"/>
          <w:szCs w:val="17"/>
          <w:u w:val="single" w:color="auto"/>
          <w:color w:val="auto"/>
        </w:rPr>
        <w:t>T</w:t>
      </w:r>
      <w:r>
        <w:rPr>
          <w:rFonts w:ascii="Arial" w:cs="Arial" w:eastAsia="Arial" w:hAnsi="Arial"/>
          <w:sz w:val="17"/>
          <w:szCs w:val="17"/>
          <w:color w:val="auto"/>
        </w:rPr>
        <w:t xml:space="preserve">reating </w:t>
      </w:r>
      <w:r>
        <w:rPr>
          <w:rFonts w:ascii="Arial" w:cs="Arial" w:eastAsia="Arial" w:hAnsi="Arial"/>
          <w:sz w:val="17"/>
          <w:szCs w:val="17"/>
          <w:u w:val="single" w:color="auto"/>
          <w:color w:val="auto"/>
        </w:rPr>
        <w:t>A</w:t>
      </w:r>
      <w:r>
        <w:rPr>
          <w:rFonts w:ascii="Arial" w:cs="Arial" w:eastAsia="Arial" w:hAnsi="Arial"/>
          <w:sz w:val="17"/>
          <w:szCs w:val="17"/>
          <w:color w:val="auto"/>
        </w:rPr>
        <w:t>cquired</w:t>
      </w:r>
    </w:p>
    <w:p>
      <w:pPr>
        <w:spacing w:after="0" w:line="10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0800"/>
          </w:cols>
          <w:pgMar w:left="320" w:top="439" w:right="7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600"/>
        <w:spacing w:after="0" w:line="270" w:lineRule="auto"/>
        <w:rPr>
          <w:sz w:val="20"/>
          <w:szCs w:val="20"/>
          <w:color w:val="auto"/>
        </w:rPr>
      </w:pPr>
      <w:r>
        <w:rPr>
          <w:rFonts w:ascii="Arial" w:cs="Arial" w:eastAsia="Arial" w:hAnsi="Arial"/>
          <w:sz w:val="17"/>
          <w:szCs w:val="17"/>
          <w:u w:val="single" w:color="auto"/>
          <w:color w:val="auto"/>
        </w:rPr>
        <w:t>R</w:t>
      </w:r>
      <w:r>
        <w:rPr>
          <w:rFonts w:ascii="Arial" w:cs="Arial" w:eastAsia="Arial" w:hAnsi="Arial"/>
          <w:sz w:val="17"/>
          <w:szCs w:val="17"/>
          <w:color w:val="auto"/>
        </w:rPr>
        <w:t xml:space="preserve">esistance: </w:t>
      </w:r>
      <w:r>
        <w:rPr>
          <w:rFonts w:ascii="Arial" w:cs="Arial" w:eastAsia="Arial" w:hAnsi="Arial"/>
          <w:sz w:val="17"/>
          <w:szCs w:val="17"/>
          <w:u w:val="single" w:color="auto"/>
          <w:color w:val="auto"/>
        </w:rPr>
        <w:t>MAP</w:t>
      </w:r>
      <w:r>
        <w:rPr>
          <w:rFonts w:ascii="Arial" w:cs="Arial" w:eastAsia="Arial" w:hAnsi="Arial"/>
          <w:sz w:val="17"/>
          <w:szCs w:val="17"/>
          <w:color w:val="auto"/>
        </w:rPr>
        <w:t>K Amplifications”. We expect to have preliminary proof of concept safety and antitumor activity data of BBI-825 in combination with targeted therapies from the STARMAP trial in the second half of 2025.</w:t>
      </w:r>
    </w:p>
    <w:p>
      <w:pPr>
        <w:spacing w:after="0" w:line="148" w:lineRule="exact"/>
        <w:rPr>
          <w:sz w:val="20"/>
          <w:szCs w:val="20"/>
          <w:color w:val="auto"/>
        </w:rPr>
      </w:pPr>
    </w:p>
    <w:p>
      <w:pPr>
        <w:ind w:left="420" w:right="80" w:firstLine="521"/>
        <w:spacing w:after="0" w:line="224" w:lineRule="auto"/>
        <w:rPr>
          <w:sz w:val="20"/>
          <w:szCs w:val="20"/>
          <w:color w:val="auto"/>
        </w:rPr>
      </w:pPr>
      <w:r>
        <w:rPr>
          <w:rFonts w:ascii="Arial" w:cs="Arial" w:eastAsia="Arial" w:hAnsi="Arial"/>
          <w:sz w:val="17"/>
          <w:szCs w:val="17"/>
          <w:color w:val="auto"/>
        </w:rPr>
        <w:t xml:space="preserve">The design of the trial is an open-label, non-randomized, three-part Phase 1/2 clinical trial to evaluate the safety and identify the MTD and RP2D of BBI-825 administered as a single agent or in combination with select targeted therapies. The trial has three parts: Part 1 is a dose escalation of BBI-825 as a monotherapy, while Parts 2 and 3 of this trial will be conducted in two separate modules, each module testing the combination of BBI-825 with two targeted therapies, encorafenib and cetuximab (module 1), or adagrasib and cetuximab (module 2), in patients with amplification-based resistance in </w:t>
      </w:r>
      <w:r>
        <w:rPr>
          <w:rFonts w:ascii="Arial" w:cs="Arial" w:eastAsia="Arial" w:hAnsi="Arial"/>
          <w:sz w:val="17"/>
          <w:szCs w:val="17"/>
          <w:i w:val="1"/>
          <w:iCs w:val="1"/>
          <w:color w:val="auto"/>
        </w:rPr>
        <w:t>BRAF</w:t>
      </w:r>
      <w:r>
        <w:rPr>
          <w:rFonts w:ascii="Arial" w:cs="Arial" w:eastAsia="Arial" w:hAnsi="Arial"/>
          <w:sz w:val="25"/>
          <w:szCs w:val="25"/>
          <w:i w:val="1"/>
          <w:iCs w:val="1"/>
          <w:color w:val="auto"/>
          <w:vertAlign w:val="superscript"/>
        </w:rPr>
        <w:t>V600E</w:t>
      </w:r>
      <w:r>
        <w:rPr>
          <w:rFonts w:ascii="Arial" w:cs="Arial" w:eastAsia="Arial" w:hAnsi="Arial"/>
          <w:sz w:val="17"/>
          <w:szCs w:val="17"/>
          <w:color w:val="auto"/>
        </w:rPr>
        <w:t xml:space="preserve"> mutant colorectal cancer or </w:t>
      </w:r>
      <w:r>
        <w:rPr>
          <w:rFonts w:ascii="Arial" w:cs="Arial" w:eastAsia="Arial" w:hAnsi="Arial"/>
          <w:sz w:val="17"/>
          <w:szCs w:val="17"/>
          <w:i w:val="1"/>
          <w:iCs w:val="1"/>
          <w:color w:val="auto"/>
        </w:rPr>
        <w:t>KRAS</w:t>
      </w:r>
      <w:r>
        <w:rPr>
          <w:rFonts w:ascii="Arial" w:cs="Arial" w:eastAsia="Arial" w:hAnsi="Arial"/>
          <w:sz w:val="25"/>
          <w:szCs w:val="25"/>
          <w:i w:val="1"/>
          <w:iCs w:val="1"/>
          <w:color w:val="auto"/>
          <w:vertAlign w:val="superscript"/>
        </w:rPr>
        <w:t>G12C</w:t>
      </w:r>
      <w:r>
        <w:rPr>
          <w:rFonts w:ascii="Arial" w:cs="Arial" w:eastAsia="Arial" w:hAnsi="Arial"/>
          <w:sz w:val="17"/>
          <w:szCs w:val="17"/>
          <w:color w:val="auto"/>
        </w:rPr>
        <w:t xml:space="preserve"> mutant colorectal cancer, respectively.</w:t>
      </w:r>
    </w:p>
    <w:p>
      <w:pPr>
        <w:spacing w:after="0" w:line="174" w:lineRule="exact"/>
        <w:rPr>
          <w:sz w:val="20"/>
          <w:szCs w:val="20"/>
          <w:color w:val="auto"/>
        </w:rPr>
      </w:pPr>
    </w:p>
    <w:p>
      <w:pPr>
        <w:ind w:left="420" w:right="80" w:firstLine="521"/>
        <w:spacing w:after="0" w:line="270" w:lineRule="auto"/>
        <w:rPr>
          <w:sz w:val="20"/>
          <w:szCs w:val="20"/>
          <w:color w:val="auto"/>
        </w:rPr>
      </w:pPr>
      <w:r>
        <w:rPr>
          <w:rFonts w:ascii="Arial" w:cs="Arial" w:eastAsia="Arial" w:hAnsi="Arial"/>
          <w:sz w:val="17"/>
          <w:szCs w:val="17"/>
          <w:color w:val="auto"/>
        </w:rPr>
        <w:t>In Part 1 of the trial, patients with solid tumors will be eligible for enrollment. The goal of Part 1 is to identify the single agent RP2D and MTD of BBI-825 and to evaluate preliminary single agent antitumor activity.</w:t>
      </w:r>
    </w:p>
    <w:p>
      <w:pPr>
        <w:spacing w:after="0" w:line="148" w:lineRule="exact"/>
        <w:rPr>
          <w:sz w:val="20"/>
          <w:szCs w:val="20"/>
          <w:color w:val="auto"/>
        </w:rPr>
      </w:pPr>
    </w:p>
    <w:p>
      <w:pPr>
        <w:ind w:left="420" w:firstLine="521"/>
        <w:spacing w:after="0" w:line="215" w:lineRule="auto"/>
        <w:rPr>
          <w:sz w:val="20"/>
          <w:szCs w:val="20"/>
          <w:color w:val="auto"/>
        </w:rPr>
      </w:pPr>
      <w:r>
        <w:rPr>
          <w:rFonts w:ascii="Arial" w:cs="Arial" w:eastAsia="Arial" w:hAnsi="Arial"/>
          <w:sz w:val="17"/>
          <w:szCs w:val="17"/>
          <w:color w:val="auto"/>
        </w:rPr>
        <w:t xml:space="preserve">In Part 2 of the trial, patients with locally advanced or metastatic non-resectable colorectal cancer with MAPK pathway alterations, specifically </w:t>
      </w:r>
      <w:r>
        <w:rPr>
          <w:rFonts w:ascii="Arial" w:cs="Arial" w:eastAsia="Arial" w:hAnsi="Arial"/>
          <w:sz w:val="17"/>
          <w:szCs w:val="17"/>
          <w:i w:val="1"/>
          <w:iCs w:val="1"/>
          <w:color w:val="auto"/>
        </w:rPr>
        <w:t>BRAF</w:t>
      </w:r>
      <w:r>
        <w:rPr>
          <w:rFonts w:ascii="Arial" w:cs="Arial" w:eastAsia="Arial" w:hAnsi="Arial"/>
          <w:sz w:val="25"/>
          <w:szCs w:val="25"/>
          <w:i w:val="1"/>
          <w:iCs w:val="1"/>
          <w:color w:val="auto"/>
          <w:vertAlign w:val="superscript"/>
        </w:rPr>
        <w:t>V600E</w:t>
      </w:r>
      <w:r>
        <w:rPr>
          <w:rFonts w:ascii="Arial" w:cs="Arial" w:eastAsia="Arial" w:hAnsi="Arial"/>
          <w:sz w:val="17"/>
          <w:szCs w:val="17"/>
          <w:color w:val="auto"/>
        </w:rPr>
        <w:t xml:space="preserve"> and </w:t>
      </w:r>
      <w:r>
        <w:rPr>
          <w:rFonts w:ascii="Arial" w:cs="Arial" w:eastAsia="Arial" w:hAnsi="Arial"/>
          <w:sz w:val="17"/>
          <w:szCs w:val="17"/>
          <w:i w:val="1"/>
          <w:iCs w:val="1"/>
          <w:color w:val="auto"/>
        </w:rPr>
        <w:t>KRAS</w:t>
      </w:r>
      <w:r>
        <w:rPr>
          <w:rFonts w:ascii="Arial" w:cs="Arial" w:eastAsia="Arial" w:hAnsi="Arial"/>
          <w:sz w:val="25"/>
          <w:szCs w:val="25"/>
          <w:i w:val="1"/>
          <w:iCs w:val="1"/>
          <w:color w:val="auto"/>
          <w:vertAlign w:val="superscript"/>
        </w:rPr>
        <w:t>G12C</w:t>
      </w:r>
      <w:r>
        <w:rPr>
          <w:rFonts w:ascii="Arial" w:cs="Arial" w:eastAsia="Arial" w:hAnsi="Arial"/>
          <w:sz w:val="17"/>
          <w:szCs w:val="17"/>
          <w:color w:val="auto"/>
        </w:rPr>
        <w:t xml:space="preserve"> mutations, and co-occurring resistance gene amplifications, as determined by standard NGS testing, will be enrolled in the corresponding module. The goal of Part 2 is to identify the RP2D and MTD of BBI-825, as well as initial antitumor activity, in combination with the respective targeted therapies studied in each module, that is encorafenib and cetuximab (module 1), or adagrasib and cetuximab (module 2), in patients with amplification-based resistance in BRAF</w:t>
      </w:r>
      <w:r>
        <w:rPr>
          <w:rFonts w:ascii="Arial" w:cs="Arial" w:eastAsia="Arial" w:hAnsi="Arial"/>
          <w:sz w:val="25"/>
          <w:szCs w:val="25"/>
          <w:color w:val="auto"/>
          <w:vertAlign w:val="superscript"/>
        </w:rPr>
        <w:t>V600E</w:t>
      </w:r>
      <w:r>
        <w:rPr>
          <w:rFonts w:ascii="Arial" w:cs="Arial" w:eastAsia="Arial" w:hAnsi="Arial"/>
          <w:sz w:val="17"/>
          <w:szCs w:val="17"/>
          <w:color w:val="auto"/>
        </w:rPr>
        <w:t xml:space="preserve"> mutant colorectal cancer or KRAS</w:t>
      </w:r>
      <w:r>
        <w:rPr>
          <w:rFonts w:ascii="Arial" w:cs="Arial" w:eastAsia="Arial" w:hAnsi="Arial"/>
          <w:sz w:val="25"/>
          <w:szCs w:val="25"/>
          <w:color w:val="auto"/>
          <w:vertAlign w:val="superscript"/>
        </w:rPr>
        <w:t>G12C</w:t>
      </w:r>
      <w:r>
        <w:rPr>
          <w:rFonts w:ascii="Arial" w:cs="Arial" w:eastAsia="Arial" w:hAnsi="Arial"/>
          <w:sz w:val="17"/>
          <w:szCs w:val="17"/>
          <w:color w:val="auto"/>
        </w:rPr>
        <w:t xml:space="preserve"> mutant colorectal cancer, respectively.</w:t>
      </w:r>
    </w:p>
    <w:p>
      <w:pPr>
        <w:spacing w:after="0" w:line="56" w:lineRule="exact"/>
        <w:rPr>
          <w:sz w:val="20"/>
          <w:szCs w:val="20"/>
          <w:color w:val="auto"/>
        </w:rPr>
      </w:pPr>
    </w:p>
    <w:p>
      <w:pPr>
        <w:ind w:left="420" w:right="100" w:firstLine="521"/>
        <w:spacing w:after="0" w:line="219" w:lineRule="auto"/>
        <w:rPr>
          <w:sz w:val="20"/>
          <w:szCs w:val="20"/>
          <w:color w:val="auto"/>
        </w:rPr>
      </w:pPr>
      <w:r>
        <w:rPr>
          <w:rFonts w:ascii="Arial" w:cs="Arial" w:eastAsia="Arial" w:hAnsi="Arial"/>
          <w:sz w:val="17"/>
          <w:szCs w:val="17"/>
          <w:color w:val="auto"/>
        </w:rPr>
        <w:t>In Part 3 of the trial, patients with locally advanced or metastatic non-resectable colorectal cancer with MAPK pathway alterations, specifically BRAF</w:t>
      </w:r>
      <w:r>
        <w:rPr>
          <w:rFonts w:ascii="Arial" w:cs="Arial" w:eastAsia="Arial" w:hAnsi="Arial"/>
          <w:sz w:val="25"/>
          <w:szCs w:val="25"/>
          <w:color w:val="auto"/>
          <w:vertAlign w:val="superscript"/>
        </w:rPr>
        <w:t>V600E</w:t>
      </w:r>
      <w:r>
        <w:rPr>
          <w:rFonts w:ascii="Arial" w:cs="Arial" w:eastAsia="Arial" w:hAnsi="Arial"/>
          <w:sz w:val="17"/>
          <w:szCs w:val="17"/>
          <w:color w:val="auto"/>
        </w:rPr>
        <w:t xml:space="preserve"> and KRAS</w:t>
      </w:r>
      <w:r>
        <w:rPr>
          <w:rFonts w:ascii="Arial" w:cs="Arial" w:eastAsia="Arial" w:hAnsi="Arial"/>
          <w:sz w:val="25"/>
          <w:szCs w:val="25"/>
          <w:color w:val="auto"/>
          <w:vertAlign w:val="superscript"/>
        </w:rPr>
        <w:t>G12C</w:t>
      </w:r>
      <w:r>
        <w:rPr>
          <w:rFonts w:ascii="Arial" w:cs="Arial" w:eastAsia="Arial" w:hAnsi="Arial"/>
          <w:sz w:val="17"/>
          <w:szCs w:val="17"/>
          <w:color w:val="auto"/>
        </w:rPr>
        <w:t xml:space="preserve"> mutations, and co-occurring resistance gene amplifications, as determined by standard NGS testing, will be enrolled in the corresponding module. The goal of Part 3 is to evaluate preliminary combination antitumor activity at the combination RP2Ds.</w:t>
      </w:r>
    </w:p>
    <w:p>
      <w:pPr>
        <w:spacing w:after="0" w:line="174" w:lineRule="exact"/>
        <w:rPr>
          <w:sz w:val="20"/>
          <w:szCs w:val="20"/>
          <w:color w:val="auto"/>
        </w:rPr>
      </w:pPr>
    </w:p>
    <w:p>
      <w:pPr>
        <w:ind w:left="420" w:right="80" w:firstLine="521"/>
        <w:spacing w:after="0" w:line="244" w:lineRule="auto"/>
        <w:rPr>
          <w:sz w:val="20"/>
          <w:szCs w:val="20"/>
          <w:color w:val="auto"/>
        </w:rPr>
      </w:pPr>
      <w:r>
        <w:rPr>
          <w:rFonts w:ascii="Arial" w:cs="Arial" w:eastAsia="Arial" w:hAnsi="Arial"/>
          <w:sz w:val="17"/>
          <w:szCs w:val="17"/>
          <w:color w:val="auto"/>
        </w:rPr>
        <w:t>We expect to enroll a total of approximately 140 to 190 patients in this trial. Should any cohort of the trial demonstrate compelling signs of clinical antitumor activity, along with acceptable safety and tolerability, we would seek to engage with the FDA and other global regulatory bodies to discuss potential registrational paths, including the designs of any additional clinical trials we may need to conduct to support potential registrations for BBI-825. Based on ongoing preclinical studies as well as the future clinical data for BBI-825, we may also consider expanding this trial to pan-tumor, pan-RAS, and/or pan-RAF evaluation.</w:t>
      </w:r>
    </w:p>
    <w:p>
      <w:pPr>
        <w:spacing w:after="0" w:line="10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0800"/>
          </w:cols>
          <w:pgMar w:left="320" w:top="439" w:right="7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Design of BBI-825 Phase 1/2 STARMAP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154305</wp:posOffset>
            </wp:positionV>
            <wp:extent cx="4916805" cy="21990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916805" cy="2199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Addressable Patient Populations for BBI-825</w:t>
      </w:r>
    </w:p>
    <w:p>
      <w:pPr>
        <w:spacing w:after="0" w:line="98" w:lineRule="exact"/>
        <w:rPr>
          <w:sz w:val="20"/>
          <w:szCs w:val="20"/>
          <w:color w:val="auto"/>
        </w:rPr>
      </w:pPr>
    </w:p>
    <w:p>
      <w:pPr>
        <w:ind w:left="420" w:right="60" w:firstLine="521"/>
        <w:spacing w:after="0" w:line="222" w:lineRule="auto"/>
        <w:rPr>
          <w:sz w:val="20"/>
          <w:szCs w:val="20"/>
          <w:color w:val="auto"/>
        </w:rPr>
      </w:pPr>
      <w:r>
        <w:rPr>
          <w:rFonts w:ascii="Arial" w:cs="Arial" w:eastAsia="Arial" w:hAnsi="Arial"/>
          <w:sz w:val="17"/>
          <w:szCs w:val="17"/>
          <w:color w:val="auto"/>
        </w:rPr>
        <w:t xml:space="preserve">We estimate that BBI-825, if approved for the indications we are targeting in the STARMAP trial, could address an initial U.S. patient population of approximately 7,000 new metastatic colorectal cancer patients per year with </w:t>
      </w:r>
      <w:r>
        <w:rPr>
          <w:rFonts w:ascii="Arial" w:cs="Arial" w:eastAsia="Arial" w:hAnsi="Arial"/>
          <w:sz w:val="17"/>
          <w:szCs w:val="17"/>
          <w:i w:val="1"/>
          <w:iCs w:val="1"/>
          <w:color w:val="auto"/>
        </w:rPr>
        <w:t>BRAF</w:t>
      </w:r>
      <w:r>
        <w:rPr>
          <w:rFonts w:ascii="Arial" w:cs="Arial" w:eastAsia="Arial" w:hAnsi="Arial"/>
          <w:sz w:val="25"/>
          <w:szCs w:val="25"/>
          <w:i w:val="1"/>
          <w:iCs w:val="1"/>
          <w:color w:val="auto"/>
          <w:vertAlign w:val="superscript"/>
        </w:rPr>
        <w:t>V600E</w:t>
      </w:r>
      <w:r>
        <w:rPr>
          <w:rFonts w:ascii="Arial" w:cs="Arial" w:eastAsia="Arial" w:hAnsi="Arial"/>
          <w:sz w:val="17"/>
          <w:szCs w:val="17"/>
          <w:color w:val="auto"/>
        </w:rPr>
        <w:t xml:space="preserve"> or </w:t>
      </w:r>
      <w:r>
        <w:rPr>
          <w:rFonts w:ascii="Arial" w:cs="Arial" w:eastAsia="Arial" w:hAnsi="Arial"/>
          <w:sz w:val="17"/>
          <w:szCs w:val="17"/>
          <w:i w:val="1"/>
          <w:iCs w:val="1"/>
          <w:color w:val="auto"/>
        </w:rPr>
        <w:t>KRAS</w:t>
      </w:r>
      <w:r>
        <w:rPr>
          <w:rFonts w:ascii="Arial" w:cs="Arial" w:eastAsia="Arial" w:hAnsi="Arial"/>
          <w:sz w:val="25"/>
          <w:szCs w:val="25"/>
          <w:i w:val="1"/>
          <w:iCs w:val="1"/>
          <w:color w:val="auto"/>
          <w:vertAlign w:val="superscript"/>
        </w:rPr>
        <w:t>G12C</w:t>
      </w:r>
      <w:r>
        <w:rPr>
          <w:rFonts w:ascii="Arial" w:cs="Arial" w:eastAsia="Arial" w:hAnsi="Arial"/>
          <w:sz w:val="17"/>
          <w:szCs w:val="17"/>
          <w:color w:val="auto"/>
        </w:rPr>
        <w:t xml:space="preserve"> mutations, in addition to over 9,000 new patients in the European Union and 3,000 new patients in Japan, representing a total potential addressable patient population of nearly 20,000 new patients per year in the United States, European Union, and Japan; although at this early juncture it is difficult to know how many patients eventually develop resistance to targeted therapy treatment via resistance gene amplification.</w:t>
      </w:r>
    </w:p>
    <w:p>
      <w:pPr>
        <w:spacing w:after="0" w:line="174" w:lineRule="exact"/>
        <w:rPr>
          <w:sz w:val="20"/>
          <w:szCs w:val="20"/>
          <w:color w:val="auto"/>
        </w:rPr>
      </w:pPr>
    </w:p>
    <w:p>
      <w:pPr>
        <w:ind w:left="940"/>
        <w:spacing w:after="0"/>
        <w:rPr>
          <w:sz w:val="20"/>
          <w:szCs w:val="20"/>
          <w:color w:val="auto"/>
        </w:rPr>
      </w:pPr>
      <w:r>
        <w:rPr>
          <w:rFonts w:ascii="Arial" w:cs="Arial" w:eastAsia="Arial" w:hAnsi="Arial"/>
          <w:sz w:val="17"/>
          <w:szCs w:val="17"/>
          <w:color w:val="auto"/>
        </w:rPr>
        <w:t>In addition to the indications currently being evaluated in the STARMAP trial described above, we are also currently conducting</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preclinical studies to evaluate BBI-825 in additional MAPK pathway activated cancer indications, including resistance associated with</w:t>
      </w:r>
    </w:p>
    <w:p>
      <w:pPr>
        <w:ind w:left="420"/>
        <w:spacing w:after="0" w:line="181" w:lineRule="auto"/>
        <w:rPr>
          <w:sz w:val="20"/>
          <w:szCs w:val="20"/>
          <w:color w:val="auto"/>
        </w:rPr>
      </w:pPr>
      <w:r>
        <w:rPr>
          <w:rFonts w:ascii="Arial" w:cs="Arial" w:eastAsia="Arial" w:hAnsi="Arial"/>
          <w:sz w:val="15"/>
          <w:szCs w:val="15"/>
          <w:color w:val="auto"/>
        </w:rPr>
        <w:t xml:space="preserve">other KRAS activations (e.g., </w:t>
      </w:r>
      <w:r>
        <w:rPr>
          <w:rFonts w:ascii="Arial" w:cs="Arial" w:eastAsia="Arial" w:hAnsi="Arial"/>
          <w:sz w:val="15"/>
          <w:szCs w:val="15"/>
          <w:i w:val="1"/>
          <w:iCs w:val="1"/>
          <w:color w:val="auto"/>
        </w:rPr>
        <w:t>KRAS</w:t>
      </w:r>
      <w:r>
        <w:rPr>
          <w:rFonts w:ascii="Arial" w:cs="Arial" w:eastAsia="Arial" w:hAnsi="Arial"/>
          <w:sz w:val="22"/>
          <w:szCs w:val="22"/>
          <w:i w:val="1"/>
          <w:iCs w:val="1"/>
          <w:color w:val="auto"/>
          <w:vertAlign w:val="superscript"/>
        </w:rPr>
        <w:t>G12C</w:t>
      </w:r>
      <w:r>
        <w:rPr>
          <w:rFonts w:ascii="Arial" w:cs="Arial" w:eastAsia="Arial" w:hAnsi="Arial"/>
          <w:sz w:val="15"/>
          <w:szCs w:val="15"/>
          <w:color w:val="auto"/>
        </w:rPr>
        <w:t xml:space="preserve"> non-colorectal cancers and </w:t>
      </w:r>
      <w:r>
        <w:rPr>
          <w:rFonts w:ascii="Arial" w:cs="Arial" w:eastAsia="Arial" w:hAnsi="Arial"/>
          <w:sz w:val="15"/>
          <w:szCs w:val="15"/>
          <w:i w:val="1"/>
          <w:iCs w:val="1"/>
          <w:color w:val="auto"/>
        </w:rPr>
        <w:t>KRAS</w:t>
      </w:r>
      <w:r>
        <w:rPr>
          <w:rFonts w:ascii="Arial" w:cs="Arial" w:eastAsia="Arial" w:hAnsi="Arial"/>
          <w:sz w:val="22"/>
          <w:szCs w:val="22"/>
          <w:i w:val="1"/>
          <w:iCs w:val="1"/>
          <w:color w:val="auto"/>
          <w:vertAlign w:val="superscript"/>
        </w:rPr>
        <w:t>G12D</w:t>
      </w:r>
      <w:r>
        <w:rPr>
          <w:rFonts w:ascii="Arial" w:cs="Arial" w:eastAsia="Arial" w:hAnsi="Arial"/>
          <w:sz w:val="15"/>
          <w:szCs w:val="15"/>
          <w:color w:val="auto"/>
        </w:rPr>
        <w:t xml:space="preserve"> colorectal cancer), </w:t>
      </w:r>
      <w:r>
        <w:rPr>
          <w:rFonts w:ascii="Arial" w:cs="Arial" w:eastAsia="Arial" w:hAnsi="Arial"/>
          <w:sz w:val="15"/>
          <w:szCs w:val="15"/>
          <w:i w:val="1"/>
          <w:iCs w:val="1"/>
          <w:color w:val="auto"/>
        </w:rPr>
        <w:t>BRAF</w:t>
      </w:r>
      <w:r>
        <w:rPr>
          <w:rFonts w:ascii="Arial" w:cs="Arial" w:eastAsia="Arial" w:hAnsi="Arial"/>
          <w:sz w:val="22"/>
          <w:szCs w:val="22"/>
          <w:i w:val="1"/>
          <w:iCs w:val="1"/>
          <w:color w:val="auto"/>
          <w:vertAlign w:val="superscript"/>
        </w:rPr>
        <w:t>V600E</w:t>
      </w:r>
      <w:r>
        <w:rPr>
          <w:rFonts w:ascii="Arial" w:cs="Arial" w:eastAsia="Arial" w:hAnsi="Arial"/>
          <w:sz w:val="15"/>
          <w:szCs w:val="15"/>
          <w:color w:val="auto"/>
        </w:rPr>
        <w:t xml:space="preserve"> non-colorectal cancers,</w:t>
      </w:r>
    </w:p>
    <w:p>
      <w:pPr>
        <w:ind w:left="420"/>
        <w:spacing w:after="0" w:line="236" w:lineRule="auto"/>
        <w:rPr>
          <w:sz w:val="20"/>
          <w:szCs w:val="20"/>
          <w:color w:val="auto"/>
        </w:rPr>
      </w:pPr>
      <w:r>
        <w:rPr>
          <w:rFonts w:ascii="Arial" w:cs="Arial" w:eastAsia="Arial" w:hAnsi="Arial"/>
          <w:sz w:val="17"/>
          <w:szCs w:val="17"/>
          <w:color w:val="auto"/>
        </w:rPr>
        <w:t>and others. Clinical success in one or more of these indications could expand the potential addressable patient population for BBI-825. In</w:t>
      </w:r>
    </w:p>
    <w:p>
      <w:pPr>
        <w:ind w:left="420"/>
        <w:spacing w:after="0" w:line="182" w:lineRule="auto"/>
        <w:rPr>
          <w:sz w:val="20"/>
          <w:szCs w:val="20"/>
          <w:color w:val="auto"/>
        </w:rPr>
      </w:pPr>
      <w:r>
        <w:rPr>
          <w:rFonts w:ascii="Arial" w:cs="Arial" w:eastAsia="Arial" w:hAnsi="Arial"/>
          <w:sz w:val="15"/>
          <w:szCs w:val="15"/>
          <w:color w:val="auto"/>
        </w:rPr>
        <w:t xml:space="preserve">the future, we estimate that expansion into additional non-colorectal metastatic KRAS and BRAF solid tumors (e.g., </w:t>
      </w:r>
      <w:r>
        <w:rPr>
          <w:rFonts w:ascii="Arial" w:cs="Arial" w:eastAsia="Arial" w:hAnsi="Arial"/>
          <w:sz w:val="15"/>
          <w:szCs w:val="15"/>
          <w:i w:val="1"/>
          <w:iCs w:val="1"/>
          <w:color w:val="auto"/>
        </w:rPr>
        <w:t>KRAS</w:t>
      </w:r>
      <w:r>
        <w:rPr>
          <w:rFonts w:ascii="Arial" w:cs="Arial" w:eastAsia="Arial" w:hAnsi="Arial"/>
          <w:sz w:val="22"/>
          <w:szCs w:val="22"/>
          <w:i w:val="1"/>
          <w:iCs w:val="1"/>
          <w:color w:val="auto"/>
          <w:vertAlign w:val="superscript"/>
        </w:rPr>
        <w:t>G12C</w:t>
      </w:r>
      <w:r>
        <w:rPr>
          <w:rFonts w:ascii="Arial" w:cs="Arial" w:eastAsia="Arial" w:hAnsi="Arial"/>
          <w:sz w:val="15"/>
          <w:szCs w:val="15"/>
          <w:color w:val="auto"/>
        </w:rPr>
        <w:t>,</w:t>
      </w:r>
    </w:p>
    <w:p>
      <w:pPr>
        <w:ind w:left="420"/>
        <w:spacing w:after="0" w:line="181" w:lineRule="auto"/>
        <w:rPr>
          <w:sz w:val="20"/>
          <w:szCs w:val="20"/>
          <w:color w:val="auto"/>
        </w:rPr>
      </w:pPr>
      <w:r>
        <w:rPr>
          <w:rFonts w:ascii="Arial" w:cs="Arial" w:eastAsia="Arial" w:hAnsi="Arial"/>
          <w:sz w:val="15"/>
          <w:szCs w:val="15"/>
          <w:i w:val="1"/>
          <w:iCs w:val="1"/>
          <w:color w:val="auto"/>
        </w:rPr>
        <w:t>KRAS</w:t>
      </w:r>
      <w:r>
        <w:rPr>
          <w:rFonts w:ascii="Arial" w:cs="Arial" w:eastAsia="Arial" w:hAnsi="Arial"/>
          <w:sz w:val="22"/>
          <w:szCs w:val="22"/>
          <w:i w:val="1"/>
          <w:iCs w:val="1"/>
          <w:color w:val="auto"/>
          <w:vertAlign w:val="superscript"/>
        </w:rPr>
        <w:t>G12D</w:t>
      </w:r>
      <w:r>
        <w:rPr>
          <w:rFonts w:ascii="Arial" w:cs="Arial" w:eastAsia="Arial" w:hAnsi="Arial"/>
          <w:sz w:val="15"/>
          <w:szCs w:val="15"/>
          <w:color w:val="auto"/>
        </w:rPr>
        <w:t>,</w:t>
      </w:r>
      <w:r>
        <w:rPr>
          <w:rFonts w:ascii="Arial" w:cs="Arial" w:eastAsia="Arial" w:hAnsi="Arial"/>
          <w:sz w:val="15"/>
          <w:szCs w:val="15"/>
          <w:i w:val="1"/>
          <w:iCs w:val="1"/>
          <w:color w:val="auto"/>
        </w:rPr>
        <w:t xml:space="preserve"> KRAS</w:t>
      </w:r>
      <w:r>
        <w:rPr>
          <w:rFonts w:ascii="Arial" w:cs="Arial" w:eastAsia="Arial" w:hAnsi="Arial"/>
          <w:sz w:val="22"/>
          <w:szCs w:val="22"/>
          <w:i w:val="1"/>
          <w:iCs w:val="1"/>
          <w:color w:val="auto"/>
          <w:vertAlign w:val="superscript"/>
        </w:rPr>
        <w:t>G12V</w:t>
      </w:r>
      <w:r>
        <w:rPr>
          <w:rFonts w:ascii="Arial" w:cs="Arial" w:eastAsia="Arial" w:hAnsi="Arial"/>
          <w:sz w:val="15"/>
          <w:szCs w:val="15"/>
          <w:color w:val="auto"/>
        </w:rPr>
        <w:t>,</w:t>
      </w:r>
      <w:r>
        <w:rPr>
          <w:rFonts w:ascii="Arial" w:cs="Arial" w:eastAsia="Arial" w:hAnsi="Arial"/>
          <w:sz w:val="15"/>
          <w:szCs w:val="15"/>
          <w:i w:val="1"/>
          <w:iCs w:val="1"/>
          <w:color w:val="auto"/>
        </w:rPr>
        <w:t xml:space="preserve"> KRAS</w:t>
      </w:r>
      <w:r>
        <w:rPr>
          <w:rFonts w:ascii="Arial" w:cs="Arial" w:eastAsia="Arial" w:hAnsi="Arial"/>
          <w:sz w:val="22"/>
          <w:szCs w:val="22"/>
          <w:i w:val="1"/>
          <w:iCs w:val="1"/>
          <w:color w:val="auto"/>
          <w:vertAlign w:val="superscript"/>
        </w:rPr>
        <w:t>G12A</w:t>
      </w:r>
      <w:r>
        <w:rPr>
          <w:rFonts w:ascii="Arial" w:cs="Arial" w:eastAsia="Arial" w:hAnsi="Arial"/>
          <w:sz w:val="15"/>
          <w:szCs w:val="15"/>
          <w:color w:val="auto"/>
        </w:rPr>
        <w:t>,</w:t>
      </w:r>
      <w:r>
        <w:rPr>
          <w:rFonts w:ascii="Arial" w:cs="Arial" w:eastAsia="Arial" w:hAnsi="Arial"/>
          <w:sz w:val="15"/>
          <w:szCs w:val="15"/>
          <w:i w:val="1"/>
          <w:iCs w:val="1"/>
          <w:color w:val="auto"/>
        </w:rPr>
        <w:t xml:space="preserve"> KRAS</w:t>
      </w:r>
      <w:r>
        <w:rPr>
          <w:rFonts w:ascii="Arial" w:cs="Arial" w:eastAsia="Arial" w:hAnsi="Arial"/>
          <w:sz w:val="22"/>
          <w:szCs w:val="22"/>
          <w:i w:val="1"/>
          <w:iCs w:val="1"/>
          <w:color w:val="auto"/>
          <w:vertAlign w:val="superscript"/>
        </w:rPr>
        <w:t>G12R</w:t>
      </w:r>
      <w:r>
        <w:rPr>
          <w:rFonts w:ascii="Arial" w:cs="Arial" w:eastAsia="Arial" w:hAnsi="Arial"/>
          <w:sz w:val="15"/>
          <w:szCs w:val="15"/>
          <w:color w:val="auto"/>
        </w:rPr>
        <w:t>,</w:t>
      </w:r>
      <w:r>
        <w:rPr>
          <w:rFonts w:ascii="Arial" w:cs="Arial" w:eastAsia="Arial" w:hAnsi="Arial"/>
          <w:sz w:val="15"/>
          <w:szCs w:val="15"/>
          <w:i w:val="1"/>
          <w:iCs w:val="1"/>
          <w:color w:val="auto"/>
        </w:rPr>
        <w:t xml:space="preserve"> BRAF</w:t>
      </w:r>
      <w:r>
        <w:rPr>
          <w:rFonts w:ascii="Arial" w:cs="Arial" w:eastAsia="Arial" w:hAnsi="Arial"/>
          <w:sz w:val="22"/>
          <w:szCs w:val="22"/>
          <w:i w:val="1"/>
          <w:iCs w:val="1"/>
          <w:color w:val="auto"/>
          <w:vertAlign w:val="superscript"/>
        </w:rPr>
        <w:t>V600E</w:t>
      </w:r>
      <w:r>
        <w:rPr>
          <w:rFonts w:ascii="Arial" w:cs="Arial" w:eastAsia="Arial" w:hAnsi="Arial"/>
          <w:sz w:val="15"/>
          <w:szCs w:val="15"/>
          <w:color w:val="auto"/>
        </w:rPr>
        <w:t>, and</w:t>
      </w:r>
      <w:r>
        <w:rPr>
          <w:rFonts w:ascii="Arial" w:cs="Arial" w:eastAsia="Arial" w:hAnsi="Arial"/>
          <w:sz w:val="15"/>
          <w:szCs w:val="15"/>
          <w:i w:val="1"/>
          <w:iCs w:val="1"/>
          <w:color w:val="auto"/>
        </w:rPr>
        <w:t xml:space="preserve"> BRAF</w:t>
      </w:r>
      <w:r>
        <w:rPr>
          <w:rFonts w:ascii="Arial" w:cs="Arial" w:eastAsia="Arial" w:hAnsi="Arial"/>
          <w:sz w:val="22"/>
          <w:szCs w:val="22"/>
          <w:i w:val="1"/>
          <w:iCs w:val="1"/>
          <w:color w:val="auto"/>
          <w:vertAlign w:val="superscript"/>
        </w:rPr>
        <w:t>V600K</w:t>
      </w:r>
      <w:r>
        <w:rPr>
          <w:rFonts w:ascii="Arial" w:cs="Arial" w:eastAsia="Arial" w:hAnsi="Arial"/>
          <w:sz w:val="15"/>
          <w:szCs w:val="15"/>
          <w:i w:val="1"/>
          <w:iCs w:val="1"/>
          <w:color w:val="auto"/>
        </w:rPr>
        <w:t xml:space="preserve"> </w:t>
      </w:r>
      <w:r>
        <w:rPr>
          <w:rFonts w:ascii="Arial" w:cs="Arial" w:eastAsia="Arial" w:hAnsi="Arial"/>
          <w:sz w:val="15"/>
          <w:szCs w:val="15"/>
          <w:color w:val="auto"/>
        </w:rPr>
        <w:t>mutations) could further expand the total potential addressable</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patient population by approximately 335,000 new patients per year in the United States, European Union, and Japan.</w:t>
      </w:r>
    </w:p>
    <w:p>
      <w:pPr>
        <w:spacing w:after="0" w:line="12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0820"/>
          </w:cols>
          <w:pgMar w:left="320" w:top="439" w:right="7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center"/>
        <w:ind w:left="780"/>
        <w:spacing w:after="0" w:line="280" w:lineRule="auto"/>
        <w:rPr>
          <w:sz w:val="20"/>
          <w:szCs w:val="20"/>
          <w:color w:val="auto"/>
        </w:rPr>
      </w:pPr>
      <w:r>
        <w:rPr>
          <w:rFonts w:ascii="Arial" w:cs="Arial" w:eastAsia="Arial" w:hAnsi="Arial"/>
          <w:sz w:val="17"/>
          <w:szCs w:val="17"/>
          <w:b w:val="1"/>
          <w:bCs w:val="1"/>
          <w:color w:val="auto"/>
        </w:rPr>
        <w:t>Initial Indications for BBI-825 May Represent a Total Addressable Population of Nearly 20,000 New Patients in the United States, the European Union, and Japan Each Year, with Indication Expansion Possibility of 365,000 Additional New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1388745</wp:posOffset>
            </wp:positionH>
            <wp:positionV relativeFrom="paragraph">
              <wp:posOffset>110490</wp:posOffset>
            </wp:positionV>
            <wp:extent cx="4364990" cy="19958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364990" cy="199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Our Third ecDTx Program</w:t>
      </w:r>
    </w:p>
    <w:p>
      <w:pPr>
        <w:spacing w:after="0" w:line="98" w:lineRule="exact"/>
        <w:rPr>
          <w:sz w:val="20"/>
          <w:szCs w:val="20"/>
          <w:color w:val="auto"/>
        </w:rPr>
      </w:pPr>
    </w:p>
    <w:p>
      <w:pPr>
        <w:ind w:left="420" w:right="100" w:firstLine="521"/>
        <w:spacing w:after="0" w:line="252" w:lineRule="auto"/>
        <w:rPr>
          <w:sz w:val="20"/>
          <w:szCs w:val="20"/>
          <w:color w:val="auto"/>
        </w:rPr>
      </w:pPr>
      <w:r>
        <w:rPr>
          <w:rFonts w:ascii="Arial" w:cs="Arial" w:eastAsia="Arial" w:hAnsi="Arial"/>
          <w:sz w:val="17"/>
          <w:szCs w:val="17"/>
          <w:color w:val="auto"/>
        </w:rPr>
        <w:t>Our third ecDTx program is directed against a novel member of a class of druggable proteins, the kinesins. This ecDTx target has no approved drugs and, to our knowledge, no other publicly disclosed drug discovery efforts. This kinesin is involved with ecDNA segregation during cellular division and leverages the fact that ecDNA, unlike chromosomes, lack centromeres.</w:t>
      </w:r>
    </w:p>
    <w:p>
      <w:pPr>
        <w:spacing w:after="0" w:line="164" w:lineRule="exact"/>
        <w:rPr>
          <w:sz w:val="20"/>
          <w:szCs w:val="20"/>
          <w:color w:val="auto"/>
        </w:rPr>
      </w:pPr>
    </w:p>
    <w:p>
      <w:pPr>
        <w:ind w:left="420" w:right="160" w:firstLine="521"/>
        <w:spacing w:after="0" w:line="239" w:lineRule="auto"/>
        <w:rPr>
          <w:sz w:val="20"/>
          <w:szCs w:val="20"/>
          <w:color w:val="auto"/>
        </w:rPr>
      </w:pPr>
      <w:r>
        <w:rPr>
          <w:rFonts w:ascii="Arial" w:cs="Arial" w:eastAsia="Arial" w:hAnsi="Arial"/>
          <w:sz w:val="17"/>
          <w:szCs w:val="17"/>
          <w:color w:val="auto"/>
        </w:rPr>
        <w:t>The cell has evolved numerous redundant mechanisms governing the interactions of chromosomes with the mitotic spindle, the highly coordinated network of factors that separates chromosomes equally into daughter cells during cell division. The primary and essential attachment point for chromosomes to the mitotic spindle is via the centromere, although additional non-essential factors can assist in shepherding chromosomes independently of the centromere. Whereas these centromere-independent segregation factors are non-essential to chromosome segregation, they may be required for ecDNA due to ecDNA’s lack of centromeres. Consistent with this hypothesis, when certain proteins are genetically deactivated, it results in abnormal ecDNA segregation during cell division. As shown below, this leads to aggregation and eventual loss of ecDNA that is statistically significant. This defect in the segregation process during cell division is directly correlated with significant cytotoxicity in ecDNA-enabled tumor cells while demonstrating minimal impact on cells without ecDNA, where the target is non-essential.</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0780"/>
          </w:cols>
          <w:pgMar w:left="320" w:top="439" w:right="7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center"/>
        <w:ind w:left="740" w:right="140"/>
        <w:spacing w:after="0" w:line="280" w:lineRule="auto"/>
        <w:rPr>
          <w:sz w:val="20"/>
          <w:szCs w:val="20"/>
          <w:color w:val="auto"/>
        </w:rPr>
      </w:pPr>
      <w:r>
        <w:rPr>
          <w:rFonts w:ascii="Arial" w:cs="Arial" w:eastAsia="Arial" w:hAnsi="Arial"/>
          <w:sz w:val="17"/>
          <w:szCs w:val="17"/>
          <w:b w:val="1"/>
          <w:bCs w:val="1"/>
          <w:color w:val="auto"/>
        </w:rPr>
        <w:t>Genetic Inhibition of Novel Kinesin Target Was Associated with (1) Abnormal ecDNA Segregation, (2) Depleted ecDNA Levels, and (3) Cytotoxicity in Tumor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1323975</wp:posOffset>
            </wp:positionH>
            <wp:positionV relativeFrom="paragraph">
              <wp:posOffset>167005</wp:posOffset>
            </wp:positionV>
            <wp:extent cx="4502785" cy="14116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502785" cy="1411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20" w:right="20" w:firstLine="521"/>
        <w:spacing w:after="0" w:line="241" w:lineRule="auto"/>
        <w:rPr>
          <w:sz w:val="20"/>
          <w:szCs w:val="20"/>
          <w:color w:val="auto"/>
        </w:rPr>
      </w:pPr>
      <w:r>
        <w:rPr>
          <w:rFonts w:ascii="Arial" w:cs="Arial" w:eastAsia="Arial" w:hAnsi="Arial"/>
          <w:sz w:val="17"/>
          <w:szCs w:val="17"/>
          <w:color w:val="auto"/>
        </w:rPr>
        <w:t xml:space="preserve">Through Spyglass, we identified a novel kinesin essential for ecDNA segregation during cellular division. We preclinically validated this target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by demonstrating that its inhibition was associated with statistically significant differential sensitivity and reduction of ecDNA levels in multiple ecDNA tumor cell lines compared to non -ecDNA-bearing tumor cell lines. We also preclinically validated this target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by demonstrating that its inhibition led to statistically significant tumor growth inhibition in an ecDNA amplified tumor model. We have generated nanomolar inhibitors against this target and are currently advancing these scaffolds through hit-to-lead generation. We are advancing our third ecDTx program through drug discovery to candidate identification and expect to submit an IND in the first half of 2026.</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Ongoing Discovery Efforts for Future Programs</w:t>
      </w:r>
    </w:p>
    <w:p>
      <w:pPr>
        <w:spacing w:after="0" w:line="98" w:lineRule="exact"/>
        <w:rPr>
          <w:sz w:val="20"/>
          <w:szCs w:val="20"/>
          <w:color w:val="auto"/>
        </w:rPr>
      </w:pPr>
    </w:p>
    <w:p>
      <w:pPr>
        <w:ind w:left="420" w:right="180" w:firstLine="521"/>
        <w:spacing w:after="0" w:line="244" w:lineRule="auto"/>
        <w:rPr>
          <w:sz w:val="20"/>
          <w:szCs w:val="20"/>
          <w:color w:val="auto"/>
        </w:rPr>
      </w:pPr>
      <w:r>
        <w:rPr>
          <w:rFonts w:ascii="Arial" w:cs="Arial" w:eastAsia="Arial" w:hAnsi="Arial"/>
          <w:sz w:val="17"/>
          <w:szCs w:val="17"/>
          <w:color w:val="auto"/>
        </w:rPr>
        <w:t>In addition to our three ecDTx programs described above, we continue to leverage Spyglass to identify and preclinically validate additional ecDNA-essential targets. These candidate targets span multiple, diverse ecDNA synthetic lethal nodes in oncogene amplified cancers. We have preclinically validated multiple additional ecDNA targets and have initiated ecDTx drug discovery efforts to identify candidates against such targets. We expect to continue to identify and preclinically validate additional ecDNA targets using our Spyglass platform in the future.</w:t>
      </w:r>
    </w:p>
    <w:p>
      <w:pPr>
        <w:spacing w:after="0" w:line="271"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Our Precision Medicine Approach – ecDNA Diagnostic Test</w:t>
      </w:r>
    </w:p>
    <w:p>
      <w:pPr>
        <w:spacing w:after="0" w:line="98" w:lineRule="exact"/>
        <w:rPr>
          <w:sz w:val="20"/>
          <w:szCs w:val="20"/>
          <w:color w:val="auto"/>
        </w:rPr>
      </w:pPr>
    </w:p>
    <w:p>
      <w:pPr>
        <w:ind w:left="420" w:firstLine="521"/>
        <w:spacing w:after="0" w:line="238" w:lineRule="auto"/>
        <w:rPr>
          <w:sz w:val="20"/>
          <w:szCs w:val="20"/>
          <w:color w:val="auto"/>
        </w:rPr>
      </w:pPr>
      <w:r>
        <w:rPr>
          <w:rFonts w:ascii="Arial" w:cs="Arial" w:eastAsia="Arial" w:hAnsi="Arial"/>
          <w:sz w:val="17"/>
          <w:szCs w:val="17"/>
          <w:color w:val="auto"/>
        </w:rPr>
        <w:t xml:space="preserve">Precision medicine aims to identify and treat patients with specific biomarkers to maximize the likelihood of therapeutic benefit while minimizing side effects. We developed an ecDNA diagnostic test, internally called ECHO, to detect ecDNA in patient tumor specimens and identify patients most likely to benefit from our ecDTx. Our ecDNA diagnostic is a proprietary software algorithm designed to detect the presence of ecDNA by analyzing genomic data in the form of raw data output format files, such as FASTQ or binary sequence alignment map (BAM) files, generated from routine clinical NGS assays that are commonly used by commercial reference laboratories and academic laboratories to profile patient tumor samples. We are working with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company to develop our ecDNA diagnostic into a clinical trial assay for patient selection in clinical trials of our ecDTx, including our Phase 1/2 POTENTIATE clinical trial. The FDA has determined the ecDNA diagnostic is a non-significant risk device when used in our Phase 1/2 POTENTIATE trial, meaning that we will not be required to obtain FDA approval of an IDE for the use of the ecDNA diagnostic in this trial. To our knowledge, this will be the first ecDNA diagnostic in clinical use. As data from our clinical studies mature, we intend to discuss with the FDA whether the ecDNA diagnostic will be appropriate or required to enable commercialization of our ecDTx.</w:t>
      </w:r>
    </w:p>
    <w:p>
      <w:pPr>
        <w:spacing w:after="0" w:line="116"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148</w:t>
      </w:r>
    </w:p>
    <w:p>
      <w:pPr>
        <w:sectPr>
          <w:pgSz w:w="11900" w:h="16838" w:orient="portrait"/>
          <w:cols w:equalWidth="0" w:num="1">
            <w:col w:w="10840"/>
          </w:cols>
          <w:pgMar w:left="320" w:top="439" w:right="7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Competition</w:t>
      </w:r>
    </w:p>
    <w:p>
      <w:pPr>
        <w:spacing w:after="0" w:line="98" w:lineRule="exact"/>
        <w:rPr>
          <w:sz w:val="20"/>
          <w:szCs w:val="20"/>
          <w:color w:val="auto"/>
        </w:rPr>
      </w:pPr>
    </w:p>
    <w:p>
      <w:pPr>
        <w:ind w:left="420" w:firstLine="521"/>
        <w:spacing w:after="0" w:line="237" w:lineRule="auto"/>
        <w:rPr>
          <w:sz w:val="20"/>
          <w:szCs w:val="20"/>
          <w:color w:val="auto"/>
        </w:rPr>
      </w:pPr>
      <w:r>
        <w:rPr>
          <w:rFonts w:ascii="Arial" w:cs="Arial" w:eastAsia="Arial" w:hAnsi="Arial"/>
          <w:sz w:val="17"/>
          <w:szCs w:val="17"/>
          <w:color w:val="auto"/>
        </w:rPr>
        <w:t>The biotechnology and pharmaceutical industries are characterized by rapid evolution of technologies and understanding of disease etiology, intense development and commercial competition, and a strong emphasis on intellectual property. We believe that our approach, strategy, scientific capabilities, know-how, and experience, particularly in the fields of ecDNA and precision oncology, provide us with competitive advantages. Nonetheless, we expect substantial competition from multiple sources, including major biopharmaceutical, specialty pharmaceutical, and existing or emerging biotechnology companies, academic research institutions, governmental agencies, and public and private research institutions worldwide. Many of our competitors, either alone or through collaborations, have or will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companies may be or may become interested in developing ecDNA-directed therapeutic candidates and may rapidly develop programs that compete with ours by studying ecDNA at scale in the context of oncogene amplified cancer. Even if they do not advance programs with the same mechanism(s) of action as ours, these companies could develop products or product candidates that are competitive with ours or that have a superior product profile and may do so at a rapid pace. These competitors also compete with us in recruiting and retaining qualified scientific and management personnel, establishing clinical trial sites and patient enrollment in clinical trials, as well as in acquiring technologies complementary to, or necessary for, our programs. As a result, our competitors may discover, develop, license, or commercialize products before or more successfully than we do.</w:t>
      </w:r>
    </w:p>
    <w:p>
      <w:pPr>
        <w:spacing w:after="0" w:line="182" w:lineRule="exact"/>
        <w:rPr>
          <w:sz w:val="20"/>
          <w:szCs w:val="20"/>
          <w:color w:val="auto"/>
        </w:rPr>
      </w:pPr>
    </w:p>
    <w:p>
      <w:pPr>
        <w:ind w:left="420" w:right="120" w:firstLine="521"/>
        <w:spacing w:after="0" w:line="252" w:lineRule="auto"/>
        <w:rPr>
          <w:sz w:val="20"/>
          <w:szCs w:val="20"/>
          <w:color w:val="auto"/>
        </w:rPr>
      </w:pPr>
      <w:r>
        <w:rPr>
          <w:rFonts w:ascii="Arial" w:cs="Arial" w:eastAsia="Arial" w:hAnsi="Arial"/>
          <w:sz w:val="17"/>
          <w:szCs w:val="17"/>
          <w:color w:val="auto"/>
        </w:rPr>
        <w:t>We face competition from segments of the pharmaceutical, biotechnology, and other related markets that pursue the development of precision oncology therapies for patients with genetically defined cancers. In addition, we may face competition from companies developing product candidates that are based on synthetic lethality in cancer.</w:t>
      </w:r>
    </w:p>
    <w:p>
      <w:pPr>
        <w:spacing w:after="0" w:line="164" w:lineRule="exact"/>
        <w:rPr>
          <w:sz w:val="20"/>
          <w:szCs w:val="20"/>
          <w:color w:val="auto"/>
        </w:rPr>
      </w:pPr>
    </w:p>
    <w:p>
      <w:pPr>
        <w:ind w:left="420" w:right="60" w:firstLine="521"/>
        <w:spacing w:after="0" w:line="238" w:lineRule="auto"/>
        <w:rPr>
          <w:sz w:val="20"/>
          <w:szCs w:val="20"/>
          <w:color w:val="auto"/>
        </w:rPr>
      </w:pPr>
      <w:r>
        <w:rPr>
          <w:rFonts w:ascii="Arial" w:cs="Arial" w:eastAsia="Arial" w:hAnsi="Arial"/>
          <w:sz w:val="17"/>
          <w:szCs w:val="17"/>
          <w:color w:val="auto"/>
        </w:rPr>
        <w:t>Furthermore, we also face competition more broadly across the oncology market for cost-effective and reimbursable cancer treatments. The most common methods of treating patients with cancer are surgery, radiation, and drug therapy, including chemotherapy, hormone therapy, biologic therapy, such as monoclonal and bispecific antibodies, antibody-drug conjugates, radiopharmaceuticals, immunotherapy, cell-based therapy, and targeted therapy, or a combination of any such methods. There are a variety of available drug therapies marketed for cancer. In many cases, these drugs are administered in combination to enhance efficacy. While our ecDTx, if any are approved, may compete with these existing drugs and other therapies, to the extent they are ultimately used in combination with or as an adjunct to these therapies, our ecDTx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ecDTx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180" w:lineRule="exact"/>
        <w:rPr>
          <w:sz w:val="20"/>
          <w:szCs w:val="20"/>
          <w:color w:val="auto"/>
        </w:rPr>
      </w:pPr>
    </w:p>
    <w:p>
      <w:pPr>
        <w:ind w:left="940"/>
        <w:spacing w:after="0"/>
        <w:rPr>
          <w:sz w:val="20"/>
          <w:szCs w:val="20"/>
          <w:color w:val="auto"/>
        </w:rPr>
      </w:pPr>
      <w:r>
        <w:rPr>
          <w:rFonts w:ascii="Arial" w:cs="Arial" w:eastAsia="Arial" w:hAnsi="Arial"/>
          <w:sz w:val="17"/>
          <w:szCs w:val="17"/>
          <w:color w:val="auto"/>
        </w:rPr>
        <w:t>For BBI-355, Acrivon Therapeutics, Esperas Pharma, and PharmaEngine have CHK1 inhibitors in clinical development.</w:t>
      </w:r>
    </w:p>
    <w:p>
      <w:pPr>
        <w:spacing w:after="0" w:line="1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BenevolentAI, Fosun Pharma, and Impact Therapeutics have publicly disclosed preclinical-stage CHK1 inhibitors.</w:t>
      </w:r>
    </w:p>
    <w:p>
      <w:pPr>
        <w:spacing w:after="0" w:line="185" w:lineRule="exact"/>
        <w:rPr>
          <w:sz w:val="20"/>
          <w:szCs w:val="20"/>
          <w:color w:val="auto"/>
        </w:rPr>
      </w:pPr>
    </w:p>
    <w:p>
      <w:pPr>
        <w:ind w:left="420" w:right="280" w:firstLine="521"/>
        <w:spacing w:after="0" w:line="270" w:lineRule="auto"/>
        <w:rPr>
          <w:sz w:val="20"/>
          <w:szCs w:val="20"/>
          <w:color w:val="auto"/>
        </w:rPr>
      </w:pPr>
      <w:r>
        <w:rPr>
          <w:rFonts w:ascii="Arial" w:cs="Arial" w:eastAsia="Arial" w:hAnsi="Arial"/>
          <w:sz w:val="17"/>
          <w:szCs w:val="17"/>
          <w:color w:val="auto"/>
        </w:rPr>
        <w:t>For BBI-825, there are several generic approved agents that inhibit RNR as part of their broader mechanism of action, including gemcitabine and hydroxyurea.</w:t>
      </w:r>
    </w:p>
    <w:p>
      <w:pPr>
        <w:spacing w:after="0" w:line="8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149</w:t>
      </w:r>
    </w:p>
    <w:p>
      <w:pPr>
        <w:sectPr>
          <w:pgSz w:w="11900" w:h="16838" w:orient="portrait"/>
          <w:cols w:equalWidth="0" w:num="1">
            <w:col w:w="10820"/>
          </w:cols>
          <w:pgMar w:left="320" w:top="439" w:right="7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120" w:firstLine="521"/>
        <w:spacing w:after="0" w:line="247" w:lineRule="auto"/>
        <w:rPr>
          <w:sz w:val="20"/>
          <w:szCs w:val="20"/>
          <w:color w:val="auto"/>
        </w:rPr>
      </w:pPr>
      <w:r>
        <w:rPr>
          <w:rFonts w:ascii="Arial" w:cs="Arial" w:eastAsia="Arial" w:hAnsi="Arial"/>
          <w:sz w:val="17"/>
          <w:szCs w:val="17"/>
          <w:color w:val="auto"/>
        </w:rPr>
        <w:t>For our pipeline of ecDTx programs, potential competition includes established companies as well as emerging biotechnology companies that launch programs against ecDNA targets. However, we are not aware of any companies with ecDNA-directed therapeutic programs in clinical development and a patient selection strategy for ecDNA-enabled oncogene amplification. We are aware of one early-stage private company that is focused on research in ecDNA, Econic Biosciences.</w:t>
      </w:r>
    </w:p>
    <w:p>
      <w:pPr>
        <w:spacing w:after="0" w:line="166" w:lineRule="exact"/>
        <w:rPr>
          <w:sz w:val="20"/>
          <w:szCs w:val="20"/>
          <w:color w:val="auto"/>
        </w:rPr>
      </w:pPr>
    </w:p>
    <w:p>
      <w:pPr>
        <w:ind w:left="420" w:right="20" w:firstLine="521"/>
        <w:spacing w:after="0" w:line="241" w:lineRule="auto"/>
        <w:rPr>
          <w:sz w:val="20"/>
          <w:szCs w:val="20"/>
          <w:color w:val="auto"/>
        </w:rPr>
      </w:pPr>
      <w:r>
        <w:rPr>
          <w:rFonts w:ascii="Arial" w:cs="Arial" w:eastAsia="Arial" w:hAnsi="Arial"/>
          <w:sz w:val="17"/>
          <w:szCs w:val="17"/>
          <w:color w:val="auto"/>
        </w:rPr>
        <w:t>We could see a reduction or elimination in our potential commercial opportunity if our competitors develop and commercialize drugs that are safer, more effective, have fewer or less severe side effects, are more convenient to administer, are less expensive, or have more favorable commercial labeling than our ecDTx, regardless of whether they target ecDNA as a mechanism of action. Our competitors also may obtain FDA or other regulatory approval for their drugs more rapidly than we may obtain approval for ours, which could result in our competitors establishing a strong market position before we are able to enter the market. The key competitive factors affecting the success of all our ecDTx, if approved, are likely to be their efficacy, safety, route of administration, convenience, price, level of generic competition, and availability of reimbursement from government and other third-party payors.</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Intellectual Property</w:t>
      </w:r>
    </w:p>
    <w:p>
      <w:pPr>
        <w:spacing w:after="0" w:line="98" w:lineRule="exact"/>
        <w:rPr>
          <w:sz w:val="20"/>
          <w:szCs w:val="20"/>
          <w:color w:val="auto"/>
        </w:rPr>
      </w:pPr>
    </w:p>
    <w:p>
      <w:pPr>
        <w:ind w:left="420" w:firstLine="521"/>
        <w:spacing w:after="0" w:line="247" w:lineRule="auto"/>
        <w:rPr>
          <w:sz w:val="20"/>
          <w:szCs w:val="20"/>
          <w:color w:val="auto"/>
        </w:rPr>
      </w:pPr>
      <w:r>
        <w:rPr>
          <w:rFonts w:ascii="Arial" w:cs="Arial" w:eastAsia="Arial" w:hAnsi="Arial"/>
          <w:sz w:val="17"/>
          <w:szCs w:val="17"/>
          <w:color w:val="auto"/>
        </w:rPr>
        <w:t>We strive to protect the intellectual property and proprietary technology that we consider important to our business through a variety of methods. We seek to obtain domestic and international patent protection and endeavor to promptly file patent applications for new commercially valuable inventions as they arise to expand our intellectual property portfolio. We also rely on proprietary know-how and trade secrets to protect certain innovations that may be important to our business and to benefit from their confidential status.</w:t>
      </w:r>
    </w:p>
    <w:p>
      <w:pPr>
        <w:spacing w:after="0" w:line="166" w:lineRule="exact"/>
        <w:rPr>
          <w:sz w:val="20"/>
          <w:szCs w:val="20"/>
          <w:color w:val="auto"/>
        </w:rPr>
      </w:pPr>
    </w:p>
    <w:p>
      <w:pPr>
        <w:ind w:left="420" w:firstLine="521"/>
        <w:spacing w:after="0" w:line="247" w:lineRule="auto"/>
        <w:rPr>
          <w:sz w:val="20"/>
          <w:szCs w:val="20"/>
          <w:color w:val="auto"/>
        </w:rPr>
      </w:pPr>
      <w:r>
        <w:rPr>
          <w:rFonts w:ascii="Arial" w:cs="Arial" w:eastAsia="Arial" w:hAnsi="Arial"/>
          <w:sz w:val="17"/>
          <w:szCs w:val="17"/>
          <w:color w:val="auto"/>
        </w:rPr>
        <w:t>As of February 23, 2024, our intellectual property portfolio included 25 patent families solely owned by us, which include 12 pending US provisional applications, 10 pending US non-provisional patent applications, 3 issued US patents, pending applications in Australia, Brazil, Canada, China, Eurasia, Europe, India, Israel, Japan, Korea, Mexico, Singapore, South Africa and Taiwan, as well as 6 pending applications filed pursuant to the Patent Cooperation Treaty (PCT).</w:t>
      </w:r>
    </w:p>
    <w:p>
      <w:pPr>
        <w:spacing w:after="0" w:line="166" w:lineRule="exact"/>
        <w:rPr>
          <w:sz w:val="20"/>
          <w:szCs w:val="20"/>
          <w:color w:val="auto"/>
        </w:rPr>
      </w:pPr>
    </w:p>
    <w:p>
      <w:pPr>
        <w:ind w:left="420" w:right="240" w:firstLine="521"/>
        <w:spacing w:after="0" w:line="247" w:lineRule="auto"/>
        <w:rPr>
          <w:sz w:val="20"/>
          <w:szCs w:val="20"/>
          <w:color w:val="auto"/>
        </w:rPr>
      </w:pPr>
      <w:r>
        <w:rPr>
          <w:rFonts w:ascii="Arial" w:cs="Arial" w:eastAsia="Arial" w:hAnsi="Arial"/>
          <w:sz w:val="17"/>
          <w:szCs w:val="17"/>
          <w:color w:val="auto"/>
        </w:rPr>
        <w:t>We continually assess and refine our intellectual property strategy as we discover and validate new ecDNA targets, develop new ecDTx product candidates, and make improvements to our Spyglass platform and our ecDNA diagnostic test. To that end, we are prepared to file additional patent applications as appropriate to support our intellectual property strategy, or where we seek to adapt to competition or seize business opportunities.</w:t>
      </w:r>
    </w:p>
    <w:p>
      <w:pPr>
        <w:spacing w:after="0" w:line="166" w:lineRule="exact"/>
        <w:rPr>
          <w:sz w:val="20"/>
          <w:szCs w:val="20"/>
          <w:color w:val="auto"/>
        </w:rPr>
      </w:pPr>
    </w:p>
    <w:p>
      <w:pPr>
        <w:ind w:left="420" w:right="100" w:firstLine="521"/>
        <w:spacing w:after="0" w:line="247" w:lineRule="auto"/>
        <w:rPr>
          <w:sz w:val="20"/>
          <w:szCs w:val="20"/>
          <w:color w:val="auto"/>
        </w:rPr>
      </w:pPr>
      <w:r>
        <w:rPr>
          <w:rFonts w:ascii="Arial" w:cs="Arial" w:eastAsia="Arial" w:hAnsi="Arial"/>
          <w:sz w:val="17"/>
          <w:szCs w:val="17"/>
          <w:color w:val="auto"/>
        </w:rPr>
        <w:t>We cannot be sure that patents will be granted with respect to any of our pending patent applications or with respect to any patent applications we may own or license in the future, nor can we be sure that any patents we may own or license in the future will be useful in protecting our technology. Please see “Risk Factors—Risks Related to Our Intellectual Property” for additional information on the risks associated with our intellectual property strategy and portfolio.</w:t>
      </w:r>
    </w:p>
    <w:p>
      <w:pPr>
        <w:spacing w:after="0" w:line="26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Intellectual Property Relating to Our CHK1 Program</w:t>
      </w:r>
    </w:p>
    <w:p>
      <w:pPr>
        <w:spacing w:after="0" w:line="98" w:lineRule="exact"/>
        <w:rPr>
          <w:sz w:val="20"/>
          <w:szCs w:val="20"/>
          <w:color w:val="auto"/>
        </w:rPr>
      </w:pPr>
    </w:p>
    <w:p>
      <w:pPr>
        <w:ind w:left="420" w:right="220" w:firstLine="521"/>
        <w:spacing w:after="0" w:line="242" w:lineRule="auto"/>
        <w:rPr>
          <w:sz w:val="20"/>
          <w:szCs w:val="20"/>
          <w:color w:val="auto"/>
        </w:rPr>
      </w:pPr>
      <w:r>
        <w:rPr>
          <w:rFonts w:ascii="Arial" w:cs="Arial" w:eastAsia="Arial" w:hAnsi="Arial"/>
          <w:sz w:val="17"/>
          <w:szCs w:val="17"/>
          <w:color w:val="auto"/>
        </w:rPr>
        <w:t>With regard to our CHK1 program including our BBI-355 and BBI-098 product candidates, as of February 23, 2024, we owned 10 patent families (including 2 of which also cover our RNR program), including 5 pending US provisional patent applications, 4 pending US non-provisional patent applications, 2 issued US patents, pending applications in Australia, Brazil, Canada, China, Eurasia, Europe, India, Israel, Japan, Korea, Mexico, Singapore, South Africa and Taiwan, as well as 3 pending applications filed pursuant to the Patent Cooperation Treaty (PCT). These patent rights relate to compositions of matter, as well as methods of treating diseases using CHK1 inhibitors. We expect</w:t>
      </w:r>
    </w:p>
    <w:p>
      <w:pPr>
        <w:spacing w:after="0" w:line="10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150</w:t>
      </w:r>
    </w:p>
    <w:p>
      <w:pPr>
        <w:sectPr>
          <w:pgSz w:w="11900" w:h="16838" w:orient="portrait"/>
          <w:cols w:equalWidth="0" w:num="1">
            <w:col w:w="10840"/>
          </w:cols>
          <w:pgMar w:left="320" w:top="439" w:right="7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40"/>
        <w:spacing w:after="0" w:line="270" w:lineRule="auto"/>
        <w:rPr>
          <w:sz w:val="20"/>
          <w:szCs w:val="20"/>
          <w:color w:val="auto"/>
        </w:rPr>
      </w:pPr>
      <w:r>
        <w:rPr>
          <w:rFonts w:ascii="Arial" w:cs="Arial" w:eastAsia="Arial" w:hAnsi="Arial"/>
          <w:sz w:val="17"/>
          <w:szCs w:val="17"/>
          <w:color w:val="auto"/>
        </w:rPr>
        <w:t>these patents and patents issued from these applications, if any, to expire in 2041-2044 without accounting for any patent term adjustment or extension that may be available.</w:t>
      </w:r>
    </w:p>
    <w:p>
      <w:pPr>
        <w:spacing w:after="0" w:line="25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Intellectual Property Relating to Our RNR Program</w:t>
      </w:r>
    </w:p>
    <w:p>
      <w:pPr>
        <w:spacing w:after="0" w:line="98" w:lineRule="exact"/>
        <w:rPr>
          <w:sz w:val="20"/>
          <w:szCs w:val="20"/>
          <w:color w:val="auto"/>
        </w:rPr>
      </w:pPr>
    </w:p>
    <w:p>
      <w:pPr>
        <w:ind w:left="420" w:right="120" w:firstLine="521"/>
        <w:spacing w:after="0" w:line="242" w:lineRule="auto"/>
        <w:rPr>
          <w:sz w:val="20"/>
          <w:szCs w:val="20"/>
          <w:color w:val="auto"/>
        </w:rPr>
      </w:pPr>
      <w:r>
        <w:rPr>
          <w:rFonts w:ascii="Arial" w:cs="Arial" w:eastAsia="Arial" w:hAnsi="Arial"/>
          <w:sz w:val="17"/>
          <w:szCs w:val="17"/>
          <w:color w:val="auto"/>
        </w:rPr>
        <w:t>With regard to our RNR program, as of February 23, 2024, we owned 8 families (including 2 of which also cover our CHK1 program), including 2 pending US provisional patent applications, 4 pending US non-provisional patent applications, pending applications in Australia, Brazil, Canada, China, Europe, Japan, Korea, Mexico, and Taiwan, as well as 3 pending applications filed pursuant to the Patent Cooperation Treaty (PCT). These patent rights relate to the compositions of matter, as well as methods of treating diseases using RNR inhibitors. We expect patents issued from these applications, if any, to expire in 2041-2044 without accounting for any patent term adjustment or extension that may be available.</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Intellectual Property Relating to Our Precision Medicine Program</w:t>
      </w:r>
    </w:p>
    <w:p>
      <w:pPr>
        <w:spacing w:after="0" w:line="98" w:lineRule="exact"/>
        <w:rPr>
          <w:sz w:val="20"/>
          <w:szCs w:val="20"/>
          <w:color w:val="auto"/>
        </w:rPr>
      </w:pPr>
    </w:p>
    <w:p>
      <w:pPr>
        <w:ind w:left="420" w:right="60" w:firstLine="521"/>
        <w:spacing w:after="0" w:line="242" w:lineRule="auto"/>
        <w:rPr>
          <w:sz w:val="20"/>
          <w:szCs w:val="20"/>
          <w:color w:val="auto"/>
        </w:rPr>
      </w:pPr>
      <w:r>
        <w:rPr>
          <w:rFonts w:ascii="Arial" w:cs="Arial" w:eastAsia="Arial" w:hAnsi="Arial"/>
          <w:sz w:val="17"/>
          <w:szCs w:val="17"/>
          <w:color w:val="auto"/>
        </w:rPr>
        <w:t>With regard to our precision medicine program, we have developed a proprietary ecDNA diagnostic to detect ecDNA based on the data outputs from NGS tests routinely used to profile patient tumor samples. As of February 23, 2024, we owned 1 patent family related to methods of detecting ecDNA signatures in cancers that is currently pending in the US, China, Europe, and Japan. Additionally, we own 1 pending US provisional patent application related to our ecDNA diagnostic. We expect patents issued from these applications, if any, to expire in 2041-2044 without accounting for any patent term adjustment or extension that may be available. We also protect the intellectual property related to ecDNA detection as a trade secret.</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Scope and Duration of Intellectual Property Protection</w:t>
      </w:r>
    </w:p>
    <w:p>
      <w:pPr>
        <w:spacing w:after="0" w:line="98" w:lineRule="exact"/>
        <w:rPr>
          <w:sz w:val="20"/>
          <w:szCs w:val="20"/>
          <w:color w:val="auto"/>
        </w:rPr>
      </w:pPr>
    </w:p>
    <w:p>
      <w:pPr>
        <w:ind w:left="420" w:firstLine="521"/>
        <w:spacing w:after="0" w:line="238" w:lineRule="auto"/>
        <w:rPr>
          <w:sz w:val="20"/>
          <w:szCs w:val="20"/>
          <w:color w:val="auto"/>
        </w:rPr>
      </w:pPr>
      <w:r>
        <w:rPr>
          <w:rFonts w:ascii="Arial" w:cs="Arial" w:eastAsia="Arial" w:hAnsi="Arial"/>
          <w:sz w:val="17"/>
          <w:szCs w:val="17"/>
          <w:color w:val="auto"/>
        </w:rPr>
        <w:t>The term of individual patents depends upon the laws of the countries in which they are obtained. In most countries in which we file, the patent term is 20 years from the earliest date of filing of a non-provisional patent application.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Under certain circumstances, the term of US patents may be adjusted for delays encountered during prosecution that are caused by the USPTO. Additionally, the term of a patent as it specifically relates to an FDA regulated product may be extended. For example, for drugs that are regulated by the FDA under the Hatch-Waxman Act, the FDA is permitted to extend the exclusivity term that covers such drug for up to five years beyond the normal expiration date of the patent, depending on the timing of the issuance of the patent, the IND filing, the NDA filing and the approval date, and provided that the term of the patent does not extend beyond 14 years from the NDA approval date. In the future, if and when our product candidates receive FDA approval, we expect to apply for patent term extensions on patents covering those product candidates. We intend to seek patent term extensions to any of our issued patents in jurisdictions where these are available; however, there is no guarantee that the applicable authorities, including the USPTO and FDA, will agree with our assessment of whether such extensions should be granted, and even if granted, the length of such extensions.</w:t>
      </w:r>
    </w:p>
    <w:p>
      <w:pPr>
        <w:spacing w:after="0" w:line="176" w:lineRule="exact"/>
        <w:rPr>
          <w:sz w:val="20"/>
          <w:szCs w:val="20"/>
          <w:color w:val="auto"/>
        </w:rPr>
      </w:pPr>
    </w:p>
    <w:p>
      <w:pPr>
        <w:ind w:left="420" w:right="80" w:firstLine="521"/>
        <w:spacing w:after="0" w:line="244" w:lineRule="auto"/>
        <w:rPr>
          <w:sz w:val="20"/>
          <w:szCs w:val="20"/>
          <w:color w:val="auto"/>
        </w:rPr>
      </w:pPr>
      <w:r>
        <w:rPr>
          <w:rFonts w:ascii="Arial" w:cs="Arial" w:eastAsia="Arial" w:hAnsi="Arial"/>
          <w:sz w:val="17"/>
          <w:szCs w:val="17"/>
          <w:color w:val="auto"/>
        </w:rPr>
        <w:t>The patent positions of companies like ours are generally uncertain and involve complex legal and factual questions. No consistent policy regarding the scope of claims allowable in patents in the field of oncology therapy has emerged in the US. The patent situation outside of the US is even more uncertain. Changes in the patent laws and rules, either by legislation, judicial decisions, or regulatory interpretation in the US and other countries may diminish our ability to protect our inventions and enforce our intellectual property rights, and more generally could affect the value of our intellectual</w:t>
      </w:r>
    </w:p>
    <w:p>
      <w:pPr>
        <w:spacing w:after="0" w:line="105"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151</w:t>
      </w:r>
    </w:p>
    <w:p>
      <w:pPr>
        <w:sectPr>
          <w:pgSz w:w="11900" w:h="16838" w:orient="portrait"/>
          <w:cols w:equalWidth="0" w:num="1">
            <w:col w:w="10840"/>
          </w:cols>
          <w:pgMar w:left="320" w:top="439" w:right="7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60"/>
        <w:spacing w:after="0" w:line="242" w:lineRule="auto"/>
        <w:rPr>
          <w:sz w:val="20"/>
          <w:szCs w:val="20"/>
          <w:color w:val="auto"/>
        </w:rPr>
      </w:pPr>
      <w:r>
        <w:rPr>
          <w:rFonts w:ascii="Arial" w:cs="Arial" w:eastAsia="Arial" w:hAnsi="Arial"/>
          <w:sz w:val="17"/>
          <w:szCs w:val="17"/>
          <w:color w:val="auto"/>
        </w:rPr>
        <w:t>property. In particular,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We cannot be sure that patents will be granted with respect to any of our pending patent applications or with respect to any patent applications filed by us in the future, nor can we be sure that any of our patents that may be granted to us in the future will be commercially useful in protecting our product candidates and the methods used to manufacture them.</w:t>
      </w:r>
    </w:p>
    <w:p>
      <w:pPr>
        <w:spacing w:after="0" w:line="172" w:lineRule="exact"/>
        <w:rPr>
          <w:sz w:val="20"/>
          <w:szCs w:val="20"/>
          <w:color w:val="auto"/>
        </w:rPr>
      </w:pPr>
    </w:p>
    <w:p>
      <w:pPr>
        <w:ind w:left="420" w:firstLine="521"/>
        <w:spacing w:after="0" w:line="238" w:lineRule="auto"/>
        <w:rPr>
          <w:sz w:val="20"/>
          <w:szCs w:val="20"/>
          <w:color w:val="auto"/>
        </w:rPr>
      </w:pPr>
      <w:r>
        <w:rPr>
          <w:rFonts w:ascii="Arial" w:cs="Arial" w:eastAsia="Arial" w:hAnsi="Arial"/>
          <w:sz w:val="17"/>
          <w:szCs w:val="17"/>
          <w:color w:val="auto"/>
        </w:rPr>
        <w:t>The area of patent and other intellectual property rights in the biopharmaceutical industry is an evolving one with many risks and uncertainties, and third parties may have blocking patents that could be used to prevent us from commercializing our product candidates and practicing our proprietary technology. Our patents that may issue in the future may be challenged, narrowed, circumvented, or invalidated, which could limit our ability to stop competitors from marketing related product candidates. In addition, our competitors may independently develop similar technologies and the rights granted under any issued patents may not provide us with protection or competitive advantages against competitors with similar technology. For these and other reasons, we may have competition for our product candidates. Moreover, because of the extensive time required for development, testing, and regulatory review of a potential product, it is possible that before any product candidate can be commercialized, any related patent may expire or remain in force for only a short period following commercialization, thereby reducing any protection afforded by the patent. For this and other risks related to our proprietary technology, inventions, improvements, and product candidates, please see the section titled “Risk Factors—Risks Related to Our Intellectual Property.”</w:t>
      </w:r>
    </w:p>
    <w:p>
      <w:pPr>
        <w:spacing w:after="0" w:line="180" w:lineRule="exact"/>
        <w:rPr>
          <w:sz w:val="20"/>
          <w:szCs w:val="20"/>
          <w:color w:val="auto"/>
        </w:rPr>
      </w:pPr>
    </w:p>
    <w:p>
      <w:pPr>
        <w:ind w:left="420" w:right="20" w:firstLine="521"/>
        <w:spacing w:after="0" w:line="237" w:lineRule="auto"/>
        <w:rPr>
          <w:sz w:val="20"/>
          <w:szCs w:val="20"/>
          <w:color w:val="auto"/>
        </w:rPr>
      </w:pPr>
      <w:r>
        <w:rPr>
          <w:rFonts w:ascii="Arial" w:cs="Arial" w:eastAsia="Arial" w:hAnsi="Arial"/>
          <w:sz w:val="17"/>
          <w:szCs w:val="17"/>
          <w:color w:val="auto"/>
        </w:rPr>
        <w:t>We also rely on trade secret protection for our confidential and proprietary information. Although we take steps to protect our confidential and proprietary information as trade secrets, including through contractual means with our employees, consultants, outside scientific collaborators, sponsored researchers, and other advisors, third parties may independently develop substantially equivalent proprietary information and techniques or otherwise gain access to our trade secrets or disclose our technology. Thus, we may not be able to meaningfully protect our technology as trade secrets. It is our policy to require our employees, consultants, outside scientific collaborators, sponsored researchers, and other advisors to execute confidentiality agreements under the commencement of employment or consulting relationships with us. These agreements provide that all confidential information concerning our business or financial affairs developed or made known to the individual during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many cases our agreements with consultants, outside scientific collaborators, sponsored researchers, and other advisors require them to assign or grant us licenses to inventions they invent as a result of the work or services they render under such agreements or grant us an option to negotiate a license to use such inventions. Despite these efforts, we cannot provide any assurances that all such agreements have been duly executed, and any of these parties may breach the agreements and disclose our proprietary information, and we may not be able to obtain adequate remedies for such breaches.</w:t>
      </w:r>
    </w:p>
    <w:p>
      <w:pPr>
        <w:spacing w:after="0" w:line="182" w:lineRule="exact"/>
        <w:rPr>
          <w:sz w:val="20"/>
          <w:szCs w:val="20"/>
          <w:color w:val="auto"/>
        </w:rPr>
      </w:pPr>
    </w:p>
    <w:p>
      <w:pPr>
        <w:ind w:left="420" w:firstLine="521"/>
        <w:spacing w:after="0" w:line="244" w:lineRule="auto"/>
        <w:rPr>
          <w:sz w:val="20"/>
          <w:szCs w:val="20"/>
          <w:color w:val="auto"/>
        </w:rPr>
      </w:pPr>
      <w:r>
        <w:rPr>
          <w:rFonts w:ascii="Arial" w:cs="Arial" w:eastAsia="Arial" w:hAnsi="Arial"/>
          <w:sz w:val="17"/>
          <w:szCs w:val="17"/>
          <w:color w:val="auto"/>
        </w:rPr>
        <w:t>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To the extent that our employees, contractors, consultants, collaborators, and advisors use intellectual property owned by others in their work for us, disputes may arise as to the rights in relation to the resulting know-how or inventions.</w:t>
      </w:r>
    </w:p>
    <w:p>
      <w:pPr>
        <w:spacing w:after="0" w:line="105"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152</w:t>
      </w:r>
    </w:p>
    <w:p>
      <w:pPr>
        <w:sectPr>
          <w:pgSz w:w="11900" w:h="16838" w:orient="portrait"/>
          <w:cols w:equalWidth="0" w:num="1">
            <w:col w:w="10840"/>
          </w:cols>
          <w:pgMar w:left="320" w:top="439" w:right="7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300" w:firstLine="521"/>
        <w:spacing w:after="0" w:line="242" w:lineRule="auto"/>
        <w:rPr>
          <w:sz w:val="20"/>
          <w:szCs w:val="20"/>
          <w:color w:val="auto"/>
        </w:rPr>
      </w:pPr>
      <w:r>
        <w:rPr>
          <w:rFonts w:ascii="Arial" w:cs="Arial" w:eastAsia="Arial" w:hAnsi="Arial"/>
          <w:sz w:val="17"/>
          <w:szCs w:val="17"/>
          <w:color w:val="auto"/>
        </w:rPr>
        <w:t>We seek trademark protection in the United States and in certain other jurisdictions where available and when we deem appropriate. We currently have registrations for our “Boundless Bio” mark in the United States as well as in certain foreign jurisdictions, including the European Union. We have registrations for our “UNBOUND BY CONVENTION, BOUND TO SAVE LIVES” mark in the United States. We have also filed a trademark application in the United States for registration of our “ECHO” mark, and we have registrations for our “ECHO” mark in certain foreign jurisdictions, including the European Union. For more information, please see the section titled “Risk Factors—Risks Related to Our Intellectual Property.”</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Manufacturing</w:t>
      </w:r>
    </w:p>
    <w:p>
      <w:pPr>
        <w:spacing w:after="0" w:line="98" w:lineRule="exact"/>
        <w:rPr>
          <w:sz w:val="20"/>
          <w:szCs w:val="20"/>
          <w:color w:val="auto"/>
        </w:rPr>
      </w:pPr>
    </w:p>
    <w:p>
      <w:pPr>
        <w:ind w:left="420" w:firstLine="521"/>
        <w:spacing w:after="0"/>
        <w:rPr>
          <w:sz w:val="20"/>
          <w:szCs w:val="20"/>
          <w:color w:val="auto"/>
        </w:rPr>
      </w:pPr>
      <w:r>
        <w:rPr>
          <w:rFonts w:ascii="Arial" w:cs="Arial" w:eastAsia="Arial" w:hAnsi="Arial"/>
          <w:sz w:val="17"/>
          <w:szCs w:val="17"/>
          <w:color w:val="auto"/>
        </w:rPr>
        <w:t>We do not own or operate, and currently have no plans to establish, any manufacturing facilities. We rely, and expect to continue to rely, on third parties for the manufacture of our ecDTx for preclinical and clinical testing, as well as for commercial manufacture if any of our ecDTx obtain marketing approval. We work with our current manufacturers to ensure that we will be able to scale up our manufacturing capabilities to support our clinical plans. We also plan to continue to evaluate additional manufacturers to build redundancies into our supply chain. In addition, we rely on third parties to package, label, store, and distribute our ecDTx, and we intend to rely on third parties for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design and development of our ecDTx.</w:t>
      </w:r>
    </w:p>
    <w:p>
      <w:pPr>
        <w:spacing w:after="0" w:line="276"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Commercialization</w:t>
      </w:r>
    </w:p>
    <w:p>
      <w:pPr>
        <w:spacing w:after="0" w:line="98" w:lineRule="exact"/>
        <w:rPr>
          <w:sz w:val="20"/>
          <w:szCs w:val="20"/>
          <w:color w:val="auto"/>
        </w:rPr>
      </w:pPr>
    </w:p>
    <w:p>
      <w:pPr>
        <w:ind w:left="420" w:right="40" w:firstLine="521"/>
        <w:spacing w:after="0" w:line="244" w:lineRule="auto"/>
        <w:rPr>
          <w:sz w:val="20"/>
          <w:szCs w:val="20"/>
          <w:color w:val="auto"/>
        </w:rPr>
      </w:pPr>
      <w:r>
        <w:rPr>
          <w:rFonts w:ascii="Arial" w:cs="Arial" w:eastAsia="Arial" w:hAnsi="Arial"/>
          <w:sz w:val="17"/>
          <w:szCs w:val="17"/>
          <w:color w:val="auto"/>
        </w:rPr>
        <w:t>We intend to retain significant development and commercial rights to our ecDTx and, if marketing approval is obtained, to commercialize our ecDTx on our own, or potentially with a partner, in the United States and other regions. We currently have no sales, marketing, or commercial product distribution capabilities. We intend to build the necessary infrastructure and capabilities over time for the United States, and potentially other regions, following further advancement of our ecDTx. Clinical data, the size of the addressable patient population, the size of the commercial infrastructure, and manufacturing needs may all influence or alter our commercialization plans.</w:t>
      </w:r>
    </w:p>
    <w:p>
      <w:pPr>
        <w:spacing w:after="0" w:line="271"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Government Regulation</w:t>
      </w:r>
    </w:p>
    <w:p>
      <w:pPr>
        <w:spacing w:after="0" w:line="98" w:lineRule="exact"/>
        <w:rPr>
          <w:sz w:val="20"/>
          <w:szCs w:val="20"/>
          <w:color w:val="auto"/>
        </w:rPr>
      </w:pPr>
    </w:p>
    <w:p>
      <w:pPr>
        <w:ind w:left="420" w:right="200" w:firstLine="521"/>
        <w:spacing w:after="0" w:line="247" w:lineRule="auto"/>
        <w:rPr>
          <w:sz w:val="20"/>
          <w:szCs w:val="20"/>
          <w:color w:val="auto"/>
        </w:rPr>
      </w:pPr>
      <w:r>
        <w:rPr>
          <w:rFonts w:ascii="Arial" w:cs="Arial" w:eastAsia="Arial" w:hAnsi="Arial"/>
          <w:sz w:val="17"/>
          <w:szCs w:val="17"/>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products such as those we are developing. A new drug must be approved by the FDA through the New Drug Application (NDA) process before it may be legally marketed in the United States.</w:t>
      </w:r>
    </w:p>
    <w:p>
      <w:pPr>
        <w:spacing w:after="0" w:line="26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U.S. Drug Development Process</w:t>
      </w:r>
    </w:p>
    <w:p>
      <w:pPr>
        <w:spacing w:after="0" w:line="98" w:lineRule="exact"/>
        <w:rPr>
          <w:sz w:val="20"/>
          <w:szCs w:val="20"/>
          <w:color w:val="auto"/>
        </w:rPr>
      </w:pPr>
    </w:p>
    <w:p>
      <w:pPr>
        <w:ind w:left="420" w:right="320" w:firstLine="521"/>
        <w:spacing w:after="0" w:line="247" w:lineRule="auto"/>
        <w:rPr>
          <w:sz w:val="20"/>
          <w:szCs w:val="20"/>
          <w:color w:val="auto"/>
        </w:rPr>
      </w:pPr>
      <w:r>
        <w:rPr>
          <w:rFonts w:ascii="Arial" w:cs="Arial" w:eastAsia="Arial" w:hAnsi="Arial"/>
          <w:sz w:val="17"/>
          <w:szCs w:val="17"/>
          <w:color w:val="auto"/>
        </w:rPr>
        <w:t>In the United States, the FDA regulates drugs under the federal Food, Drug, and Cosmetic Act (FDCA) and its implementing regulations. The process of obtaining regulatory approvals and the subsequent compliance with appropriate federal, state and local statutes and regulations require the expenditure of substantial time and financial resources. The process required by the FDA before a drug may be marketed in the United States generally involves the following:</w:t>
      </w:r>
    </w:p>
    <w:p>
      <w:pPr>
        <w:spacing w:after="0" w:line="77" w:lineRule="exact"/>
        <w:rPr>
          <w:sz w:val="20"/>
          <w:szCs w:val="20"/>
          <w:color w:val="auto"/>
        </w:rPr>
      </w:pPr>
    </w:p>
    <w:p>
      <w:pPr>
        <w:ind w:left="1660" w:right="340" w:hanging="418"/>
        <w:spacing w:after="0" w:line="270" w:lineRule="auto"/>
        <w:tabs>
          <w:tab w:leader="none" w:pos="1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completion of certain preclinical laboratory tests, animal studies and formulation studies in accordance with GLPs and other applicable regulations;</w:t>
      </w:r>
    </w:p>
    <w:p>
      <w:pPr>
        <w:spacing w:after="0" w:line="8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153</w:t>
      </w:r>
    </w:p>
    <w:p>
      <w:pPr>
        <w:sectPr>
          <w:pgSz w:w="11900" w:h="16838" w:orient="portrait"/>
          <w:cols w:equalWidth="0" w:num="1">
            <w:col w:w="10840"/>
          </w:cols>
          <w:pgMar w:left="320" w:top="439" w:right="7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1660" w:hanging="418"/>
        <w:spacing w:after="0"/>
        <w:tabs>
          <w:tab w:leader="none" w:pos="1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submission to the FDA of an IND, which must become effective before human clinical trials may begin;</w:t>
      </w:r>
    </w:p>
    <w:p>
      <w:pPr>
        <w:spacing w:after="0" w:line="111" w:lineRule="exact"/>
        <w:rPr>
          <w:rFonts w:ascii="Arial" w:cs="Arial" w:eastAsia="Arial" w:hAnsi="Arial"/>
          <w:sz w:val="17"/>
          <w:szCs w:val="17"/>
          <w:color w:val="auto"/>
        </w:rPr>
      </w:pPr>
    </w:p>
    <w:p>
      <w:pPr>
        <w:ind w:left="1660" w:right="80" w:hanging="418"/>
        <w:spacing w:after="0" w:line="270" w:lineRule="auto"/>
        <w:tabs>
          <w:tab w:leader="none" w:pos="1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(IRB) or ethics committee at each clinical site before each trial may be initiated;</w:t>
      </w:r>
    </w:p>
    <w:p>
      <w:pPr>
        <w:spacing w:after="0" w:line="58" w:lineRule="exact"/>
        <w:rPr>
          <w:rFonts w:ascii="Arial" w:cs="Arial" w:eastAsia="Arial" w:hAnsi="Arial"/>
          <w:sz w:val="17"/>
          <w:szCs w:val="17"/>
          <w:color w:val="auto"/>
        </w:rPr>
      </w:pPr>
    </w:p>
    <w:p>
      <w:pPr>
        <w:ind w:left="1660" w:right="220" w:hanging="418"/>
        <w:spacing w:after="0" w:line="270" w:lineRule="auto"/>
        <w:tabs>
          <w:tab w:leader="none" w:pos="1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in accordance with Good Clinical Practice regulations (GCPs) to evaluate the safety and efficacy of the product candidate for its intended use;</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submission to the FDA of an NDA after completion of all pivotal trials;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satisfactory completion of an FDA advisory committee review, if applicable;</w:t>
      </w:r>
    </w:p>
    <w:p>
      <w:pPr>
        <w:spacing w:after="0" w:line="111" w:lineRule="exact"/>
        <w:rPr>
          <w:rFonts w:ascii="Arial" w:cs="Arial" w:eastAsia="Arial" w:hAnsi="Arial"/>
          <w:sz w:val="17"/>
          <w:szCs w:val="17"/>
          <w:color w:val="auto"/>
        </w:rPr>
      </w:pPr>
    </w:p>
    <w:p>
      <w:pPr>
        <w:ind w:left="1660" w:right="40" w:hanging="418"/>
        <w:spacing w:after="0" w:line="252" w:lineRule="auto"/>
        <w:tabs>
          <w:tab w:leader="none" w:pos="1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satisfactory completion of an FDA inspection of the manufacturing facility or facilities at which the drug is produced to assess compliance with current Good Manufacturing Practice requirements (cGMPs) to assure that the facilities, methods and controls are adequate to preserve the drug’s identity, strength, quality and purity;</w:t>
      </w:r>
    </w:p>
    <w:p>
      <w:pPr>
        <w:spacing w:after="0" w:line="74" w:lineRule="exact"/>
        <w:rPr>
          <w:rFonts w:ascii="Arial" w:cs="Arial" w:eastAsia="Arial" w:hAnsi="Arial"/>
          <w:sz w:val="17"/>
          <w:szCs w:val="17"/>
          <w:color w:val="auto"/>
        </w:rPr>
      </w:pPr>
    </w:p>
    <w:p>
      <w:pPr>
        <w:ind w:left="1660" w:hanging="418"/>
        <w:spacing w:after="0"/>
        <w:tabs>
          <w:tab w:leader="none" w:pos="1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satisfactory completion of potential inspection of selected clinical investigation sites to assess compliance with GCPs; and</w:t>
      </w:r>
    </w:p>
    <w:p>
      <w:pPr>
        <w:spacing w:after="0" w:line="111" w:lineRule="exact"/>
        <w:rPr>
          <w:rFonts w:ascii="Arial" w:cs="Arial" w:eastAsia="Arial" w:hAnsi="Arial"/>
          <w:sz w:val="17"/>
          <w:szCs w:val="17"/>
          <w:color w:val="auto"/>
        </w:rPr>
      </w:pPr>
    </w:p>
    <w:p>
      <w:pPr>
        <w:ind w:left="1660" w:hanging="418"/>
        <w:spacing w:after="0" w:line="270" w:lineRule="auto"/>
        <w:tabs>
          <w:tab w:leader="none" w:pos="1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FDA review and approval of the NDA to permit commercial marketing of the product for particular indications for use in the United States.</w:t>
      </w:r>
    </w:p>
    <w:p>
      <w:pPr>
        <w:spacing w:after="0" w:line="148" w:lineRule="exact"/>
        <w:rPr>
          <w:sz w:val="20"/>
          <w:szCs w:val="20"/>
          <w:color w:val="auto"/>
        </w:rPr>
      </w:pPr>
    </w:p>
    <w:p>
      <w:pPr>
        <w:ind w:left="420" w:right="20" w:firstLine="521"/>
        <w:spacing w:after="0" w:line="238" w:lineRule="auto"/>
        <w:rPr>
          <w:sz w:val="20"/>
          <w:szCs w:val="20"/>
          <w:color w:val="auto"/>
        </w:rPr>
      </w:pPr>
      <w:r>
        <w:rPr>
          <w:rFonts w:ascii="Arial" w:cs="Arial" w:eastAsia="Arial" w:hAnsi="Arial"/>
          <w:sz w:val="17"/>
          <w:szCs w:val="17"/>
          <w:color w:val="auto"/>
        </w:rPr>
        <w:t>Once a product candidate is identified for development, it enters the preclinical testing stage. Preclinical tests include laboratory evaluations of product chemistry, toxicity and formulation, as well as animal studies. An IND sponsor must submit the results of the preclinical tests, together with manufacturing information and analytical data, to the FDA as part of an IND. An IND is a request for allowance from the FDA to administer an investigational drug product to humans. An IND will also include a protocol detailing, among other things, the objectives of the clinical trial, the parameters to be used in monitoring safety, and the effectiveness criteria to be evaluated, if the trial includes an efficacy evaluation. Some preclinical testing may continue even after the IND is submitted. The IND automatically becomes effective 30 days after receipt by the FDA, unless the FDA, within the 30-day time period, places the clinical trial on a clinical hold. In such a case, the IND sponsor and the FDA must resolve any outstanding concerns before the clinical trial can begin. Clinical holds also may be imposed by the FDA at any time before or during clinical trials due to safety concerns about ongoing or proposed clinical trials or non -compliance with specific FDA requirements, and in such case, the trials may not begin or continue until the FDA notifies the sponsor that the hold has been lifted.</w:t>
      </w:r>
    </w:p>
    <w:p>
      <w:pPr>
        <w:spacing w:after="0" w:line="180" w:lineRule="exact"/>
        <w:rPr>
          <w:sz w:val="20"/>
          <w:szCs w:val="20"/>
          <w:color w:val="auto"/>
        </w:rPr>
      </w:pPr>
    </w:p>
    <w:p>
      <w:pPr>
        <w:ind w:left="420" w:right="20" w:firstLine="521"/>
        <w:spacing w:after="0" w:line="238" w:lineRule="auto"/>
        <w:rPr>
          <w:sz w:val="20"/>
          <w:szCs w:val="20"/>
          <w:color w:val="auto"/>
        </w:rPr>
      </w:pPr>
      <w:r>
        <w:rPr>
          <w:rFonts w:ascii="Arial" w:cs="Arial" w:eastAsia="Arial" w:hAnsi="Arial"/>
          <w:sz w:val="17"/>
          <w:szCs w:val="17"/>
          <w:color w:val="auto"/>
        </w:rPr>
        <w:t>All clinical trials must be conducted under the supervision of one or more qualified investigators in accordance with GCPs, which include, among other things, the requirement that all research subjects provide their informed consent in writing for their participation in any clinical trial. Clinical trials must be conducted under protocols detailing the objectives of the trial, dosing procedures, subject selection and exclusion criteria and the safety and effectiveness criteria to be evaluated. Each protocol must be submitted to the FDA as part of the IND, and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180" w:lineRule="exact"/>
        <w:rPr>
          <w:sz w:val="20"/>
          <w:szCs w:val="20"/>
          <w:color w:val="auto"/>
        </w:rPr>
      </w:pPr>
    </w:p>
    <w:p>
      <w:pPr>
        <w:ind w:left="420" w:right="140" w:firstLine="521"/>
        <w:spacing w:after="0" w:line="270" w:lineRule="auto"/>
        <w:rPr>
          <w:sz w:val="20"/>
          <w:szCs w:val="20"/>
          <w:color w:val="auto"/>
        </w:rPr>
      </w:pPr>
      <w:r>
        <w:rPr>
          <w:rFonts w:ascii="Arial" w:cs="Arial" w:eastAsia="Arial" w:hAnsi="Arial"/>
          <w:sz w:val="17"/>
          <w:szCs w:val="17"/>
          <w:color w:val="auto"/>
        </w:rPr>
        <w:t>Furthermore, an independent IRB at each institution participating in the clinical trial must review and approve each protocol before a clinical trial commences at that institution and must also approve</w:t>
      </w:r>
    </w:p>
    <w:p>
      <w:pPr>
        <w:spacing w:after="0" w:line="8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0840"/>
          </w:cols>
          <w:pgMar w:left="320" w:top="439" w:right="7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100"/>
        <w:spacing w:after="0" w:line="239" w:lineRule="auto"/>
        <w:rPr>
          <w:sz w:val="20"/>
          <w:szCs w:val="20"/>
          <w:color w:val="auto"/>
        </w:rPr>
      </w:pPr>
      <w:r>
        <w:rPr>
          <w:rFonts w:ascii="Arial" w:cs="Arial" w:eastAsia="Arial" w:hAnsi="Arial"/>
          <w:sz w:val="17"/>
          <w:szCs w:val="17"/>
          <w:color w:val="auto"/>
        </w:rPr>
        <w:t>the information regarding the trial and the consent form that must be provided to each trial subject or his or her legal representative, monitor the trial until completed and otherwise comply with IRB regulations.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 There are also requirements governing the reporting of ongoing clinical studies and clinical trial results to public registries, including clinicaltrials.gov.</w:t>
      </w:r>
    </w:p>
    <w:p>
      <w:pPr>
        <w:spacing w:after="0" w:line="177" w:lineRule="exact"/>
        <w:rPr>
          <w:sz w:val="20"/>
          <w:szCs w:val="20"/>
          <w:color w:val="auto"/>
        </w:rPr>
      </w:pPr>
    </w:p>
    <w:p>
      <w:pPr>
        <w:ind w:left="940"/>
        <w:spacing w:after="0"/>
        <w:rPr>
          <w:sz w:val="20"/>
          <w:szCs w:val="20"/>
          <w:color w:val="auto"/>
        </w:rPr>
      </w:pPr>
      <w:r>
        <w:rPr>
          <w:rFonts w:ascii="Arial" w:cs="Arial" w:eastAsia="Arial" w:hAnsi="Arial"/>
          <w:sz w:val="17"/>
          <w:szCs w:val="17"/>
          <w:color w:val="auto"/>
        </w:rPr>
        <w:t>Human clinical trials are typically conducted in three sequential phases that may overlap or be combined:</w:t>
      </w:r>
    </w:p>
    <w:p>
      <w:pPr>
        <w:spacing w:after="0" w:line="111" w:lineRule="exact"/>
        <w:rPr>
          <w:sz w:val="20"/>
          <w:szCs w:val="20"/>
          <w:color w:val="auto"/>
        </w:rPr>
      </w:pPr>
    </w:p>
    <w:p>
      <w:pPr>
        <w:jc w:val="both"/>
        <w:ind w:left="1660" w:right="200" w:hanging="418"/>
        <w:spacing w:after="0" w:line="252" w:lineRule="auto"/>
        <w:tabs>
          <w:tab w:leader="none" w:pos="1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Phase 1: The product candidate is initially introduced into healthy human subjects or patients with the target disease or condition, and tested for safety, dosage tolerance, absorption, metabolism, distribution and excretion and, if possible, to gain an early indication of its effectiveness.</w:t>
      </w:r>
    </w:p>
    <w:p>
      <w:pPr>
        <w:spacing w:after="0" w:line="74" w:lineRule="exact"/>
        <w:rPr>
          <w:rFonts w:ascii="Arial" w:cs="Arial" w:eastAsia="Arial" w:hAnsi="Arial"/>
          <w:sz w:val="17"/>
          <w:szCs w:val="17"/>
          <w:color w:val="auto"/>
        </w:rPr>
      </w:pPr>
    </w:p>
    <w:p>
      <w:pPr>
        <w:ind w:left="1660" w:hanging="418"/>
        <w:spacing w:after="0" w:line="252" w:lineRule="auto"/>
        <w:tabs>
          <w:tab w:leader="none" w:pos="1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Phase 2: The product candidate is administered to a limited patient population with a specified disease or condition to identify possible adverse effects and safety risks, to preliminarily evaluate the efficacy of the product candidate for specific targeted diseases and to determine dosage tolerance and appropriate dosage.</w:t>
      </w:r>
    </w:p>
    <w:p>
      <w:pPr>
        <w:spacing w:after="0" w:line="74" w:lineRule="exact"/>
        <w:rPr>
          <w:rFonts w:ascii="Arial" w:cs="Arial" w:eastAsia="Arial" w:hAnsi="Arial"/>
          <w:sz w:val="17"/>
          <w:szCs w:val="17"/>
          <w:color w:val="auto"/>
        </w:rPr>
      </w:pPr>
    </w:p>
    <w:p>
      <w:pPr>
        <w:ind w:left="1660" w:right="80" w:hanging="418"/>
        <w:spacing w:after="0" w:line="247" w:lineRule="auto"/>
        <w:tabs>
          <w:tab w:leader="none" w:pos="1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Phase 3: The product candidate is administered to an expanded patient population to further evaluate dosage, to provide substantial evidence of efficacy and to further test for safety, generally at multiple geographically dispersed clinical trial sites. These clinical trials are intended to establish the overall risk-benefit ratio of the product candidate and provide an adequate basis for product labeling.</w:t>
      </w:r>
    </w:p>
    <w:p>
      <w:pPr>
        <w:spacing w:after="0" w:line="166" w:lineRule="exact"/>
        <w:rPr>
          <w:sz w:val="20"/>
          <w:szCs w:val="20"/>
          <w:color w:val="auto"/>
        </w:rPr>
      </w:pPr>
    </w:p>
    <w:p>
      <w:pPr>
        <w:jc w:val="both"/>
        <w:ind w:left="420" w:right="80" w:firstLine="521"/>
        <w:spacing w:after="0" w:line="252" w:lineRule="auto"/>
        <w:rPr>
          <w:sz w:val="20"/>
          <w:szCs w:val="20"/>
          <w:color w:val="auto"/>
        </w:rPr>
      </w:pPr>
      <w:r>
        <w:rPr>
          <w:rFonts w:ascii="Arial" w:cs="Arial" w:eastAsia="Arial" w:hAnsi="Arial"/>
          <w:sz w:val="17"/>
          <w:szCs w:val="17"/>
          <w:color w:val="auto"/>
        </w:rPr>
        <w:t>Post-approval trials, sometimes referred to as Phase 4 studies,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164" w:lineRule="exact"/>
        <w:rPr>
          <w:sz w:val="20"/>
          <w:szCs w:val="20"/>
          <w:color w:val="auto"/>
        </w:rPr>
      </w:pPr>
    </w:p>
    <w:p>
      <w:pPr>
        <w:ind w:left="420" w:right="60" w:firstLine="521"/>
        <w:spacing w:after="0" w:line="242" w:lineRule="auto"/>
        <w:rPr>
          <w:sz w:val="20"/>
          <w:szCs w:val="20"/>
          <w:color w:val="auto"/>
        </w:rPr>
      </w:pPr>
      <w:r>
        <w:rPr>
          <w:rFonts w:ascii="Arial" w:cs="Arial" w:eastAsia="Arial" w:hAnsi="Arial"/>
          <w:sz w:val="17"/>
          <w:szCs w:val="17"/>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U.S. Review and Approval Process</w:t>
      </w:r>
    </w:p>
    <w:p>
      <w:pPr>
        <w:spacing w:after="0" w:line="98" w:lineRule="exact"/>
        <w:rPr>
          <w:sz w:val="20"/>
          <w:szCs w:val="20"/>
          <w:color w:val="auto"/>
        </w:rPr>
      </w:pPr>
    </w:p>
    <w:p>
      <w:pPr>
        <w:ind w:left="420" w:right="160" w:firstLine="521"/>
        <w:spacing w:after="0" w:line="247" w:lineRule="auto"/>
        <w:rPr>
          <w:sz w:val="20"/>
          <w:szCs w:val="20"/>
          <w:color w:val="auto"/>
        </w:rPr>
      </w:pPr>
      <w:r>
        <w:rPr>
          <w:rFonts w:ascii="Arial" w:cs="Arial" w:eastAsia="Arial" w:hAnsi="Arial"/>
          <w:sz w:val="17"/>
          <w:szCs w:val="17"/>
          <w:color w:val="auto"/>
        </w:rPr>
        <w:t>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155</w:t>
      </w:r>
    </w:p>
    <w:p>
      <w:pPr>
        <w:sectPr>
          <w:pgSz w:w="11900" w:h="16838" w:orient="portrait"/>
          <w:cols w:equalWidth="0" w:num="1">
            <w:col w:w="10820"/>
          </w:cols>
          <w:pgMar w:left="320" w:top="439" w:right="7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firstLine="521"/>
        <w:spacing w:after="0" w:line="239" w:lineRule="auto"/>
        <w:rPr>
          <w:sz w:val="20"/>
          <w:szCs w:val="20"/>
          <w:color w:val="auto"/>
        </w:rPr>
      </w:pPr>
      <w:r>
        <w:rPr>
          <w:rFonts w:ascii="Arial" w:cs="Arial" w:eastAsia="Arial" w:hAnsi="Arial"/>
          <w:sz w:val="17"/>
          <w:szCs w:val="17"/>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filed, the FDA reviews an NDA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 the application is submitted.</w:t>
      </w:r>
    </w:p>
    <w:p>
      <w:pPr>
        <w:spacing w:after="0" w:line="177" w:lineRule="exact"/>
        <w:rPr>
          <w:sz w:val="20"/>
          <w:szCs w:val="20"/>
          <w:color w:val="auto"/>
        </w:rPr>
      </w:pPr>
    </w:p>
    <w:p>
      <w:pPr>
        <w:ind w:left="420" w:right="20" w:firstLine="521"/>
        <w:spacing w:after="0" w:line="242" w:lineRule="auto"/>
        <w:rPr>
          <w:sz w:val="20"/>
          <w:szCs w:val="20"/>
          <w:color w:val="auto"/>
        </w:rPr>
      </w:pPr>
      <w:r>
        <w:rPr>
          <w:rFonts w:ascii="Arial" w:cs="Arial" w:eastAsia="Arial" w:hAnsi="Arial"/>
          <w:sz w:val="17"/>
          <w:szCs w:val="17"/>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 Before approving an NDA, the FDA will typically inspect the facility or facilities where the product is manufactured. Additionally, before approving an NDA, the FDA may inspect one or more clinical trial sites to assure compliance with GCPs.</w:t>
      </w:r>
    </w:p>
    <w:p>
      <w:pPr>
        <w:spacing w:after="0" w:line="172" w:lineRule="exact"/>
        <w:rPr>
          <w:sz w:val="20"/>
          <w:szCs w:val="20"/>
          <w:color w:val="auto"/>
        </w:rPr>
      </w:pPr>
    </w:p>
    <w:p>
      <w:pPr>
        <w:ind w:left="420" w:right="40" w:firstLine="521"/>
        <w:spacing w:after="0"/>
        <w:rPr>
          <w:sz w:val="20"/>
          <w:szCs w:val="20"/>
          <w:color w:val="auto"/>
        </w:rPr>
      </w:pPr>
      <w:r>
        <w:rPr>
          <w:rFonts w:ascii="Arial" w:cs="Arial" w:eastAsia="Arial" w:hAnsi="Arial"/>
          <w:sz w:val="17"/>
          <w:szCs w:val="17"/>
          <w:color w:val="auto"/>
        </w:rPr>
        <w:t>After the FDA evaluates an NDA and conducts inspections of manufacturing facilities where the investigational product and/or its drug substance will be produced, the FDA may issue an approval letter or a Complete Response Letter (CRL). An approval letter authorizes commercial marketing of the drug with prescribing information for specific indications. A CRL indicates that the review cycle of the application is complete, and the application will not be approved in its present form. A CRL usually describes the specific deficiencies in the NDA identified by the FDA and may require additional clinical data, such as an additional clinical trial or other significant and time-consuming requirements related to clinical trials, nonclinical studies or manufacturing. If a CRL is issued, the sponsor must resubmit the NDA addressing all of the deficiencies identified in the letter, or withdraw the application. Even if such data and information are submitted, the FDA may decide that the NDA does not satisfy the criteria for approval.</w:t>
      </w:r>
    </w:p>
    <w:p>
      <w:pPr>
        <w:spacing w:after="0" w:line="174" w:lineRule="exact"/>
        <w:rPr>
          <w:sz w:val="20"/>
          <w:szCs w:val="20"/>
          <w:color w:val="auto"/>
        </w:rPr>
      </w:pPr>
    </w:p>
    <w:p>
      <w:pPr>
        <w:ind w:left="420" w:right="80" w:firstLine="521"/>
        <w:spacing w:after="0" w:line="239" w:lineRule="auto"/>
        <w:rPr>
          <w:sz w:val="20"/>
          <w:szCs w:val="20"/>
          <w:color w:val="auto"/>
        </w:rPr>
      </w:pPr>
      <w:r>
        <w:rPr>
          <w:rFonts w:ascii="Arial" w:cs="Arial" w:eastAsia="Arial" w:hAnsi="Arial"/>
          <w:sz w:val="17"/>
          <w:szCs w:val="17"/>
          <w:color w:val="auto"/>
        </w:rPr>
        <w:t>If a product receives regulatory approval, the approval may be significantly limited to specific diseases and dosages or the indications for use may otherwise be limited, which could restrict the commercial value of the product. In addition, the FDA may require a sponsor to conduct Phase 4 testing, which involves clinical trials designed to further assess a drug’s safety and effectiveness after NDA approval, and may require testing and surveillance programs to monitor the safety of approved products that have been commercialized. The FDA may also place other conditions on approval including the requirement for a risk evaluation and mitigation strategy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w:t>
      </w:r>
    </w:p>
    <w:p>
      <w:pPr>
        <w:spacing w:after="0" w:line="174" w:lineRule="exact"/>
        <w:rPr>
          <w:sz w:val="20"/>
          <w:szCs w:val="20"/>
          <w:color w:val="auto"/>
        </w:rPr>
      </w:pPr>
    </w:p>
    <w:p>
      <w:pPr>
        <w:ind w:left="420" w:right="40" w:firstLine="521"/>
        <w:spacing w:after="0" w:line="252" w:lineRule="auto"/>
        <w:rPr>
          <w:sz w:val="20"/>
          <w:szCs w:val="20"/>
          <w:color w:val="auto"/>
        </w:rPr>
      </w:pPr>
      <w:r>
        <w:rPr>
          <w:rFonts w:ascii="Arial" w:cs="Arial" w:eastAsia="Arial" w:hAnsi="Arial"/>
          <w:sz w:val="17"/>
          <w:szCs w:val="17"/>
          <w:color w:val="auto"/>
        </w:rPr>
        <w:t>In addition, the Pediatric Research Equity Act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156</w:t>
      </w:r>
    </w:p>
    <w:p>
      <w:pPr>
        <w:sectPr>
          <w:pgSz w:w="11900" w:h="16838" w:orient="portrait"/>
          <w:cols w:equalWidth="0" w:num="1">
            <w:col w:w="10780"/>
          </w:cols>
          <w:pgMar w:left="320" w:top="439" w:right="7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line="241" w:lineRule="auto"/>
        <w:rPr>
          <w:sz w:val="20"/>
          <w:szCs w:val="20"/>
          <w:color w:val="auto"/>
        </w:rPr>
      </w:pPr>
      <w:r>
        <w:rPr>
          <w:rFonts w:ascii="Arial" w:cs="Arial" w:eastAsia="Arial" w:hAnsi="Arial"/>
          <w:sz w:val="17"/>
          <w:szCs w:val="17"/>
          <w:color w:val="auto"/>
        </w:rPr>
        <w:t>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Orphan Drug Designation</w:t>
      </w:r>
    </w:p>
    <w:p>
      <w:pPr>
        <w:spacing w:after="0" w:line="98" w:lineRule="exact"/>
        <w:rPr>
          <w:sz w:val="20"/>
          <w:szCs w:val="20"/>
          <w:color w:val="auto"/>
        </w:rPr>
      </w:pPr>
    </w:p>
    <w:p>
      <w:pPr>
        <w:ind w:left="420" w:firstLine="521"/>
        <w:spacing w:after="0" w:line="242" w:lineRule="auto"/>
        <w:rPr>
          <w:sz w:val="20"/>
          <w:szCs w:val="20"/>
          <w:color w:val="auto"/>
        </w:rPr>
      </w:pPr>
      <w:r>
        <w:rPr>
          <w:rFonts w:ascii="Arial" w:cs="Arial" w:eastAsia="Arial" w:hAnsi="Arial"/>
          <w:sz w:val="17"/>
          <w:szCs w:val="17"/>
          <w:color w:val="auto"/>
        </w:rPr>
        <w:t>Under the Orphan Drug Act, the FDA may grant orphan designation to a drug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 drug product available in the United States for this type of disease or condition will be recovered from sales of the product. Orphan designation must be requested before submitting an NDA.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172" w:lineRule="exact"/>
        <w:rPr>
          <w:sz w:val="20"/>
          <w:szCs w:val="20"/>
          <w:color w:val="auto"/>
        </w:rPr>
      </w:pPr>
    </w:p>
    <w:p>
      <w:pPr>
        <w:ind w:left="420" w:firstLine="521"/>
        <w:spacing w:after="0" w:line="238"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for the same disease or condition for seven years, except in limited circumstances, such as a showing of clinical superiority to the product with orphan exclusivity or inability to manufacture the product in sufficient quantities. The designation of such drug also entitles a party to financial incentives such as opportunities for grant funding towards clinical trial costs, tax advantages, and user-fee waivers. However, competitors, may receive approval of different products for the disease or condition for which the orphan product has exclusivity or obtain approval for the same product but for a different disease or condition for which the orphan product has exclusivity. Orphan exclusivity also could block the approval of a competing product for seven years if a competitor obtains approval of the “same drug,” as defined by the FDA, or if a product candidate is determined to be contained within the competitor’s product for the same disease or condition. In addition, if an orphan designated product receives marketing approval for a disease or condition broader than what is designated, it may not be entitled to orphan exclusivity.</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Expedited Development and Review Programs</w:t>
      </w:r>
    </w:p>
    <w:p>
      <w:pPr>
        <w:spacing w:after="0" w:line="98" w:lineRule="exact"/>
        <w:rPr>
          <w:sz w:val="20"/>
          <w:szCs w:val="20"/>
          <w:color w:val="auto"/>
        </w:rPr>
      </w:pPr>
    </w:p>
    <w:p>
      <w:pPr>
        <w:ind w:left="420" w:firstLine="521"/>
        <w:spacing w:after="0" w:line="239" w:lineRule="auto"/>
        <w:rPr>
          <w:sz w:val="20"/>
          <w:szCs w:val="20"/>
          <w:color w:val="auto"/>
        </w:rPr>
      </w:pPr>
      <w:r>
        <w:rPr>
          <w:rFonts w:ascii="Arial" w:cs="Arial" w:eastAsia="Arial" w:hAnsi="Arial"/>
          <w:sz w:val="17"/>
          <w:szCs w:val="17"/>
          <w:color w:val="auto"/>
        </w:rPr>
        <w:t>The FDA has a number of programs intended to expedite the development or review of a marketing application for an investigational drug. For example, the fast track designation program is intended to expedite or facilitate the process for developing and reviewing product candidates that meet certain criteria. Specifically, investigational drugs are eligible for fast track designation if they are intended to treat a serious or life-threatening disease or condition and demonstrate the potential to address unmet medical needs for the disease or condition. The sponsor of a fast track product candidate has opportunities for more frequent interactions with the applicable FDA review team during product development and, once an NDA is submitted, the application may be eligible for priority review. With regard to a fast track product candidate,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1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157</w:t>
      </w:r>
    </w:p>
    <w:p>
      <w:pPr>
        <w:sectPr>
          <w:pgSz w:w="11900" w:h="16838" w:orient="portrait"/>
          <w:cols w:equalWidth="0" w:num="1">
            <w:col w:w="10780"/>
          </w:cols>
          <w:pgMar w:left="320" w:top="439" w:right="7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40" w:firstLine="521"/>
        <w:spacing w:after="0" w:line="241" w:lineRule="auto"/>
        <w:rPr>
          <w:sz w:val="20"/>
          <w:szCs w:val="20"/>
          <w:color w:val="auto"/>
        </w:rPr>
      </w:pPr>
      <w:r>
        <w:rPr>
          <w:rFonts w:ascii="Arial" w:cs="Arial" w:eastAsia="Arial" w:hAnsi="Arial"/>
          <w:sz w:val="17"/>
          <w:szCs w:val="17"/>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72" w:lineRule="exact"/>
        <w:rPr>
          <w:sz w:val="20"/>
          <w:szCs w:val="20"/>
          <w:color w:val="auto"/>
        </w:rPr>
      </w:pPr>
    </w:p>
    <w:p>
      <w:pPr>
        <w:ind w:left="420" w:firstLine="521"/>
        <w:spacing w:after="0" w:line="241" w:lineRule="auto"/>
        <w:rPr>
          <w:sz w:val="20"/>
          <w:szCs w:val="20"/>
          <w:color w:val="auto"/>
        </w:rPr>
      </w:pPr>
      <w:r>
        <w:rPr>
          <w:rFonts w:ascii="Arial" w:cs="Arial" w:eastAsia="Arial" w:hAnsi="Arial"/>
          <w:sz w:val="17"/>
          <w:szCs w:val="17"/>
          <w:color w:val="auto"/>
        </w:rPr>
        <w:t>Any product candidate submitted to the FDA for approval, including a product candidate with a fast track designation or breakthrough designation, may also be eligible for other types of FDA programs intended to expedite development and review, such as priority review and accelerated approval. An NDA is eligible for priority review if the product candidate is designed to treat a serious condition and, if approved, would provide a significant improvement in safety or efficacy compared to available therapies. The FDA will attempt to direct additional resources to the evaluation of a NDA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72" w:lineRule="exact"/>
        <w:rPr>
          <w:sz w:val="20"/>
          <w:szCs w:val="20"/>
          <w:color w:val="auto"/>
        </w:rPr>
      </w:pPr>
    </w:p>
    <w:p>
      <w:pPr>
        <w:ind w:left="420" w:right="20" w:firstLine="521"/>
        <w:spacing w:after="0" w:line="238" w:lineRule="auto"/>
        <w:rPr>
          <w:sz w:val="20"/>
          <w:szCs w:val="20"/>
          <w:color w:val="auto"/>
        </w:rPr>
      </w:pPr>
      <w:r>
        <w:rPr>
          <w:rFonts w:ascii="Arial" w:cs="Arial" w:eastAsia="Arial" w:hAnsi="Arial"/>
          <w:sz w:val="17"/>
          <w:szCs w:val="17"/>
          <w:color w:val="auto"/>
        </w:rPr>
        <w:t>In addition, depending on the design of the applicable clinical trials, a product candidate may be eligible for accelerated approval. Drugs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generally requires that a sponsor of a drug receiving accelerated approval perform adequate and well-controlled confirmatory clinical trials, and may require that such confirmatory trials be underway prior to granting accelerated approval. Drugs receiving accelerated approval may be subject to expedited withdrawal procedures if the sponsor fails to conduct the required confirmatory trials in a timely manner or if such trials fail to verify the predicted clinical benefit. In addition, the FDA currently requires as a condition of accelerated approval pre-approval of promotional materials, which could adversely impact the timing of the commercial launch of the product.</w:t>
      </w:r>
    </w:p>
    <w:p>
      <w:pPr>
        <w:spacing w:after="0" w:line="180" w:lineRule="exact"/>
        <w:rPr>
          <w:sz w:val="20"/>
          <w:szCs w:val="20"/>
          <w:color w:val="auto"/>
        </w:rPr>
      </w:pPr>
    </w:p>
    <w:p>
      <w:pPr>
        <w:jc w:val="both"/>
        <w:ind w:left="420" w:firstLine="521"/>
        <w:spacing w:after="0" w:line="247" w:lineRule="auto"/>
        <w:rPr>
          <w:sz w:val="20"/>
          <w:szCs w:val="20"/>
          <w:color w:val="auto"/>
        </w:rPr>
      </w:pPr>
      <w:r>
        <w:rPr>
          <w:rFonts w:ascii="Arial" w:cs="Arial" w:eastAsia="Arial" w:hAnsi="Arial"/>
          <w:sz w:val="17"/>
          <w:szCs w:val="17"/>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26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98" w:lineRule="exact"/>
        <w:rPr>
          <w:sz w:val="20"/>
          <w:szCs w:val="20"/>
          <w:color w:val="auto"/>
        </w:rPr>
      </w:pPr>
    </w:p>
    <w:p>
      <w:pPr>
        <w:ind w:left="420" w:right="40" w:firstLine="521"/>
        <w:spacing w:after="0" w:line="242" w:lineRule="auto"/>
        <w:rPr>
          <w:sz w:val="20"/>
          <w:szCs w:val="20"/>
          <w:color w:val="auto"/>
        </w:rPr>
      </w:pPr>
      <w:r>
        <w:rPr>
          <w:rFonts w:ascii="Arial" w:cs="Arial" w:eastAsia="Arial" w:hAnsi="Arial"/>
          <w:sz w:val="17"/>
          <w:szCs w:val="17"/>
          <w:color w:val="auto"/>
        </w:rPr>
        <w:t>Any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certain manufacturing changes and additional labeling claims, are subject to further FDA review and approval. Drug manufacturers and other entities involved in the manufacture and distribution of approved drugs are required to register their establishments with the FDA and certain state agencies and are subject to periodic unannounced inspections by the FDA and certain</w:t>
      </w:r>
    </w:p>
    <w:p>
      <w:pPr>
        <w:spacing w:after="0" w:line="10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158</w:t>
      </w:r>
    </w:p>
    <w:p>
      <w:pPr>
        <w:sectPr>
          <w:pgSz w:w="11900" w:h="16838" w:orient="portrait"/>
          <w:cols w:equalWidth="0" w:num="1">
            <w:col w:w="10820"/>
          </w:cols>
          <w:pgMar w:left="320" w:top="439" w:right="7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line="247" w:lineRule="auto"/>
        <w:rPr>
          <w:sz w:val="20"/>
          <w:szCs w:val="20"/>
          <w:color w:val="auto"/>
        </w:rPr>
      </w:pPr>
      <w:r>
        <w:rPr>
          <w:rFonts w:ascii="Arial" w:cs="Arial" w:eastAsia="Arial" w:hAnsi="Arial"/>
          <w:sz w:val="17"/>
          <w:szCs w:val="17"/>
          <w:color w:val="auto"/>
        </w:rPr>
        <w:t>state agencies for compliance with cGMPs and other laws and regulations. Changes to the manufacturing process are strictly regulated, and, depending on the significance of the change, may require prior FDA approval before being implemented. Accordingly, manufacturers must continue to expend time, money and effort in the area of production and quality control to maintain compliance with cGMPs and other aspects of regulatory compliance.</w:t>
      </w:r>
    </w:p>
    <w:p>
      <w:pPr>
        <w:spacing w:after="0" w:line="166" w:lineRule="exact"/>
        <w:rPr>
          <w:sz w:val="20"/>
          <w:szCs w:val="20"/>
          <w:color w:val="auto"/>
        </w:rPr>
      </w:pPr>
    </w:p>
    <w:p>
      <w:pPr>
        <w:ind w:left="420" w:right="200" w:firstLine="521"/>
        <w:spacing w:after="0" w:line="242"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requirements for post-market studies or clinical studies to assess new safety risks; or imposition of distribution restrictions or other restrictions under a REMS program. Other potential consequences include, among other things:</w:t>
      </w:r>
    </w:p>
    <w:p>
      <w:pPr>
        <w:spacing w:after="0" w:line="82" w:lineRule="exact"/>
        <w:rPr>
          <w:sz w:val="20"/>
          <w:szCs w:val="20"/>
          <w:color w:val="auto"/>
        </w:rPr>
      </w:pPr>
    </w:p>
    <w:p>
      <w:pPr>
        <w:ind w:left="1660" w:right="420" w:hanging="418"/>
        <w:spacing w:after="0" w:line="270" w:lineRule="auto"/>
        <w:tabs>
          <w:tab w:leader="none" w:pos="1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fines, warning letters, or untitled letters;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clinical holds on ongoing or planned clinical studies;</w:t>
      </w:r>
    </w:p>
    <w:p>
      <w:pPr>
        <w:spacing w:after="0" w:line="111" w:lineRule="exact"/>
        <w:rPr>
          <w:rFonts w:ascii="Arial" w:cs="Arial" w:eastAsia="Arial" w:hAnsi="Arial"/>
          <w:sz w:val="17"/>
          <w:szCs w:val="17"/>
          <w:color w:val="auto"/>
        </w:rPr>
      </w:pPr>
    </w:p>
    <w:p>
      <w:pPr>
        <w:ind w:left="1660" w:right="80" w:hanging="418"/>
        <w:spacing w:after="0" w:line="270" w:lineRule="auto"/>
        <w:tabs>
          <w:tab w:leader="none" w:pos="1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refusal of the FDA to approve pending applications or supplements to approved applications, or suspension or revocation of approvals;</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products;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consent decrees, corporate integrity agreements, debarment or exclusion from federal healthcare programs;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mandated modification of promotional materials and labeling and the issuance of corrective information;</w:t>
      </w:r>
    </w:p>
    <w:p>
      <w:pPr>
        <w:spacing w:after="0" w:line="111" w:lineRule="exact"/>
        <w:rPr>
          <w:rFonts w:ascii="Arial" w:cs="Arial" w:eastAsia="Arial" w:hAnsi="Arial"/>
          <w:sz w:val="17"/>
          <w:szCs w:val="17"/>
          <w:color w:val="auto"/>
        </w:rPr>
      </w:pPr>
    </w:p>
    <w:p>
      <w:pPr>
        <w:ind w:left="1660" w:right="440" w:hanging="418"/>
        <w:spacing w:after="0" w:line="270" w:lineRule="auto"/>
        <w:tabs>
          <w:tab w:leader="none" w:pos="1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issuance of safety alerts, Dear Healthcare Provider letters, press releases, and other communications containing warnings or other safety information about the product; or</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201" w:lineRule="exact"/>
        <w:rPr>
          <w:sz w:val="20"/>
          <w:szCs w:val="20"/>
          <w:color w:val="auto"/>
        </w:rPr>
      </w:pPr>
    </w:p>
    <w:p>
      <w:pPr>
        <w:ind w:left="420" w:right="20" w:firstLine="521"/>
        <w:spacing w:after="0" w:line="239" w:lineRule="auto"/>
        <w:rPr>
          <w:sz w:val="20"/>
          <w:szCs w:val="20"/>
          <w:color w:val="auto"/>
        </w:rPr>
      </w:pPr>
      <w:r>
        <w:rPr>
          <w:rFonts w:ascii="Arial" w:cs="Arial" w:eastAsia="Arial" w:hAnsi="Arial"/>
          <w:sz w:val="17"/>
          <w:szCs w:val="17"/>
          <w:color w:val="auto"/>
        </w:rPr>
        <w:t>In addition, 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Marketing Exclusivity</w:t>
      </w:r>
    </w:p>
    <w:p>
      <w:pPr>
        <w:spacing w:after="0" w:line="98" w:lineRule="exact"/>
        <w:rPr>
          <w:sz w:val="20"/>
          <w:szCs w:val="20"/>
          <w:color w:val="auto"/>
        </w:rPr>
      </w:pPr>
    </w:p>
    <w:p>
      <w:pPr>
        <w:ind w:left="420" w:right="60" w:firstLine="521"/>
        <w:spacing w:after="0" w:line="247" w:lineRule="auto"/>
        <w:rPr>
          <w:sz w:val="20"/>
          <w:szCs w:val="20"/>
          <w:color w:val="auto"/>
        </w:rPr>
      </w:pPr>
      <w:r>
        <w:rPr>
          <w:rFonts w:ascii="Arial" w:cs="Arial" w:eastAsia="Arial" w:hAnsi="Arial"/>
          <w:sz w:val="17"/>
          <w:szCs w:val="17"/>
          <w:color w:val="auto"/>
        </w:rPr>
        <w:t>Market exclusivity provisions under the FDCA can delay the submission or the approval of certain marketing applications.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w:t>
      </w:r>
    </w:p>
    <w:p>
      <w:pPr>
        <w:spacing w:after="0" w:line="10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0840"/>
          </w:cols>
          <w:pgMar w:left="320" w:top="439" w:right="7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100"/>
        <w:spacing w:after="0" w:line="244" w:lineRule="auto"/>
        <w:rPr>
          <w:sz w:val="20"/>
          <w:szCs w:val="20"/>
          <w:color w:val="auto"/>
        </w:rPr>
      </w:pPr>
      <w:r>
        <w:rPr>
          <w:rFonts w:ascii="Arial" w:cs="Arial" w:eastAsia="Arial" w:hAnsi="Arial"/>
          <w:sz w:val="17"/>
          <w:szCs w:val="17"/>
          <w:color w:val="auto"/>
        </w:rPr>
        <w:t>exclusivity period, the FDA may not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69" w:lineRule="exact"/>
        <w:rPr>
          <w:sz w:val="20"/>
          <w:szCs w:val="20"/>
          <w:color w:val="auto"/>
        </w:rPr>
      </w:pPr>
    </w:p>
    <w:p>
      <w:pPr>
        <w:ind w:left="420" w:right="160" w:firstLine="521"/>
        <w:spacing w:after="0"/>
        <w:rPr>
          <w:sz w:val="20"/>
          <w:szCs w:val="20"/>
          <w:color w:val="auto"/>
        </w:rPr>
      </w:pPr>
      <w:r>
        <w:rPr>
          <w:rFonts w:ascii="Arial" w:cs="Arial" w:eastAsia="Arial" w:hAnsi="Arial"/>
          <w:sz w:val="17"/>
          <w:szCs w:val="17"/>
          <w:color w:val="auto"/>
        </w:rPr>
        <w:t>The FDCA alternatively provides three years of non-patent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74" w:lineRule="exact"/>
        <w:rPr>
          <w:sz w:val="20"/>
          <w:szCs w:val="20"/>
          <w:color w:val="auto"/>
        </w:rPr>
      </w:pPr>
    </w:p>
    <w:p>
      <w:pPr>
        <w:ind w:left="420" w:right="80" w:firstLine="521"/>
        <w:spacing w:after="0" w:line="247" w:lineRule="auto"/>
        <w:rPr>
          <w:sz w:val="20"/>
          <w:szCs w:val="20"/>
          <w:color w:val="auto"/>
        </w:rPr>
      </w:pPr>
      <w:r>
        <w:rPr>
          <w:rFonts w:ascii="Arial" w:cs="Arial" w:eastAsia="Arial" w:hAnsi="Arial"/>
          <w:sz w:val="17"/>
          <w:szCs w:val="17"/>
          <w:color w:val="auto"/>
        </w:rPr>
        <w:t>Pediatric exclusivity is another type of marketing exclusivity available in the United States. Pediatric exclusivity provides for an additional six months of marketing exclusivity attached to an existing period of regulatory exclusivity or patent term if a sponsor conducts clinical trials in children in response to a “written request” from the FDA. The issuance of a written request does not require the sponsor to undertake the described clinical trials.</w:t>
      </w:r>
    </w:p>
    <w:p>
      <w:pPr>
        <w:spacing w:after="0" w:line="26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FDA Regulation of Companion Diagnostics</w:t>
      </w:r>
    </w:p>
    <w:p>
      <w:pPr>
        <w:spacing w:after="0" w:line="98" w:lineRule="exact"/>
        <w:rPr>
          <w:sz w:val="20"/>
          <w:szCs w:val="20"/>
          <w:color w:val="auto"/>
        </w:rPr>
      </w:pPr>
    </w:p>
    <w:p>
      <w:pPr>
        <w:ind w:left="420" w:firstLine="521"/>
        <w:spacing w:after="0" w:line="239" w:lineRule="auto"/>
        <w:rPr>
          <w:sz w:val="20"/>
          <w:szCs w:val="20"/>
          <w:color w:val="auto"/>
        </w:rPr>
      </w:pPr>
      <w:r>
        <w:rPr>
          <w:rFonts w:ascii="Arial" w:cs="Arial" w:eastAsia="Arial" w:hAnsi="Arial"/>
          <w:sz w:val="17"/>
          <w:szCs w:val="17"/>
          <w:color w:val="auto"/>
        </w:rPr>
        <w:t>We believe that certain of our ecDTx may require an in vitro diagnostic to identify appropriate patient populations for investigation and/or use of our ecDTx. These diagnostics, often referred to as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(PMA). Most companion diagnostics for oncology product candidates, such as those we are developing, utilize the PMA pathway.</w:t>
      </w:r>
    </w:p>
    <w:p>
      <w:pPr>
        <w:spacing w:after="0" w:line="177" w:lineRule="exact"/>
        <w:rPr>
          <w:sz w:val="20"/>
          <w:szCs w:val="20"/>
          <w:color w:val="auto"/>
        </w:rPr>
      </w:pPr>
    </w:p>
    <w:p>
      <w:pPr>
        <w:ind w:left="420" w:right="80" w:firstLine="521"/>
        <w:spacing w:after="0" w:line="239" w:lineRule="auto"/>
        <w:rPr>
          <w:sz w:val="20"/>
          <w:szCs w:val="20"/>
          <w:color w:val="auto"/>
        </w:rPr>
      </w:pPr>
      <w:r>
        <w:rPr>
          <w:rFonts w:ascii="Arial" w:cs="Arial" w:eastAsia="Arial" w:hAnsi="Arial"/>
          <w:sz w:val="17"/>
          <w:szCs w:val="17"/>
          <w:color w:val="auto"/>
        </w:rPr>
        <w:t>If use of a companion diagnostic is deemed essential to the safe and effective use of a drug product, then the FDA generally will require approval or clearance of the diagnostic contemporaneously with the approval of the therapeutic product. On August 6, 2014, the FDA issued a final guidance document addressing the development and approval process for “In Vitro Companion Diagnostic Devices.” According to the guidance, for novel product candidates, a companion diagnostic device and its corresponding drug candidate should be approved or cleared contemporaneously by FDA for the use indicated in the therapeutic product labeling. The guidance also explains that a companion diagnostic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may be considered a significant risk device under the FDA’s IDE regulations. In which case, the sponsor of the diagnostic device will be required to submit and obtain approval of an</w:t>
      </w:r>
    </w:p>
    <w:p>
      <w:pPr>
        <w:spacing w:after="0" w:line="113"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160</w:t>
      </w:r>
    </w:p>
    <w:p>
      <w:pPr>
        <w:sectPr>
          <w:pgSz w:w="11900" w:h="16838" w:orient="portrait"/>
          <w:cols w:equalWidth="0" w:num="1">
            <w:col w:w="10840"/>
          </w:cols>
          <w:pgMar w:left="320" w:top="439" w:right="7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40"/>
        <w:spacing w:after="0" w:line="247" w:lineRule="auto"/>
        <w:rPr>
          <w:sz w:val="20"/>
          <w:szCs w:val="20"/>
          <w:color w:val="auto"/>
        </w:rPr>
      </w:pPr>
      <w:r>
        <w:rPr>
          <w:rFonts w:ascii="Arial" w:cs="Arial" w:eastAsia="Arial" w:hAnsi="Arial"/>
          <w:sz w:val="17"/>
          <w:szCs w:val="17"/>
          <w:color w:val="auto"/>
        </w:rPr>
        <w:t>IDE application, and subsequently comply with the IDE regulations. However, according to the guidance, if a diagnostic device and a drug are to be studied together to support their respective approvals, both products can be studied in the same investigational trial, if the trial meets both the requirements of applicable IDE regulations and the IND regulations. The guidance provides that, depending on the details of the trial plan and degree of risk posed to subjects, a sponsor may seek to submit an IND alone, or both an IND and an IDE.</w:t>
      </w:r>
    </w:p>
    <w:p>
      <w:pPr>
        <w:spacing w:after="0" w:line="166" w:lineRule="exact"/>
        <w:rPr>
          <w:sz w:val="20"/>
          <w:szCs w:val="20"/>
          <w:color w:val="auto"/>
        </w:rPr>
      </w:pPr>
    </w:p>
    <w:p>
      <w:pPr>
        <w:ind w:left="420" w:firstLine="521"/>
        <w:spacing w:after="0" w:line="238" w:lineRule="auto"/>
        <w:rPr>
          <w:sz w:val="20"/>
          <w:szCs w:val="20"/>
          <w:color w:val="auto"/>
        </w:rPr>
      </w:pPr>
      <w:r>
        <w:rPr>
          <w:rFonts w:ascii="Arial" w:cs="Arial" w:eastAsia="Arial" w:hAnsi="Arial"/>
          <w:sz w:val="17"/>
          <w:szCs w:val="17"/>
          <w:color w:val="auto"/>
        </w:rPr>
        <w:t>The FDA has generally required companion diagnostics intended to select the patients who will respond to cancer treatment to obtain approval of a PMA for that diagnostic simultaneously with approval of the therapeutic.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As part of the PMA review, the FDA will typically inspect the manufacturer’s facilities for compliance with the Quality System Regulation (QSR), which currently imposes elaborate testing, control, documentation and other quality assurance requirements.</w:t>
      </w:r>
    </w:p>
    <w:p>
      <w:pPr>
        <w:spacing w:after="0" w:line="180" w:lineRule="exact"/>
        <w:rPr>
          <w:sz w:val="20"/>
          <w:szCs w:val="20"/>
          <w:color w:val="auto"/>
        </w:rPr>
      </w:pPr>
    </w:p>
    <w:p>
      <w:pPr>
        <w:ind w:left="420" w:right="20" w:firstLine="521"/>
        <w:spacing w:after="0" w:line="238" w:lineRule="auto"/>
        <w:rPr>
          <w:sz w:val="20"/>
          <w:szCs w:val="20"/>
          <w:color w:val="auto"/>
        </w:rPr>
      </w:pPr>
      <w:r>
        <w:rPr>
          <w:rFonts w:ascii="Arial" w:cs="Arial" w:eastAsia="Arial" w:hAnsi="Arial"/>
          <w:sz w:val="17"/>
          <w:szCs w:val="17"/>
          <w:color w:val="auto"/>
        </w:rPr>
        <w:t>If the FDA’s evaluation of the PMA application is favorable, the FDA may issue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and when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spacing w:after="0" w:line="178" w:lineRule="exact"/>
        <w:rPr>
          <w:sz w:val="20"/>
          <w:szCs w:val="20"/>
          <w:color w:val="auto"/>
        </w:rPr>
      </w:pPr>
    </w:p>
    <w:p>
      <w:pPr>
        <w:ind w:left="420" w:right="40" w:firstLine="521"/>
        <w:spacing w:after="0" w:line="241" w:lineRule="auto"/>
        <w:rPr>
          <w:sz w:val="20"/>
          <w:szCs w:val="20"/>
          <w:color w:val="auto"/>
        </w:rPr>
      </w:pPr>
      <w:r>
        <w:rPr>
          <w:rFonts w:ascii="Arial" w:cs="Arial" w:eastAsia="Arial" w:hAnsi="Arial"/>
          <w:sz w:val="17"/>
          <w:szCs w:val="17"/>
          <w:color w:val="auto"/>
        </w:rPr>
        <w:t>After a device is commercialized,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currently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Other Healthcare Laws</w:t>
      </w:r>
    </w:p>
    <w:p>
      <w:pPr>
        <w:spacing w:after="0" w:line="98" w:lineRule="exact"/>
        <w:rPr>
          <w:sz w:val="20"/>
          <w:szCs w:val="20"/>
          <w:color w:val="auto"/>
        </w:rPr>
      </w:pPr>
    </w:p>
    <w:p>
      <w:pPr>
        <w:ind w:left="420" w:right="420" w:firstLine="521"/>
        <w:spacing w:after="0" w:line="270" w:lineRule="auto"/>
        <w:rPr>
          <w:sz w:val="20"/>
          <w:szCs w:val="20"/>
          <w:color w:val="auto"/>
        </w:rPr>
      </w:pPr>
      <w:r>
        <w:rPr>
          <w:rFonts w:ascii="Arial" w:cs="Arial" w:eastAsia="Arial" w:hAnsi="Arial"/>
          <w:sz w:val="17"/>
          <w:szCs w:val="17"/>
          <w:color w:val="auto"/>
        </w:rPr>
        <w:t>Pharmaceutical companies are subject to additional healthcare regulation and enforcement by the federal government and by authorities in the states and foreign jurisdictions in which they conduct their</w:t>
      </w:r>
    </w:p>
    <w:p>
      <w:pPr>
        <w:spacing w:after="0" w:line="8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161</w:t>
      </w:r>
    </w:p>
    <w:p>
      <w:pPr>
        <w:sectPr>
          <w:pgSz w:w="11900" w:h="16838" w:orient="portrait"/>
          <w:cols w:equalWidth="0" w:num="1">
            <w:col w:w="10800"/>
          </w:cols>
          <w:pgMar w:left="320" w:top="439" w:right="77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20"/>
        <w:spacing w:after="0" w:line="241" w:lineRule="auto"/>
        <w:rPr>
          <w:sz w:val="20"/>
          <w:szCs w:val="20"/>
          <w:color w:val="auto"/>
        </w:rPr>
      </w:pPr>
      <w:r>
        <w:rPr>
          <w:rFonts w:ascii="Arial" w:cs="Arial" w:eastAsia="Arial" w:hAnsi="Arial"/>
          <w:sz w:val="17"/>
          <w:szCs w:val="17"/>
          <w:color w:val="auto"/>
        </w:rPr>
        <w:t>business. Such laws include, without limitation, U.S. federal and state anti-kickback, fraud and abuse, false claims, pricing reporting, and physician payment transparency laws and regulations regarding drug pricing and payments or other transfers of value made to physicians and other licensed healthcare professionals as well as similar foreign laws in the jurisdictions outside the United States. Violation of any of such laws or any other governmental regulations that apply may result in significant penalties, including, without limitation, administrative civil and criminal penalties, damages, disgorgement fines, additional reporting requirements and oversight obligations, contractual damages, the curtailment or restructuring of operations, exclusion from participation in governmental healthcare programs and/ or imprisonment.</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Coverage and Reimbursement</w:t>
      </w:r>
    </w:p>
    <w:p>
      <w:pPr>
        <w:spacing w:after="0" w:line="98" w:lineRule="exact"/>
        <w:rPr>
          <w:sz w:val="20"/>
          <w:szCs w:val="20"/>
          <w:color w:val="auto"/>
        </w:rPr>
      </w:pPr>
    </w:p>
    <w:p>
      <w:pPr>
        <w:ind w:left="420" w:firstLine="521"/>
        <w:spacing w:after="0" w:line="238" w:lineRule="auto"/>
        <w:rPr>
          <w:sz w:val="20"/>
          <w:szCs w:val="20"/>
          <w:color w:val="auto"/>
        </w:rPr>
      </w:pPr>
      <w:r>
        <w:rPr>
          <w:rFonts w:ascii="Arial" w:cs="Arial" w:eastAsia="Arial" w:hAnsi="Arial"/>
          <w:sz w:val="17"/>
          <w:szCs w:val="17"/>
          <w:color w:val="auto"/>
        </w:rPr>
        <w:t>Successful sales of our ecDTx in the U.S. market, if approved, will depend, in part, on the extent to which our ecDTx will be covered by third-party payors, such as government health programs or private health insurance (including managed care plans). Patients generally rely on such third-party payors to reimburse all or part of the costs associated with their prescriptions, and therefore adequate coverage and reimbursement from such third-party payors are critical to new and ongoing product acceptance. Coverage and reimbursement policies for drug products can differ significantly from payor to payor as there is no uniform policy of coverage and reimbursement for drug products among third-party payors in the United States. There may be significant delays in obtaining coverage and reimbursement as the process of determining coverage and reimbursement is often time consuming and costly. Further, third-party payors are increasingly reducing reimbursements for medical drugs and services and implementing measures to control utilization of drugs (such as requiring prior authorization for coverage).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spacing w:after="0" w:line="180" w:lineRule="exact"/>
        <w:rPr>
          <w:sz w:val="20"/>
          <w:szCs w:val="20"/>
          <w:color w:val="auto"/>
        </w:rPr>
      </w:pPr>
    </w:p>
    <w:p>
      <w:pPr>
        <w:ind w:left="420" w:right="180" w:firstLine="521"/>
        <w:spacing w:after="0" w:line="242" w:lineRule="auto"/>
        <w:rPr>
          <w:sz w:val="20"/>
          <w:szCs w:val="20"/>
          <w:color w:val="auto"/>
        </w:rPr>
      </w:pPr>
      <w:r>
        <w:rPr>
          <w:rFonts w:ascii="Arial" w:cs="Arial" w:eastAsia="Arial" w:hAnsi="Arial"/>
          <w:sz w:val="17"/>
          <w:szCs w:val="17"/>
          <w:color w:val="auto"/>
        </w:rPr>
        <w:t>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drugs. Adoption or expansion of price controls and cost-containment measures could further limit our net revenue and results. Decreases in third-party reimbursement for our drug candidates, if approved, or a decision by a third-party payor to not cover our drug candidates could have a material adverse effect on our sales, results of operations, and financial condition.</w:t>
      </w:r>
    </w:p>
    <w:p>
      <w:pPr>
        <w:spacing w:after="0" w:line="172" w:lineRule="exact"/>
        <w:rPr>
          <w:sz w:val="20"/>
          <w:szCs w:val="20"/>
          <w:color w:val="auto"/>
        </w:rPr>
      </w:pPr>
    </w:p>
    <w:p>
      <w:pPr>
        <w:ind w:left="420" w:right="180" w:firstLine="521"/>
        <w:spacing w:after="0" w:line="252" w:lineRule="auto"/>
        <w:rPr>
          <w:sz w:val="20"/>
          <w:szCs w:val="20"/>
          <w:color w:val="auto"/>
        </w:rPr>
      </w:pPr>
      <w:r>
        <w:rPr>
          <w:rFonts w:ascii="Arial" w:cs="Arial" w:eastAsia="Arial" w:hAnsi="Arial"/>
          <w:sz w:val="17"/>
          <w:szCs w:val="17"/>
          <w:color w:val="auto"/>
        </w:rPr>
        <w:t>General legislative cost control measures may also affect reimbursement for our products. If we obtain approval to market a drug candidate in the United States, we may be subject to spending reductions affecting Medicare, Medicaid, or other publicly funded or subsidized health programs and/or any significant taxes or fees.</w:t>
      </w:r>
    </w:p>
    <w:p>
      <w:pPr>
        <w:spacing w:after="0" w:line="266"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U.S. Healthcare Reform</w:t>
      </w:r>
    </w:p>
    <w:p>
      <w:pPr>
        <w:spacing w:after="0" w:line="98" w:lineRule="exact"/>
        <w:rPr>
          <w:sz w:val="20"/>
          <w:szCs w:val="20"/>
          <w:color w:val="auto"/>
        </w:rPr>
      </w:pPr>
    </w:p>
    <w:p>
      <w:pPr>
        <w:ind w:left="420" w:right="280" w:firstLine="521"/>
        <w:spacing w:after="0" w:line="252" w:lineRule="auto"/>
        <w:rPr>
          <w:sz w:val="20"/>
          <w:szCs w:val="20"/>
          <w:color w:val="auto"/>
        </w:rPr>
      </w:pPr>
      <w:r>
        <w:rPr>
          <w:rFonts w:ascii="Arial" w:cs="Arial" w:eastAsia="Arial" w:hAnsi="Arial"/>
          <w:sz w:val="17"/>
          <w:szCs w:val="17"/>
          <w:color w:val="auto"/>
        </w:rPr>
        <w:t>The U.S.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w:t>
      </w:r>
    </w:p>
    <w:p>
      <w:pPr>
        <w:spacing w:after="0" w:line="164" w:lineRule="exact"/>
        <w:rPr>
          <w:sz w:val="20"/>
          <w:szCs w:val="20"/>
          <w:color w:val="auto"/>
        </w:rPr>
      </w:pPr>
    </w:p>
    <w:p>
      <w:pPr>
        <w:jc w:val="both"/>
        <w:ind w:left="420" w:right="340" w:firstLine="521"/>
        <w:spacing w:after="0" w:line="252" w:lineRule="auto"/>
        <w:rPr>
          <w:sz w:val="20"/>
          <w:szCs w:val="20"/>
          <w:color w:val="auto"/>
        </w:rPr>
      </w:pPr>
      <w:r>
        <w:rPr>
          <w:rFonts w:ascii="Arial" w:cs="Arial" w:eastAsia="Arial" w:hAnsi="Arial"/>
          <w:sz w:val="17"/>
          <w:szCs w:val="17"/>
          <w:color w:val="auto"/>
        </w:rPr>
        <w:t>For example, the Affordable Care Act (ACA) was enacted in the United States and substantially changed the way healthcare is financed by both the government and private insurers. The ACA contains provisions that may reduce the profitability of drug products. Among other things, the ACA</w:t>
      </w:r>
    </w:p>
    <w:p>
      <w:pPr>
        <w:spacing w:after="0" w:line="10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162</w:t>
      </w:r>
    </w:p>
    <w:p>
      <w:pPr>
        <w:sectPr>
          <w:pgSz w:w="11900" w:h="16838" w:orient="portrait"/>
          <w:cols w:equalWidth="0" w:num="1">
            <w:col w:w="10800"/>
          </w:cols>
          <w:pgMar w:left="320" w:top="439" w:right="77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360"/>
        <w:spacing w:after="0" w:line="241" w:lineRule="auto"/>
        <w:rPr>
          <w:sz w:val="20"/>
          <w:szCs w:val="20"/>
          <w:color w:val="auto"/>
        </w:rPr>
      </w:pPr>
      <w:r>
        <w:rPr>
          <w:rFonts w:ascii="Arial" w:cs="Arial" w:eastAsia="Arial" w:hAnsi="Arial"/>
          <w:sz w:val="17"/>
          <w:szCs w:val="17"/>
          <w:color w:val="auto"/>
        </w:rPr>
        <w:t>established an annual, nondeductible fee on any entity that manufactures or imports specified branded prescription drugs and biologic agents; extended manufacturers’ Medicaid rebate liability to covered drugs dispensed to individuals who are enrolled in Medicaid managed care organizations; expanded eligibility criteria for Medicaid programs; expanded the entities eligible for discounts under the 340B drug pricing program; and increased the statutory minimum rebates a manufacturer must pay under the Medicaid Drug Rebate Program. Since its enactment, there have been executive, judicial and Congressional challenges to certain aspects of the ACA. On June 17, 2021, the U.S. Supreme Court dismissed the most recent judicial challenge to the ACA brought by several states without specifically ruling on the constitutionality of the ACA. Thus the ACA will remain in force in its current form.</w:t>
      </w:r>
    </w:p>
    <w:p>
      <w:pPr>
        <w:spacing w:after="0" w:line="172" w:lineRule="exact"/>
        <w:rPr>
          <w:sz w:val="20"/>
          <w:szCs w:val="20"/>
          <w:color w:val="auto"/>
        </w:rPr>
      </w:pPr>
    </w:p>
    <w:p>
      <w:pPr>
        <w:ind w:left="420" w:right="140" w:firstLine="521"/>
        <w:spacing w:after="0" w:line="238" w:lineRule="auto"/>
        <w:rPr>
          <w:sz w:val="20"/>
          <w:szCs w:val="20"/>
          <w:color w:val="auto"/>
        </w:rPr>
      </w:pPr>
      <w:r>
        <w:rPr>
          <w:rFonts w:ascii="Arial" w:cs="Arial" w:eastAsia="Arial" w:hAnsi="Arial"/>
          <w:sz w:val="17"/>
          <w:szCs w:val="17"/>
          <w:color w:val="auto"/>
        </w:rPr>
        <w:t>In addition, other legislative changes have been proposed and adopted since the ACA was enacted. For example, on March 11, 2021, President Biden signed the American Rescue Plan Act of 2021 into law, which eliminated the statutory Medicaid drug rebate cap, beginning January 1, 2024. The rebate was previously capped at 100% of a drug’s average manufacturer price. Moreover, on August 16, 2022, President Biden signed the Inflation Reduction Act of 2022 (IRA) into law. This statute marks the most significant action by Congress with respect to the pharmaceutical industry since adoption of the ACA in 2010.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On August 29, 2023, HHS announced the list of the first ten drugs that will be subject to price negotiations, although the Medicare drug price negotiation program is currently subject to legal challenges. The impact of the IRA on the pharmaceutical industry cannot yet be fully determined but is likely to be significant. Additional drug pricing proposals could appear in future legislation.</w:t>
      </w:r>
    </w:p>
    <w:p>
      <w:pPr>
        <w:spacing w:after="0" w:line="176" w:lineRule="exact"/>
        <w:rPr>
          <w:sz w:val="20"/>
          <w:szCs w:val="20"/>
          <w:color w:val="auto"/>
        </w:rPr>
      </w:pPr>
    </w:p>
    <w:p>
      <w:pPr>
        <w:ind w:left="420" w:right="280" w:firstLine="521"/>
        <w:spacing w:after="0" w:line="244" w:lineRule="auto"/>
        <w:rPr>
          <w:sz w:val="20"/>
          <w:szCs w:val="20"/>
          <w:color w:val="auto"/>
        </w:rPr>
      </w:pPr>
      <w:r>
        <w:rPr>
          <w:rFonts w:ascii="Arial" w:cs="Arial" w:eastAsia="Arial" w:hAnsi="Arial"/>
          <w:sz w:val="17"/>
          <w:szCs w:val="17"/>
          <w:color w:val="auto"/>
        </w:rPr>
        <w:t>Additionally, there has been heightened governmental scrutiny in the United States of pharmaceutical pricing practices in light of the rising cost of prescription drugs and biologics. Such scrutiny has resulted in several recent Congressional inquiries, presidential executive orders,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169" w:lineRule="exact"/>
        <w:rPr>
          <w:sz w:val="20"/>
          <w:szCs w:val="20"/>
          <w:color w:val="auto"/>
        </w:rPr>
      </w:pPr>
    </w:p>
    <w:p>
      <w:pPr>
        <w:ind w:left="420" w:firstLine="521"/>
        <w:spacing w:after="0" w:line="244" w:lineRule="auto"/>
        <w:rPr>
          <w:sz w:val="20"/>
          <w:szCs w:val="20"/>
          <w:color w:val="auto"/>
        </w:rPr>
      </w:pPr>
      <w:r>
        <w:rPr>
          <w:rFonts w:ascii="Arial" w:cs="Arial" w:eastAsia="Arial" w:hAnsi="Arial"/>
          <w:sz w:val="17"/>
          <w:szCs w:val="17"/>
          <w:color w:val="auto"/>
        </w:rPr>
        <w:t>At the state level, legislatures have increasingly passed legislation and implemented regulations designed to control pharmaceutical and biological product pricing, including price or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w:t>
      </w:r>
    </w:p>
    <w:p>
      <w:pPr>
        <w:spacing w:after="0" w:line="169" w:lineRule="exact"/>
        <w:rPr>
          <w:sz w:val="20"/>
          <w:szCs w:val="20"/>
          <w:color w:val="auto"/>
        </w:rPr>
      </w:pPr>
    </w:p>
    <w:p>
      <w:pPr>
        <w:ind w:left="420" w:right="40" w:firstLine="521"/>
        <w:spacing w:after="0" w:line="270" w:lineRule="auto"/>
        <w:rPr>
          <w:sz w:val="20"/>
          <w:szCs w:val="20"/>
          <w:color w:val="auto"/>
        </w:rPr>
      </w:pPr>
      <w:r>
        <w:rPr>
          <w:rFonts w:ascii="Arial" w:cs="Arial" w:eastAsia="Arial" w:hAnsi="Arial"/>
          <w:sz w:val="17"/>
          <w:szCs w:val="17"/>
          <w:color w:val="auto"/>
        </w:rPr>
        <w:t>Existing healthcare reform measures, as well as the implementation of additional cost containment measures or other reforms, may prevent us from being able to generate revenue, attain profitability or commercialize our product candidates, if approved.</w:t>
      </w:r>
    </w:p>
    <w:p>
      <w:pPr>
        <w:spacing w:after="0" w:line="25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Data Privacy and Security Laws</w:t>
      </w:r>
    </w:p>
    <w:p>
      <w:pPr>
        <w:spacing w:after="0" w:line="98" w:lineRule="exact"/>
        <w:rPr>
          <w:sz w:val="20"/>
          <w:szCs w:val="20"/>
          <w:color w:val="auto"/>
        </w:rPr>
      </w:pPr>
    </w:p>
    <w:p>
      <w:pPr>
        <w:ind w:left="420" w:right="280" w:firstLine="521"/>
        <w:spacing w:after="0" w:line="252" w:lineRule="auto"/>
        <w:rPr>
          <w:sz w:val="20"/>
          <w:szCs w:val="20"/>
          <w:color w:val="auto"/>
        </w:rPr>
      </w:pPr>
      <w:r>
        <w:rPr>
          <w:rFonts w:ascii="Arial" w:cs="Arial" w:eastAsia="Arial" w:hAnsi="Arial"/>
          <w:sz w:val="17"/>
          <w:szCs w:val="17"/>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163</w:t>
      </w:r>
    </w:p>
    <w:p>
      <w:pPr>
        <w:sectPr>
          <w:pgSz w:w="11900" w:h="16838" w:orient="portrait"/>
          <w:cols w:equalWidth="0" w:num="1">
            <w:col w:w="10840"/>
          </w:cols>
          <w:pgMar w:left="320" w:top="439" w:right="7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line="242" w:lineRule="auto"/>
        <w:rPr>
          <w:sz w:val="20"/>
          <w:szCs w:val="20"/>
          <w:color w:val="auto"/>
        </w:rPr>
      </w:pPr>
      <w:r>
        <w:rPr>
          <w:rFonts w:ascii="Arial" w:cs="Arial" w:eastAsia="Arial" w:hAnsi="Arial"/>
          <w:sz w:val="17"/>
          <w:szCs w:val="17"/>
          <w:color w:val="auto"/>
        </w:rPr>
        <w:t>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Human Capital</w:t>
      </w:r>
    </w:p>
    <w:p>
      <w:pPr>
        <w:spacing w:after="0" w:line="98" w:lineRule="exact"/>
        <w:rPr>
          <w:sz w:val="20"/>
          <w:szCs w:val="20"/>
          <w:color w:val="auto"/>
        </w:rPr>
      </w:pPr>
    </w:p>
    <w:p>
      <w:pPr>
        <w:ind w:left="420" w:right="60" w:firstLine="521"/>
        <w:spacing w:after="0" w:line="247" w:lineRule="auto"/>
        <w:rPr>
          <w:sz w:val="20"/>
          <w:szCs w:val="20"/>
          <w:color w:val="auto"/>
        </w:rPr>
      </w:pPr>
      <w:r>
        <w:rPr>
          <w:rFonts w:ascii="Arial" w:cs="Arial" w:eastAsia="Arial" w:hAnsi="Arial"/>
          <w:sz w:val="17"/>
          <w:szCs w:val="17"/>
          <w:color w:val="auto"/>
        </w:rPr>
        <w:t>As of March 1, 2024, we had 72 full-time employees, including a total of 24 employees with M.D. or Ph.D. degrees. Of these full-time employees, 55 employees are engaged in research and development and 17 are engaged in finance, legal, business development, and general management and administration. None of our employees are represented by labor unions or covered by collective bargaining agreements. We consider our relationship with our employees to be good.</w:t>
      </w:r>
    </w:p>
    <w:p>
      <w:pPr>
        <w:spacing w:after="0" w:line="166" w:lineRule="exact"/>
        <w:rPr>
          <w:sz w:val="20"/>
          <w:szCs w:val="20"/>
          <w:color w:val="auto"/>
        </w:rPr>
      </w:pPr>
    </w:p>
    <w:p>
      <w:pPr>
        <w:ind w:left="420" w:right="120" w:firstLine="521"/>
        <w:spacing w:after="0" w:line="242"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We value our employees and regularly benchmark total rewards we provide, such as short and long-term compensation, 401(k) contributions, health, welfare, and quality of life benefits, paid time off, and personal leave, against our industry peers to ensure we remain competitive and attractive to potential new hires.</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Facilities</w:t>
      </w:r>
    </w:p>
    <w:p>
      <w:pPr>
        <w:spacing w:after="0" w:line="98" w:lineRule="exact"/>
        <w:rPr>
          <w:sz w:val="20"/>
          <w:szCs w:val="20"/>
          <w:color w:val="auto"/>
        </w:rPr>
      </w:pPr>
    </w:p>
    <w:p>
      <w:pPr>
        <w:ind w:left="420" w:right="80" w:firstLine="521"/>
        <w:spacing w:after="0" w:line="242" w:lineRule="auto"/>
        <w:rPr>
          <w:sz w:val="20"/>
          <w:szCs w:val="20"/>
          <w:color w:val="auto"/>
        </w:rPr>
      </w:pPr>
      <w:r>
        <w:rPr>
          <w:rFonts w:ascii="Arial" w:cs="Arial" w:eastAsia="Arial" w:hAnsi="Arial"/>
          <w:sz w:val="17"/>
          <w:szCs w:val="17"/>
          <w:color w:val="auto"/>
        </w:rPr>
        <w:t>Our corporate headquarters are currently located in San Diego, California, where we lease approximately 28,700 square feet of laboratory and office space. This lease commenced in the first quarter of 2022 and is expected to end upon the commencement of our new lease described below. We have entered into an agreement to lease a new corporate headquarters consisting of approximately 80,168 square feet of laboratory and office space that will be located in La Jolla, California. The lease for the new corporate headquarters is expected to commence once buildout of the facilities is complete and we may take occupancy of the new facility. We believe that our existing facilities are adequate for our current needs and that our future facilities will be suitable for our needs at that time.</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Legal Proceedings</w:t>
      </w:r>
    </w:p>
    <w:p>
      <w:pPr>
        <w:spacing w:after="0" w:line="98" w:lineRule="exact"/>
        <w:rPr>
          <w:sz w:val="20"/>
          <w:szCs w:val="20"/>
          <w:color w:val="auto"/>
        </w:rPr>
      </w:pPr>
    </w:p>
    <w:p>
      <w:pPr>
        <w:jc w:val="both"/>
        <w:ind w:left="420" w:right="20" w:firstLine="521"/>
        <w:spacing w:after="0" w:line="252" w:lineRule="auto"/>
        <w:rPr>
          <w:sz w:val="20"/>
          <w:szCs w:val="20"/>
          <w:color w:val="auto"/>
        </w:rPr>
      </w:pPr>
      <w:r>
        <w:rPr>
          <w:rFonts w:ascii="Arial" w:cs="Arial" w:eastAsia="Arial" w:hAnsi="Arial"/>
          <w:sz w:val="17"/>
          <w:szCs w:val="17"/>
          <w:color w:val="auto"/>
        </w:rPr>
        <w:t>We are not currently a party to any material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164</w:t>
      </w:r>
    </w:p>
    <w:p>
      <w:pPr>
        <w:sectPr>
          <w:pgSz w:w="11900" w:h="16838" w:orient="portrait"/>
          <w:cols w:equalWidth="0" w:num="1">
            <w:col w:w="10820"/>
          </w:cols>
          <w:pgMar w:left="320" w:top="439" w:right="7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MANAGEMENT</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Executive Officers and Directors</w:t>
      </w:r>
    </w:p>
    <w:p>
      <w:pPr>
        <w:spacing w:after="0" w:line="201"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The following table sets forth the name, age, and position of each of our executive officers and directors as of March 1, 2024.</w:t>
      </w:r>
    </w:p>
    <w:p>
      <w:pPr>
        <w:spacing w:after="0" w:line="233" w:lineRule="exact"/>
        <w:rPr>
          <w:sz w:val="20"/>
          <w:szCs w:val="20"/>
          <w:color w:val="auto"/>
        </w:rPr>
      </w:pPr>
    </w:p>
    <w:tbl>
      <w:tblPr>
        <w:tblLayout w:type="fixed"/>
        <w:tblInd w:w="420" w:type="dxa"/>
        <w:tblCellMar>
          <w:top w:w="0" w:type="dxa"/>
          <w:left w:w="0" w:type="dxa"/>
          <w:bottom w:w="0" w:type="dxa"/>
          <w:right w:w="0" w:type="dxa"/>
        </w:tblCellMar>
      </w:tblPr>
      <w:tr>
        <w:trPr>
          <w:trHeight w:val="176"/>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tcPr>
          <w:p>
            <w:pPr>
              <w:jc w:val="right"/>
              <w:ind w:right="136"/>
              <w:spacing w:after="0"/>
              <w:rPr>
                <w:sz w:val="20"/>
                <w:szCs w:val="20"/>
                <w:color w:val="auto"/>
              </w:rPr>
            </w:pPr>
            <w:r>
              <w:rPr>
                <w:rFonts w:ascii="Arial" w:cs="Arial" w:eastAsia="Arial" w:hAnsi="Arial"/>
                <w:sz w:val="14"/>
                <w:szCs w:val="14"/>
                <w:b w:val="1"/>
                <w:bCs w:val="1"/>
                <w:color w:val="auto"/>
              </w:rPr>
              <w:t xml:space="preserve">        Age      </w:t>
            </w:r>
          </w:p>
        </w:tc>
        <w:tc>
          <w:tcPr>
            <w:tcW w:w="420" w:type="dxa"/>
            <w:vAlign w:val="bottom"/>
          </w:tcPr>
          <w:p>
            <w:pPr>
              <w:spacing w:after="0"/>
              <w:rPr>
                <w:sz w:val="15"/>
                <w:szCs w:val="15"/>
                <w:color w:val="auto"/>
              </w:rPr>
            </w:pPr>
          </w:p>
        </w:tc>
        <w:tc>
          <w:tcPr>
            <w:tcW w:w="4160" w:type="dxa"/>
            <w:vAlign w:val="bottom"/>
          </w:tcPr>
          <w:p>
            <w:pPr>
              <w:ind w:left="1720"/>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40" w:type="dxa"/>
            <w:vAlign w:val="bottom"/>
            <w:tcBorders>
              <w:top w:val="single" w:sz="8" w:color="CCEEFF"/>
            </w:tcBorders>
            <w:shd w:val="clear" w:color="auto" w:fill="CCEEFF"/>
          </w:tcPr>
          <w:p>
            <w:pPr>
              <w:spacing w:after="0" w:line="172" w:lineRule="exact"/>
              <w:rPr>
                <w:sz w:val="20"/>
                <w:szCs w:val="20"/>
                <w:color w:val="auto"/>
              </w:rPr>
            </w:pPr>
            <w:r>
              <w:rPr>
                <w:rFonts w:ascii="Arial" w:cs="Arial" w:eastAsia="Arial" w:hAnsi="Arial"/>
                <w:sz w:val="17"/>
                <w:szCs w:val="17"/>
                <w:b w:val="1"/>
                <w:bCs w:val="1"/>
                <w:color w:val="auto"/>
              </w:rPr>
              <w:t>Executive Officers</w:t>
            </w:r>
          </w:p>
        </w:tc>
        <w:tc>
          <w:tcPr>
            <w:tcW w:w="11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41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40" w:type="dxa"/>
            <w:vAlign w:val="bottom"/>
          </w:tcPr>
          <w:p>
            <w:pPr>
              <w:spacing w:after="0" w:line="192" w:lineRule="exact"/>
              <w:rPr>
                <w:sz w:val="20"/>
                <w:szCs w:val="20"/>
                <w:color w:val="auto"/>
              </w:rPr>
            </w:pPr>
            <w:r>
              <w:rPr>
                <w:rFonts w:ascii="Arial" w:cs="Arial" w:eastAsia="Arial" w:hAnsi="Arial"/>
                <w:sz w:val="17"/>
                <w:szCs w:val="17"/>
                <w:color w:val="auto"/>
              </w:rPr>
              <w:t>Zachary D. Hornby</w:t>
            </w:r>
          </w:p>
        </w:tc>
        <w:tc>
          <w:tcPr>
            <w:tcW w:w="1180" w:type="dxa"/>
            <w:vAlign w:val="bottom"/>
          </w:tcPr>
          <w:p>
            <w:pPr>
              <w:jc w:val="right"/>
              <w:ind w:right="416"/>
              <w:spacing w:after="0" w:line="192" w:lineRule="exact"/>
              <w:rPr>
                <w:sz w:val="20"/>
                <w:szCs w:val="20"/>
                <w:color w:val="auto"/>
              </w:rPr>
            </w:pPr>
            <w:r>
              <w:rPr>
                <w:rFonts w:ascii="Arial" w:cs="Arial" w:eastAsia="Arial" w:hAnsi="Arial"/>
                <w:sz w:val="17"/>
                <w:szCs w:val="17"/>
                <w:color w:val="auto"/>
              </w:rPr>
              <w:t>45</w:t>
            </w:r>
          </w:p>
        </w:tc>
        <w:tc>
          <w:tcPr>
            <w:tcW w:w="4580" w:type="dxa"/>
            <w:vAlign w:val="bottom"/>
            <w:gridSpan w:val="2"/>
          </w:tcPr>
          <w:p>
            <w:pPr>
              <w:ind w:left="420"/>
              <w:spacing w:after="0" w:line="192" w:lineRule="exact"/>
              <w:rPr>
                <w:sz w:val="20"/>
                <w:szCs w:val="20"/>
                <w:color w:val="auto"/>
              </w:rPr>
            </w:pPr>
            <w:r>
              <w:rPr>
                <w:rFonts w:ascii="Arial" w:cs="Arial" w:eastAsia="Arial" w:hAnsi="Arial"/>
                <w:sz w:val="17"/>
                <w:szCs w:val="17"/>
                <w:color w:val="auto"/>
              </w:rPr>
              <w:t>President, Chief Executive Officer, and Director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4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Jami Rubin</w:t>
            </w:r>
          </w:p>
        </w:tc>
        <w:tc>
          <w:tcPr>
            <w:tcW w:w="1180" w:type="dxa"/>
            <w:vAlign w:val="bottom"/>
            <w:shd w:val="clear" w:color="auto" w:fill="CCEEFF"/>
          </w:tcPr>
          <w:p>
            <w:pPr>
              <w:jc w:val="right"/>
              <w:ind w:right="416"/>
              <w:spacing w:after="0" w:line="192" w:lineRule="exact"/>
              <w:rPr>
                <w:sz w:val="20"/>
                <w:szCs w:val="20"/>
                <w:color w:val="auto"/>
              </w:rPr>
            </w:pPr>
            <w:r>
              <w:rPr>
                <w:rFonts w:ascii="Arial" w:cs="Arial" w:eastAsia="Arial" w:hAnsi="Arial"/>
                <w:sz w:val="17"/>
                <w:szCs w:val="17"/>
                <w:color w:val="auto"/>
              </w:rPr>
              <w:t>60</w:t>
            </w:r>
          </w:p>
        </w:tc>
        <w:tc>
          <w:tcPr>
            <w:tcW w:w="4580" w:type="dxa"/>
            <w:vAlign w:val="bottom"/>
            <w:gridSpan w:val="2"/>
            <w:shd w:val="clear" w:color="auto" w:fill="CCEEFF"/>
          </w:tcPr>
          <w:p>
            <w:pPr>
              <w:ind w:left="420"/>
              <w:spacing w:after="0" w:line="192" w:lineRule="exact"/>
              <w:rPr>
                <w:sz w:val="20"/>
                <w:szCs w:val="20"/>
                <w:color w:val="auto"/>
              </w:rPr>
            </w:pPr>
            <w:r>
              <w:rPr>
                <w:rFonts w:ascii="Arial" w:cs="Arial" w:eastAsia="Arial" w:hAnsi="Arial"/>
                <w:sz w:val="17"/>
                <w:szCs w:val="17"/>
                <w:color w:val="auto"/>
              </w:rPr>
              <w:t>Chief Financial Officer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40" w:type="dxa"/>
            <w:vAlign w:val="bottom"/>
          </w:tcPr>
          <w:p>
            <w:pPr>
              <w:spacing w:after="0" w:line="192" w:lineRule="exact"/>
              <w:rPr>
                <w:sz w:val="20"/>
                <w:szCs w:val="20"/>
                <w:color w:val="auto"/>
              </w:rPr>
            </w:pPr>
            <w:r>
              <w:rPr>
                <w:rFonts w:ascii="Arial" w:cs="Arial" w:eastAsia="Arial" w:hAnsi="Arial"/>
                <w:sz w:val="17"/>
                <w:szCs w:val="17"/>
                <w:color w:val="auto"/>
              </w:rPr>
              <w:t>Klaus Wagner, M.D., Ph.D.</w:t>
            </w:r>
          </w:p>
        </w:tc>
        <w:tc>
          <w:tcPr>
            <w:tcW w:w="1180" w:type="dxa"/>
            <w:vAlign w:val="bottom"/>
          </w:tcPr>
          <w:p>
            <w:pPr>
              <w:jc w:val="right"/>
              <w:ind w:right="416"/>
              <w:spacing w:after="0" w:line="192" w:lineRule="exact"/>
              <w:rPr>
                <w:sz w:val="20"/>
                <w:szCs w:val="20"/>
                <w:color w:val="auto"/>
              </w:rPr>
            </w:pPr>
            <w:r>
              <w:rPr>
                <w:rFonts w:ascii="Arial" w:cs="Arial" w:eastAsia="Arial" w:hAnsi="Arial"/>
                <w:sz w:val="17"/>
                <w:szCs w:val="17"/>
                <w:color w:val="auto"/>
              </w:rPr>
              <w:t>52</w:t>
            </w:r>
          </w:p>
        </w:tc>
        <w:tc>
          <w:tcPr>
            <w:tcW w:w="4580" w:type="dxa"/>
            <w:vAlign w:val="bottom"/>
            <w:gridSpan w:val="2"/>
          </w:tcPr>
          <w:p>
            <w:pPr>
              <w:ind w:left="420"/>
              <w:spacing w:after="0" w:line="192" w:lineRule="exact"/>
              <w:rPr>
                <w:sz w:val="20"/>
                <w:szCs w:val="20"/>
                <w:color w:val="auto"/>
              </w:rPr>
            </w:pPr>
            <w:r>
              <w:rPr>
                <w:rFonts w:ascii="Arial" w:cs="Arial" w:eastAsia="Arial" w:hAnsi="Arial"/>
                <w:sz w:val="17"/>
                <w:szCs w:val="17"/>
                <w:color w:val="auto"/>
              </w:rPr>
              <w:t>Chief Medical Officer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4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Chris Hassig, Ph.D.</w:t>
            </w:r>
          </w:p>
        </w:tc>
        <w:tc>
          <w:tcPr>
            <w:tcW w:w="1180" w:type="dxa"/>
            <w:vAlign w:val="bottom"/>
            <w:shd w:val="clear" w:color="auto" w:fill="CCEEFF"/>
          </w:tcPr>
          <w:p>
            <w:pPr>
              <w:jc w:val="right"/>
              <w:ind w:right="416"/>
              <w:spacing w:after="0" w:line="192" w:lineRule="exact"/>
              <w:rPr>
                <w:sz w:val="20"/>
                <w:szCs w:val="20"/>
                <w:color w:val="auto"/>
              </w:rPr>
            </w:pPr>
            <w:r>
              <w:rPr>
                <w:rFonts w:ascii="Arial" w:cs="Arial" w:eastAsia="Arial" w:hAnsi="Arial"/>
                <w:sz w:val="17"/>
                <w:szCs w:val="17"/>
                <w:color w:val="auto"/>
              </w:rPr>
              <w:t>52</w:t>
            </w:r>
          </w:p>
        </w:tc>
        <w:tc>
          <w:tcPr>
            <w:tcW w:w="4580" w:type="dxa"/>
            <w:vAlign w:val="bottom"/>
            <w:gridSpan w:val="2"/>
            <w:shd w:val="clear" w:color="auto" w:fill="CCEEFF"/>
          </w:tcPr>
          <w:p>
            <w:pPr>
              <w:ind w:left="420"/>
              <w:spacing w:after="0" w:line="192" w:lineRule="exact"/>
              <w:rPr>
                <w:sz w:val="20"/>
                <w:szCs w:val="20"/>
                <w:color w:val="auto"/>
              </w:rPr>
            </w:pPr>
            <w:r>
              <w:rPr>
                <w:rFonts w:ascii="Arial" w:cs="Arial" w:eastAsia="Arial" w:hAnsi="Arial"/>
                <w:sz w:val="17"/>
                <w:szCs w:val="17"/>
                <w:color w:val="auto"/>
              </w:rPr>
              <w:t>Chief Scientific Officer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40" w:type="dxa"/>
            <w:vAlign w:val="bottom"/>
          </w:tcPr>
          <w:p>
            <w:pPr>
              <w:spacing w:after="0" w:line="192" w:lineRule="exact"/>
              <w:rPr>
                <w:sz w:val="20"/>
                <w:szCs w:val="20"/>
                <w:color w:val="auto"/>
              </w:rPr>
            </w:pPr>
            <w:r>
              <w:rPr>
                <w:rFonts w:ascii="Arial" w:cs="Arial" w:eastAsia="Arial" w:hAnsi="Arial"/>
                <w:sz w:val="17"/>
                <w:szCs w:val="17"/>
                <w:color w:val="auto"/>
              </w:rPr>
              <w:t>Neil Abdollahian</w:t>
            </w:r>
          </w:p>
        </w:tc>
        <w:tc>
          <w:tcPr>
            <w:tcW w:w="1180" w:type="dxa"/>
            <w:vAlign w:val="bottom"/>
          </w:tcPr>
          <w:p>
            <w:pPr>
              <w:jc w:val="right"/>
              <w:ind w:right="416"/>
              <w:spacing w:after="0" w:line="192" w:lineRule="exact"/>
              <w:rPr>
                <w:sz w:val="20"/>
                <w:szCs w:val="20"/>
                <w:color w:val="auto"/>
              </w:rPr>
            </w:pPr>
            <w:r>
              <w:rPr>
                <w:rFonts w:ascii="Arial" w:cs="Arial" w:eastAsia="Arial" w:hAnsi="Arial"/>
                <w:sz w:val="17"/>
                <w:szCs w:val="17"/>
                <w:color w:val="auto"/>
              </w:rPr>
              <w:t>51</w:t>
            </w:r>
          </w:p>
        </w:tc>
        <w:tc>
          <w:tcPr>
            <w:tcW w:w="4580" w:type="dxa"/>
            <w:vAlign w:val="bottom"/>
            <w:gridSpan w:val="2"/>
          </w:tcPr>
          <w:p>
            <w:pPr>
              <w:ind w:left="420"/>
              <w:spacing w:after="0" w:line="192" w:lineRule="exact"/>
              <w:rPr>
                <w:sz w:val="20"/>
                <w:szCs w:val="20"/>
                <w:color w:val="auto"/>
              </w:rPr>
            </w:pPr>
            <w:r>
              <w:rPr>
                <w:rFonts w:ascii="Arial" w:cs="Arial" w:eastAsia="Arial" w:hAnsi="Arial"/>
                <w:sz w:val="17"/>
                <w:szCs w:val="17"/>
                <w:color w:val="auto"/>
              </w:rPr>
              <w:t>Chief Business Officer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4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Jessica Oien</w:t>
            </w:r>
          </w:p>
        </w:tc>
        <w:tc>
          <w:tcPr>
            <w:tcW w:w="1180" w:type="dxa"/>
            <w:vAlign w:val="bottom"/>
            <w:shd w:val="clear" w:color="auto" w:fill="CCEEFF"/>
          </w:tcPr>
          <w:p>
            <w:pPr>
              <w:jc w:val="right"/>
              <w:ind w:right="416"/>
              <w:spacing w:after="0" w:line="192" w:lineRule="exact"/>
              <w:rPr>
                <w:sz w:val="20"/>
                <w:szCs w:val="20"/>
                <w:color w:val="auto"/>
              </w:rPr>
            </w:pPr>
            <w:r>
              <w:rPr>
                <w:rFonts w:ascii="Arial" w:cs="Arial" w:eastAsia="Arial" w:hAnsi="Arial"/>
                <w:sz w:val="17"/>
                <w:szCs w:val="17"/>
                <w:color w:val="auto"/>
              </w:rPr>
              <w:t>53</w:t>
            </w:r>
          </w:p>
        </w:tc>
        <w:tc>
          <w:tcPr>
            <w:tcW w:w="4580" w:type="dxa"/>
            <w:vAlign w:val="bottom"/>
            <w:gridSpan w:val="2"/>
            <w:shd w:val="clear" w:color="auto" w:fill="CCEEFF"/>
          </w:tcPr>
          <w:p>
            <w:pPr>
              <w:ind w:left="420"/>
              <w:spacing w:after="0" w:line="192" w:lineRule="exact"/>
              <w:rPr>
                <w:sz w:val="20"/>
                <w:szCs w:val="20"/>
                <w:color w:val="auto"/>
              </w:rPr>
            </w:pPr>
            <w:r>
              <w:rPr>
                <w:rFonts w:ascii="Arial" w:cs="Arial" w:eastAsia="Arial" w:hAnsi="Arial"/>
                <w:sz w:val="17"/>
                <w:szCs w:val="17"/>
                <w:color w:val="auto"/>
              </w:rPr>
              <w:t>Chief Legal Officer and Corporate Secretary</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640" w:type="dxa"/>
            <w:vAlign w:val="bottom"/>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Non-Employee Directors</w:t>
            </w:r>
          </w:p>
        </w:tc>
        <w:tc>
          <w:tcPr>
            <w:tcW w:w="1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40" w:type="dxa"/>
            <w:vAlign w:val="bottom"/>
          </w:tcPr>
          <w:p>
            <w:pPr>
              <w:spacing w:after="0" w:line="191" w:lineRule="exact"/>
              <w:rPr>
                <w:sz w:val="20"/>
                <w:szCs w:val="20"/>
                <w:color w:val="auto"/>
              </w:rPr>
            </w:pPr>
            <w:r>
              <w:rPr>
                <w:rFonts w:ascii="Arial" w:cs="Arial" w:eastAsia="Arial" w:hAnsi="Arial"/>
                <w:sz w:val="15"/>
                <w:szCs w:val="15"/>
                <w:color w:val="auto"/>
              </w:rPr>
              <w:t>Jonathan E. Lim, M.D.</w:t>
            </w:r>
            <w:r>
              <w:rPr>
                <w:rFonts w:ascii="Arial" w:cs="Arial" w:eastAsia="Arial" w:hAnsi="Arial"/>
                <w:sz w:val="22"/>
                <w:szCs w:val="22"/>
                <w:color w:val="auto"/>
                <w:vertAlign w:val="superscript"/>
              </w:rPr>
              <w:t>(1)(2)</w:t>
            </w:r>
          </w:p>
        </w:tc>
        <w:tc>
          <w:tcPr>
            <w:tcW w:w="1180" w:type="dxa"/>
            <w:vAlign w:val="bottom"/>
          </w:tcPr>
          <w:p>
            <w:pPr>
              <w:jc w:val="right"/>
              <w:ind w:right="416"/>
              <w:spacing w:after="0" w:line="192" w:lineRule="exact"/>
              <w:rPr>
                <w:sz w:val="20"/>
                <w:szCs w:val="20"/>
                <w:color w:val="auto"/>
              </w:rPr>
            </w:pPr>
            <w:r>
              <w:rPr>
                <w:rFonts w:ascii="Arial" w:cs="Arial" w:eastAsia="Arial" w:hAnsi="Arial"/>
                <w:sz w:val="17"/>
                <w:szCs w:val="17"/>
                <w:color w:val="auto"/>
              </w:rPr>
              <w:t>52</w:t>
            </w:r>
          </w:p>
        </w:tc>
        <w:tc>
          <w:tcPr>
            <w:tcW w:w="4580" w:type="dxa"/>
            <w:vAlign w:val="bottom"/>
            <w:gridSpan w:val="2"/>
          </w:tcPr>
          <w:p>
            <w:pPr>
              <w:ind w:left="420"/>
              <w:spacing w:after="0" w:line="192" w:lineRule="exact"/>
              <w:rPr>
                <w:sz w:val="20"/>
                <w:szCs w:val="20"/>
                <w:color w:val="auto"/>
              </w:rPr>
            </w:pPr>
            <w:r>
              <w:rPr>
                <w:rFonts w:ascii="Arial" w:cs="Arial" w:eastAsia="Arial" w:hAnsi="Arial"/>
                <w:sz w:val="17"/>
                <w:szCs w:val="17"/>
                <w:color w:val="auto"/>
              </w:rPr>
              <w:t>Chairman and Co-Founder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40" w:type="dxa"/>
            <w:vAlign w:val="bottom"/>
            <w:shd w:val="clear" w:color="auto" w:fill="CCEEFF"/>
          </w:tcPr>
          <w:p>
            <w:pPr>
              <w:spacing w:after="0" w:line="191" w:lineRule="exact"/>
              <w:rPr>
                <w:sz w:val="20"/>
                <w:szCs w:val="20"/>
                <w:color w:val="auto"/>
              </w:rPr>
            </w:pPr>
            <w:r>
              <w:rPr>
                <w:rFonts w:ascii="Arial" w:cs="Arial" w:eastAsia="Arial" w:hAnsi="Arial"/>
                <w:sz w:val="15"/>
                <w:szCs w:val="15"/>
                <w:color w:val="auto"/>
              </w:rPr>
              <w:t>Christine Brennan, Ph.D.</w:t>
            </w:r>
            <w:r>
              <w:rPr>
                <w:rFonts w:ascii="Arial" w:cs="Arial" w:eastAsia="Arial" w:hAnsi="Arial"/>
                <w:sz w:val="22"/>
                <w:szCs w:val="22"/>
                <w:color w:val="auto"/>
                <w:vertAlign w:val="superscript"/>
              </w:rPr>
              <w:t>(2)(3)</w:t>
            </w:r>
          </w:p>
        </w:tc>
        <w:tc>
          <w:tcPr>
            <w:tcW w:w="1180" w:type="dxa"/>
            <w:vAlign w:val="bottom"/>
            <w:shd w:val="clear" w:color="auto" w:fill="CCEEFF"/>
          </w:tcPr>
          <w:p>
            <w:pPr>
              <w:jc w:val="right"/>
              <w:ind w:right="416"/>
              <w:spacing w:after="0" w:line="192" w:lineRule="exact"/>
              <w:rPr>
                <w:sz w:val="20"/>
                <w:szCs w:val="20"/>
                <w:color w:val="auto"/>
              </w:rPr>
            </w:pPr>
            <w:r>
              <w:rPr>
                <w:rFonts w:ascii="Arial" w:cs="Arial" w:eastAsia="Arial" w:hAnsi="Arial"/>
                <w:sz w:val="17"/>
                <w:szCs w:val="17"/>
                <w:color w:val="auto"/>
              </w:rPr>
              <w:t>55</w:t>
            </w:r>
          </w:p>
        </w:tc>
        <w:tc>
          <w:tcPr>
            <w:tcW w:w="4580" w:type="dxa"/>
            <w:vAlign w:val="bottom"/>
            <w:gridSpan w:val="2"/>
            <w:shd w:val="clear" w:color="auto" w:fill="CCEEFF"/>
          </w:tcPr>
          <w:p>
            <w:pPr>
              <w:ind w:left="420"/>
              <w:spacing w:after="0" w:line="192" w:lineRule="exact"/>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40" w:type="dxa"/>
            <w:vAlign w:val="bottom"/>
          </w:tcPr>
          <w:p>
            <w:pPr>
              <w:spacing w:after="0" w:line="191" w:lineRule="exact"/>
              <w:rPr>
                <w:sz w:val="20"/>
                <w:szCs w:val="20"/>
                <w:color w:val="auto"/>
              </w:rPr>
            </w:pPr>
            <w:r>
              <w:rPr>
                <w:rFonts w:ascii="Arial" w:cs="Arial" w:eastAsia="Arial" w:hAnsi="Arial"/>
                <w:sz w:val="15"/>
                <w:szCs w:val="15"/>
                <w:color w:val="auto"/>
              </w:rPr>
              <w:t>Kristina Burow</w:t>
            </w:r>
            <w:r>
              <w:rPr>
                <w:rFonts w:ascii="Arial" w:cs="Arial" w:eastAsia="Arial" w:hAnsi="Arial"/>
                <w:sz w:val="22"/>
                <w:szCs w:val="22"/>
                <w:color w:val="auto"/>
                <w:vertAlign w:val="superscript"/>
              </w:rPr>
              <w:t>(1)(3)</w:t>
            </w:r>
          </w:p>
        </w:tc>
        <w:tc>
          <w:tcPr>
            <w:tcW w:w="1180" w:type="dxa"/>
            <w:vAlign w:val="bottom"/>
          </w:tcPr>
          <w:p>
            <w:pPr>
              <w:jc w:val="right"/>
              <w:ind w:right="416"/>
              <w:spacing w:after="0" w:line="192" w:lineRule="exact"/>
              <w:rPr>
                <w:sz w:val="20"/>
                <w:szCs w:val="20"/>
                <w:color w:val="auto"/>
              </w:rPr>
            </w:pPr>
            <w:r>
              <w:rPr>
                <w:rFonts w:ascii="Arial" w:cs="Arial" w:eastAsia="Arial" w:hAnsi="Arial"/>
                <w:sz w:val="17"/>
                <w:szCs w:val="17"/>
                <w:color w:val="auto"/>
              </w:rPr>
              <w:t>50</w:t>
            </w:r>
          </w:p>
        </w:tc>
        <w:tc>
          <w:tcPr>
            <w:tcW w:w="4580" w:type="dxa"/>
            <w:vAlign w:val="bottom"/>
            <w:gridSpan w:val="2"/>
          </w:tcPr>
          <w:p>
            <w:pPr>
              <w:ind w:left="420"/>
              <w:spacing w:after="0" w:line="192" w:lineRule="exact"/>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4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Jamie Christensen, Ph.D.(1)</w:t>
            </w:r>
          </w:p>
        </w:tc>
        <w:tc>
          <w:tcPr>
            <w:tcW w:w="1180" w:type="dxa"/>
            <w:vAlign w:val="bottom"/>
            <w:shd w:val="clear" w:color="auto" w:fill="CCEEFF"/>
          </w:tcPr>
          <w:p>
            <w:pPr>
              <w:jc w:val="right"/>
              <w:ind w:right="416"/>
              <w:spacing w:after="0" w:line="192" w:lineRule="exact"/>
              <w:rPr>
                <w:sz w:val="20"/>
                <w:szCs w:val="20"/>
                <w:color w:val="auto"/>
              </w:rPr>
            </w:pPr>
            <w:r>
              <w:rPr>
                <w:rFonts w:ascii="Arial" w:cs="Arial" w:eastAsia="Arial" w:hAnsi="Arial"/>
                <w:sz w:val="17"/>
                <w:szCs w:val="17"/>
                <w:color w:val="auto"/>
              </w:rPr>
              <w:t>56</w:t>
            </w:r>
          </w:p>
        </w:tc>
        <w:tc>
          <w:tcPr>
            <w:tcW w:w="4580" w:type="dxa"/>
            <w:vAlign w:val="bottom"/>
            <w:gridSpan w:val="2"/>
            <w:shd w:val="clear" w:color="auto" w:fill="CCEEFF"/>
          </w:tcPr>
          <w:p>
            <w:pPr>
              <w:ind w:left="420"/>
              <w:spacing w:after="0" w:line="192" w:lineRule="exact"/>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40" w:type="dxa"/>
            <w:vAlign w:val="bottom"/>
          </w:tcPr>
          <w:p>
            <w:pPr>
              <w:spacing w:after="0" w:line="191" w:lineRule="exact"/>
              <w:rPr>
                <w:sz w:val="20"/>
                <w:szCs w:val="20"/>
                <w:color w:val="auto"/>
              </w:rPr>
            </w:pPr>
            <w:r>
              <w:rPr>
                <w:rFonts w:ascii="Arial" w:cs="Arial" w:eastAsia="Arial" w:hAnsi="Arial"/>
                <w:sz w:val="15"/>
                <w:szCs w:val="15"/>
                <w:color w:val="auto"/>
              </w:rPr>
              <w:t>Jennifer Lew</w:t>
            </w:r>
            <w:r>
              <w:rPr>
                <w:rFonts w:ascii="Arial" w:cs="Arial" w:eastAsia="Arial" w:hAnsi="Arial"/>
                <w:sz w:val="22"/>
                <w:szCs w:val="22"/>
                <w:color w:val="auto"/>
                <w:vertAlign w:val="superscript"/>
              </w:rPr>
              <w:t>(1)(2)</w:t>
            </w:r>
          </w:p>
        </w:tc>
        <w:tc>
          <w:tcPr>
            <w:tcW w:w="1180" w:type="dxa"/>
            <w:vAlign w:val="bottom"/>
          </w:tcPr>
          <w:p>
            <w:pPr>
              <w:jc w:val="right"/>
              <w:ind w:right="416"/>
              <w:spacing w:after="0" w:line="192" w:lineRule="exact"/>
              <w:rPr>
                <w:sz w:val="20"/>
                <w:szCs w:val="20"/>
                <w:color w:val="auto"/>
              </w:rPr>
            </w:pPr>
            <w:r>
              <w:rPr>
                <w:rFonts w:ascii="Arial" w:cs="Arial" w:eastAsia="Arial" w:hAnsi="Arial"/>
                <w:sz w:val="17"/>
                <w:szCs w:val="17"/>
                <w:color w:val="auto"/>
              </w:rPr>
              <w:t>51</w:t>
            </w:r>
          </w:p>
        </w:tc>
        <w:tc>
          <w:tcPr>
            <w:tcW w:w="4580" w:type="dxa"/>
            <w:vAlign w:val="bottom"/>
            <w:gridSpan w:val="2"/>
          </w:tcPr>
          <w:p>
            <w:pPr>
              <w:ind w:left="420"/>
              <w:spacing w:after="0" w:line="192" w:lineRule="exact"/>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40" w:type="dxa"/>
            <w:vAlign w:val="bottom"/>
            <w:shd w:val="clear" w:color="auto" w:fill="CCEEFF"/>
          </w:tcPr>
          <w:p>
            <w:pPr>
              <w:spacing w:after="0" w:line="191" w:lineRule="exact"/>
              <w:rPr>
                <w:sz w:val="20"/>
                <w:szCs w:val="20"/>
                <w:color w:val="auto"/>
              </w:rPr>
            </w:pPr>
            <w:r>
              <w:rPr>
                <w:rFonts w:ascii="Arial" w:cs="Arial" w:eastAsia="Arial" w:hAnsi="Arial"/>
                <w:sz w:val="15"/>
                <w:szCs w:val="15"/>
                <w:color w:val="auto"/>
              </w:rPr>
              <w:t>Jakob Loven, Ph.D.</w:t>
            </w:r>
            <w:r>
              <w:rPr>
                <w:rFonts w:ascii="Arial" w:cs="Arial" w:eastAsia="Arial" w:hAnsi="Arial"/>
                <w:sz w:val="22"/>
                <w:szCs w:val="22"/>
                <w:color w:val="auto"/>
                <w:vertAlign w:val="superscript"/>
              </w:rPr>
              <w:t>(4)</w:t>
            </w:r>
          </w:p>
        </w:tc>
        <w:tc>
          <w:tcPr>
            <w:tcW w:w="1180" w:type="dxa"/>
            <w:vAlign w:val="bottom"/>
            <w:shd w:val="clear" w:color="auto" w:fill="CCEEFF"/>
          </w:tcPr>
          <w:p>
            <w:pPr>
              <w:jc w:val="right"/>
              <w:ind w:right="416"/>
              <w:spacing w:after="0" w:line="192" w:lineRule="exact"/>
              <w:rPr>
                <w:sz w:val="20"/>
                <w:szCs w:val="20"/>
                <w:color w:val="auto"/>
              </w:rPr>
            </w:pPr>
            <w:r>
              <w:rPr>
                <w:rFonts w:ascii="Arial" w:cs="Arial" w:eastAsia="Arial" w:hAnsi="Arial"/>
                <w:sz w:val="17"/>
                <w:szCs w:val="17"/>
                <w:color w:val="auto"/>
              </w:rPr>
              <w:t>46</w:t>
            </w:r>
          </w:p>
        </w:tc>
        <w:tc>
          <w:tcPr>
            <w:tcW w:w="4580" w:type="dxa"/>
            <w:vAlign w:val="bottom"/>
            <w:gridSpan w:val="2"/>
            <w:shd w:val="clear" w:color="auto" w:fill="CCEEFF"/>
          </w:tcPr>
          <w:p>
            <w:pPr>
              <w:ind w:left="420"/>
              <w:spacing w:after="0" w:line="192" w:lineRule="exact"/>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40" w:type="dxa"/>
            <w:vAlign w:val="bottom"/>
          </w:tcPr>
          <w:p>
            <w:pPr>
              <w:spacing w:after="0" w:line="191" w:lineRule="exact"/>
              <w:rPr>
                <w:sz w:val="20"/>
                <w:szCs w:val="20"/>
                <w:color w:val="auto"/>
              </w:rPr>
            </w:pPr>
            <w:r>
              <w:rPr>
                <w:rFonts w:ascii="Arial" w:cs="Arial" w:eastAsia="Arial" w:hAnsi="Arial"/>
                <w:sz w:val="15"/>
                <w:szCs w:val="15"/>
                <w:color w:val="auto"/>
              </w:rPr>
              <w:t>Fabio Pucci, Ph.D.</w:t>
            </w:r>
            <w:r>
              <w:rPr>
                <w:rFonts w:ascii="Arial" w:cs="Arial" w:eastAsia="Arial" w:hAnsi="Arial"/>
                <w:sz w:val="22"/>
                <w:szCs w:val="22"/>
                <w:color w:val="auto"/>
                <w:vertAlign w:val="superscript"/>
              </w:rPr>
              <w:t>(5)</w:t>
            </w:r>
          </w:p>
        </w:tc>
        <w:tc>
          <w:tcPr>
            <w:tcW w:w="1180" w:type="dxa"/>
            <w:vAlign w:val="bottom"/>
          </w:tcPr>
          <w:p>
            <w:pPr>
              <w:jc w:val="right"/>
              <w:ind w:right="416"/>
              <w:spacing w:after="0" w:line="192" w:lineRule="exact"/>
              <w:rPr>
                <w:sz w:val="20"/>
                <w:szCs w:val="20"/>
                <w:color w:val="auto"/>
              </w:rPr>
            </w:pPr>
            <w:r>
              <w:rPr>
                <w:rFonts w:ascii="Arial" w:cs="Arial" w:eastAsia="Arial" w:hAnsi="Arial"/>
                <w:sz w:val="17"/>
                <w:szCs w:val="17"/>
                <w:color w:val="auto"/>
              </w:rPr>
              <w:t>39</w:t>
            </w:r>
          </w:p>
        </w:tc>
        <w:tc>
          <w:tcPr>
            <w:tcW w:w="4580" w:type="dxa"/>
            <w:vAlign w:val="bottom"/>
            <w:gridSpan w:val="2"/>
          </w:tcPr>
          <w:p>
            <w:pPr>
              <w:ind w:left="420"/>
              <w:spacing w:after="0" w:line="192" w:lineRule="exact"/>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40" w:type="dxa"/>
            <w:vAlign w:val="bottom"/>
            <w:shd w:val="clear" w:color="auto" w:fill="CCEEFF"/>
          </w:tcPr>
          <w:p>
            <w:pPr>
              <w:spacing w:after="0" w:line="191" w:lineRule="exact"/>
              <w:rPr>
                <w:sz w:val="20"/>
                <w:szCs w:val="20"/>
                <w:color w:val="auto"/>
              </w:rPr>
            </w:pPr>
            <w:r>
              <w:rPr>
                <w:rFonts w:ascii="Arial" w:cs="Arial" w:eastAsia="Arial" w:hAnsi="Arial"/>
                <w:sz w:val="15"/>
                <w:szCs w:val="15"/>
                <w:color w:val="auto"/>
              </w:rPr>
              <w:t>Nancy Whiting, Pharm.D.</w:t>
            </w:r>
            <w:r>
              <w:rPr>
                <w:rFonts w:ascii="Arial" w:cs="Arial" w:eastAsia="Arial" w:hAnsi="Arial"/>
                <w:sz w:val="22"/>
                <w:szCs w:val="22"/>
                <w:color w:val="auto"/>
                <w:vertAlign w:val="superscript"/>
              </w:rPr>
              <w:t>(3)</w:t>
            </w:r>
          </w:p>
        </w:tc>
        <w:tc>
          <w:tcPr>
            <w:tcW w:w="1180" w:type="dxa"/>
            <w:vAlign w:val="bottom"/>
            <w:shd w:val="clear" w:color="auto" w:fill="CCEEFF"/>
          </w:tcPr>
          <w:p>
            <w:pPr>
              <w:jc w:val="right"/>
              <w:ind w:right="416"/>
              <w:spacing w:after="0" w:line="192" w:lineRule="exact"/>
              <w:rPr>
                <w:sz w:val="20"/>
                <w:szCs w:val="20"/>
                <w:color w:val="auto"/>
              </w:rPr>
            </w:pPr>
            <w:r>
              <w:rPr>
                <w:rFonts w:ascii="Arial" w:cs="Arial" w:eastAsia="Arial" w:hAnsi="Arial"/>
                <w:sz w:val="17"/>
                <w:szCs w:val="17"/>
                <w:color w:val="auto"/>
              </w:rPr>
              <w:t>51</w:t>
            </w:r>
          </w:p>
        </w:tc>
        <w:tc>
          <w:tcPr>
            <w:tcW w:w="4580" w:type="dxa"/>
            <w:vAlign w:val="bottom"/>
            <w:gridSpan w:val="2"/>
            <w:shd w:val="clear" w:color="auto" w:fill="CCEEFF"/>
          </w:tcPr>
          <w:p>
            <w:pPr>
              <w:ind w:left="420"/>
              <w:spacing w:after="0" w:line="192" w:lineRule="exact"/>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89535</wp:posOffset>
            </wp:positionV>
            <wp:extent cx="73025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164" w:lineRule="exact"/>
        <w:rPr>
          <w:sz w:val="20"/>
          <w:szCs w:val="20"/>
          <w:color w:val="auto"/>
        </w:rPr>
      </w:pPr>
    </w:p>
    <w:p>
      <w:pPr>
        <w:ind w:left="820" w:hanging="409"/>
        <w:spacing w:after="0"/>
        <w:tabs>
          <w:tab w:leader="none" w:pos="8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4" w:lineRule="exact"/>
        <w:rPr>
          <w:rFonts w:ascii="Arial" w:cs="Arial" w:eastAsia="Arial" w:hAnsi="Arial"/>
          <w:sz w:val="14"/>
          <w:szCs w:val="14"/>
          <w:color w:val="auto"/>
        </w:rPr>
      </w:pPr>
    </w:p>
    <w:p>
      <w:pPr>
        <w:ind w:left="820" w:hanging="409"/>
        <w:spacing w:after="0" w:line="228" w:lineRule="auto"/>
        <w:tabs>
          <w:tab w:leader="none" w:pos="8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Member of the audit committee.</w:t>
      </w:r>
    </w:p>
    <w:p>
      <w:pPr>
        <w:ind w:left="820" w:hanging="409"/>
        <w:spacing w:after="0" w:line="228" w:lineRule="auto"/>
        <w:tabs>
          <w:tab w:leader="none" w:pos="8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ind w:left="820" w:hanging="409"/>
        <w:spacing w:after="0" w:line="228" w:lineRule="auto"/>
        <w:tabs>
          <w:tab w:leader="none" w:pos="8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Dr. Loven will resign from our board of directors immediately prior to the effectiveness of the registration statement of which this prospectus forms a part.</w:t>
      </w:r>
    </w:p>
    <w:p>
      <w:pPr>
        <w:ind w:left="820" w:hanging="409"/>
        <w:spacing w:after="0"/>
        <w:tabs>
          <w:tab w:leader="none" w:pos="8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Dr. Pucci will resign from our board of directors immediately prior to the effectiveness of the registration statement of which this prospectus forms a part.</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Executive Officers</w:t>
      </w:r>
    </w:p>
    <w:p>
      <w:pPr>
        <w:spacing w:after="0" w:line="201" w:lineRule="exact"/>
        <w:rPr>
          <w:sz w:val="20"/>
          <w:szCs w:val="20"/>
          <w:color w:val="auto"/>
        </w:rPr>
      </w:pPr>
    </w:p>
    <w:p>
      <w:pPr>
        <w:ind w:left="420" w:right="240" w:firstLine="521"/>
        <w:spacing w:after="0" w:line="255" w:lineRule="auto"/>
        <w:rPr>
          <w:sz w:val="20"/>
          <w:szCs w:val="20"/>
          <w:color w:val="auto"/>
        </w:rPr>
      </w:pPr>
      <w:r>
        <w:rPr>
          <w:rFonts w:ascii="Arial" w:cs="Arial" w:eastAsia="Arial" w:hAnsi="Arial"/>
          <w:sz w:val="16"/>
          <w:szCs w:val="16"/>
          <w:i w:val="1"/>
          <w:iCs w:val="1"/>
          <w:color w:val="auto"/>
        </w:rPr>
        <w:t xml:space="preserve">Zachary D. Hornby </w:t>
      </w:r>
      <w:r>
        <w:rPr>
          <w:rFonts w:ascii="Arial" w:cs="Arial" w:eastAsia="Arial" w:hAnsi="Arial"/>
          <w:sz w:val="16"/>
          <w:szCs w:val="16"/>
          <w:color w:val="auto"/>
        </w:rPr>
        <w:t>has served as our President, Chief Executive Officer, and as a member of our board of directors since May</w:t>
      </w:r>
      <w:r>
        <w:rPr>
          <w:rFonts w:ascii="Arial" w:cs="Arial" w:eastAsia="Arial" w:hAnsi="Arial"/>
          <w:sz w:val="16"/>
          <w:szCs w:val="16"/>
          <w:i w:val="1"/>
          <w:iCs w:val="1"/>
          <w:color w:val="auto"/>
        </w:rPr>
        <w:t xml:space="preserve"> </w:t>
      </w:r>
      <w:r>
        <w:rPr>
          <w:rFonts w:ascii="Arial" w:cs="Arial" w:eastAsia="Arial" w:hAnsi="Arial"/>
          <w:sz w:val="16"/>
          <w:szCs w:val="16"/>
          <w:color w:val="auto"/>
        </w:rPr>
        <w:t>2019. Previously, Mr. Hornby served in several executive positions at Ignyta, Inc. (acquired by Roche/Genentech), a publicly traded precision oncology company, including as its Chief Operating Officer from June 2014 to July 2018 and prior to that as its Chief Financial Officer from July 2013 to May 2014 and Vice President of Corporate Development from August 2012 to July 2013. In these roles,</w:t>
      </w:r>
    </w:p>
    <w:p>
      <w:pPr>
        <w:spacing w:after="0" w:line="1" w:lineRule="exact"/>
        <w:rPr>
          <w:sz w:val="20"/>
          <w:szCs w:val="20"/>
          <w:color w:val="auto"/>
        </w:rPr>
      </w:pPr>
    </w:p>
    <w:p>
      <w:pPr>
        <w:ind w:left="420" w:right="100"/>
        <w:spacing w:after="0" w:line="225" w:lineRule="auto"/>
        <w:rPr>
          <w:sz w:val="20"/>
          <w:szCs w:val="20"/>
          <w:color w:val="auto"/>
        </w:rPr>
      </w:pPr>
      <w:r>
        <w:rPr>
          <w:rFonts w:ascii="Arial" w:cs="Arial" w:eastAsia="Arial" w:hAnsi="Arial"/>
          <w:sz w:val="17"/>
          <w:szCs w:val="17"/>
          <w:color w:val="auto"/>
        </w:rPr>
        <w:t>Mr. Hornby led the operational team responsible for the development of entrectinib (Rozlytrek</w:t>
      </w:r>
      <w:r>
        <w:rPr>
          <w:rFonts w:ascii="Arial" w:cs="Arial" w:eastAsia="Arial" w:hAnsi="Arial"/>
          <w:sz w:val="25"/>
          <w:szCs w:val="25"/>
          <w:color w:val="auto"/>
          <w:vertAlign w:val="superscript"/>
        </w:rPr>
        <w:t>TM</w:t>
      </w:r>
      <w:r>
        <w:rPr>
          <w:rFonts w:ascii="Arial" w:cs="Arial" w:eastAsia="Arial" w:hAnsi="Arial"/>
          <w:sz w:val="17"/>
          <w:szCs w:val="17"/>
          <w:color w:val="auto"/>
        </w:rPr>
        <w:t>) and the efforts ultimately leading to the acquisition by Roche in February 2018. Prior to Ignyta, Mr. Hornby served as Senior Director of Business Development at Fate Therapeutics, a cellular immunotherapy company focused on oncology and immunology, and various business and corporate development roles at Halozyme Therapeutics, Inc.. Mr. Hornby held earlier roles in new product planning, marketing, and strategy at Neurocrine Biosciences and L.E.K. Consulting. In addition, Mr. Hornby serves as a member of the board of directors for Novome Biotechnologies, Inc., Aardvark Therapeutics, Inc., and Radionetics Oncology, Inc. Mr. Hornby received a B.S in Biology and a M.S. in Biology from Stanford University and an MBA from Harvard Business School. Mr. Hornby’s knowledge of our business, his background in corporate strategy and finance, and his extensive executive experience at multiple biopharmaceutical companies contributed to our board of directors’ conclusion that he should serve as a director of our company.</w:t>
      </w:r>
    </w:p>
    <w:p>
      <w:pPr>
        <w:spacing w:after="0" w:line="11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165</w:t>
      </w:r>
    </w:p>
    <w:p>
      <w:pPr>
        <w:sectPr>
          <w:pgSz w:w="11900" w:h="16838" w:orient="portrait"/>
          <w:cols w:equalWidth="0" w:num="1">
            <w:col w:w="10840"/>
          </w:cols>
          <w:pgMar w:left="320" w:top="439" w:right="7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140" w:firstLine="521"/>
        <w:spacing w:after="0"/>
        <w:rPr>
          <w:sz w:val="20"/>
          <w:szCs w:val="20"/>
          <w:color w:val="auto"/>
        </w:rPr>
      </w:pPr>
      <w:r>
        <w:rPr>
          <w:rFonts w:ascii="Arial" w:cs="Arial" w:eastAsia="Arial" w:hAnsi="Arial"/>
          <w:sz w:val="17"/>
          <w:szCs w:val="17"/>
          <w:i w:val="1"/>
          <w:iCs w:val="1"/>
          <w:color w:val="auto"/>
        </w:rPr>
        <w:t xml:space="preserve">Jami Rubin </w:t>
      </w:r>
      <w:r>
        <w:rPr>
          <w:rFonts w:ascii="Arial" w:cs="Arial" w:eastAsia="Arial" w:hAnsi="Arial"/>
          <w:sz w:val="17"/>
          <w:szCs w:val="17"/>
          <w:color w:val="auto"/>
        </w:rPr>
        <w:t>has served as our Chief Financial Officer since July 2023. Previously, Ms. Rubin was a venture partner in ARCH</w:t>
      </w:r>
      <w:r>
        <w:rPr>
          <w:rFonts w:ascii="Arial" w:cs="Arial" w:eastAsia="Arial" w:hAnsi="Arial"/>
          <w:sz w:val="17"/>
          <w:szCs w:val="17"/>
          <w:i w:val="1"/>
          <w:iCs w:val="1"/>
          <w:color w:val="auto"/>
        </w:rPr>
        <w:t xml:space="preserve"> </w:t>
      </w:r>
      <w:r>
        <w:rPr>
          <w:rFonts w:ascii="Arial" w:cs="Arial" w:eastAsia="Arial" w:hAnsi="Arial"/>
          <w:sz w:val="17"/>
          <w:szCs w:val="17"/>
          <w:color w:val="auto"/>
        </w:rPr>
        <w:t>Venture Partners, a venture capital firm, from May to July 2023, and continues to serve in such role on a part-time basis. Prior to that, Ms. Rubin served as Chief Financial Officer of EQRx (acquired by Revolution Medicines), Inc., a publicly traded biotechnology company, from April 2021 to March 2023. From May 2019 to April 2021, Ms. Rubin served as a partner at PJT Partners, a global advisory-focused investment bank. Prior to that, Ms. Rubin spent more than 25 years as an equity analyst following the pharmaceutical industry. Most recently, Ms. Rubin was an equity research analyst and then partner at Goldman Sachs &amp; Co. LLC managing the global healthcare research team from September 2008 to October 2018. In addition, Ms. Rubin currently serves as a member of the board of directors of Relay Therapeutics, Inc., a publicly traded precision medicine company. Ms. Rubin received a B.A. from Vassar College.</w:t>
      </w:r>
    </w:p>
    <w:p>
      <w:pPr>
        <w:spacing w:after="0" w:line="174" w:lineRule="exact"/>
        <w:rPr>
          <w:sz w:val="20"/>
          <w:szCs w:val="20"/>
          <w:color w:val="auto"/>
        </w:rPr>
      </w:pPr>
    </w:p>
    <w:p>
      <w:pPr>
        <w:ind w:left="420" w:right="20" w:firstLine="521"/>
        <w:spacing w:after="0" w:line="238" w:lineRule="auto"/>
        <w:rPr>
          <w:sz w:val="20"/>
          <w:szCs w:val="20"/>
          <w:color w:val="auto"/>
        </w:rPr>
      </w:pPr>
      <w:r>
        <w:rPr>
          <w:rFonts w:ascii="Arial" w:cs="Arial" w:eastAsia="Arial" w:hAnsi="Arial"/>
          <w:sz w:val="17"/>
          <w:szCs w:val="17"/>
          <w:i w:val="1"/>
          <w:iCs w:val="1"/>
          <w:color w:val="auto"/>
        </w:rPr>
        <w:t xml:space="preserve">Klaus Wagner, M.D., Ph.D. </w:t>
      </w:r>
      <w:r>
        <w:rPr>
          <w:rFonts w:ascii="Arial" w:cs="Arial" w:eastAsia="Arial" w:hAnsi="Arial"/>
          <w:sz w:val="17"/>
          <w:szCs w:val="17"/>
          <w:color w:val="auto"/>
        </w:rPr>
        <w:t>has served as our Chief Medical Officer since February 2022. Prior to joining Boundless, Dr. Wagner</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Chief Medical Officer and Executive Vice President of Inhibrx, Inc. (acquisition by Sanofi pending), a publicly traded biopharmaceutical company, where he led the development of multiple oncology candidates from pre-IND to late-stage clinical trials from August 2015 to February 2022. Prior to Inhibrx, Dr. Wagner served as a Medical Oncologist at the Banner MD Anderson Cancer Center and as Adjunct Assistant Professor in the Department of Thoracic, Head &amp; Neck Medical Oncology at MD Anderson Cancer Center from November 2012 to August 2015. During that time, Dr. Wagner led multiple targeted therapy and cancer immunotherapy trials in non-small cell lung cancer as a Principal Investigator. From October 2003 to 2006, and from September 2011 to 2012, Dr. Wagner was at Genentech, Inc., where he served in various roles including Scientist and Diagnostic Development Team Leader, and Assistant Medical Director; and from November 2000 to 2003, Dr. Wagner was a Post-doctoral Associate at the Genomics Institute of the Novartis Research Foundation. Dr. Wagner sees patients as a Medical Oncologist on a volunteer basis up to five hours per week in the General Medical Oncology Clinic at the VA Medical Center in San Diego. Dr. Wagner was Board-certified in Medical Oncology and Internal Medicine and completed his internal medicine training at the Indiana University School of Medicine and medical oncology training at MD Anderson Cancer Center. Dr. Wagner received an M.D. and a Ph.D. from Friedrich-Alexander University School of Medicine.</w:t>
      </w:r>
    </w:p>
    <w:p>
      <w:pPr>
        <w:spacing w:after="0" w:line="176" w:lineRule="exact"/>
        <w:rPr>
          <w:sz w:val="20"/>
          <w:szCs w:val="20"/>
          <w:color w:val="auto"/>
        </w:rPr>
      </w:pPr>
    </w:p>
    <w:p>
      <w:pPr>
        <w:ind w:left="420" w:firstLine="521"/>
        <w:spacing w:after="0" w:line="239" w:lineRule="auto"/>
        <w:rPr>
          <w:sz w:val="20"/>
          <w:szCs w:val="20"/>
          <w:color w:val="auto"/>
        </w:rPr>
      </w:pPr>
      <w:r>
        <w:rPr>
          <w:rFonts w:ascii="Arial" w:cs="Arial" w:eastAsia="Arial" w:hAnsi="Arial"/>
          <w:sz w:val="17"/>
          <w:szCs w:val="17"/>
          <w:i w:val="1"/>
          <w:iCs w:val="1"/>
          <w:color w:val="auto"/>
        </w:rPr>
        <w:t xml:space="preserve">Christian “Chris” Hassig, Ph.D. </w:t>
      </w:r>
      <w:r>
        <w:rPr>
          <w:rFonts w:ascii="Arial" w:cs="Arial" w:eastAsia="Arial" w:hAnsi="Arial"/>
          <w:sz w:val="17"/>
          <w:szCs w:val="17"/>
          <w:color w:val="auto"/>
        </w:rPr>
        <w:t>has served as our Chief Scientific Officer since November 2019. Before Boundless, Dr. Hassig was</w:t>
      </w:r>
      <w:r>
        <w:rPr>
          <w:rFonts w:ascii="Arial" w:cs="Arial" w:eastAsia="Arial" w:hAnsi="Arial"/>
          <w:sz w:val="17"/>
          <w:szCs w:val="17"/>
          <w:i w:val="1"/>
          <w:iCs w:val="1"/>
          <w:color w:val="auto"/>
        </w:rPr>
        <w:t xml:space="preserve"> </w:t>
      </w:r>
      <w:r>
        <w:rPr>
          <w:rFonts w:ascii="Arial" w:cs="Arial" w:eastAsia="Arial" w:hAnsi="Arial"/>
          <w:sz w:val="17"/>
          <w:szCs w:val="17"/>
          <w:color w:val="auto"/>
        </w:rPr>
        <w:t>with Sierra Oncology, Inc. (acquired by GlaxoSmithKline), a publicly traded precision oncology company where he served in various leadership roles including Chief Scientific Officer and Senior Vice President of Research, from June 2016 to November 2019. Prior to Sierra, Dr. Hassig served as Vice President of Drug Discovery at the Sanford Burnham Prebys Medical Discovery Institute where he led the discovery and development of novel small molecule therapeutics against innovative targets. Dr. Hassig also held several positions within the Biology and Lead Discovery departments at Kalypsys, Inc., a private biopharmaceutical company specializing in small molecule drug discovery and development. Dr. Hassig received a B.A. in Chemistry and Biochemistry from the University of California, San Diego, a Ph.D. in Molecular and Cellular Biology from Harvard University, and also completed a Postdoctoral Fellowship at the University of California, Berkeley.</w:t>
      </w:r>
    </w:p>
    <w:p>
      <w:pPr>
        <w:spacing w:after="0" w:line="177" w:lineRule="exact"/>
        <w:rPr>
          <w:sz w:val="20"/>
          <w:szCs w:val="20"/>
          <w:color w:val="auto"/>
        </w:rPr>
      </w:pPr>
    </w:p>
    <w:p>
      <w:pPr>
        <w:ind w:left="420" w:right="20" w:firstLine="521"/>
        <w:spacing w:after="0" w:line="241" w:lineRule="auto"/>
        <w:rPr>
          <w:sz w:val="20"/>
          <w:szCs w:val="20"/>
          <w:color w:val="auto"/>
        </w:rPr>
      </w:pPr>
      <w:r>
        <w:rPr>
          <w:rFonts w:ascii="Arial" w:cs="Arial" w:eastAsia="Arial" w:hAnsi="Arial"/>
          <w:sz w:val="17"/>
          <w:szCs w:val="17"/>
          <w:i w:val="1"/>
          <w:iCs w:val="1"/>
          <w:color w:val="auto"/>
        </w:rPr>
        <w:t xml:space="preserve">Neil Abdollahian </w:t>
      </w:r>
      <w:r>
        <w:rPr>
          <w:rFonts w:ascii="Arial" w:cs="Arial" w:eastAsia="Arial" w:hAnsi="Arial"/>
          <w:sz w:val="17"/>
          <w:szCs w:val="17"/>
          <w:color w:val="auto"/>
        </w:rPr>
        <w:t>has served as our Chief Business Officer since August 2021. Prior to Boundless, Mr. Abdollahian served as Chief</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Officer of Cidara Therapeutics, Inc., a publicly traded biopharmaceutical company, from July 2016 to August 2021. Prior to Cidara, Mr. Abdollahian was Managing Director of Clarity Point Partners, LLC, a strategic advisory firm focused on corporate development initiatives including biopharmaceutical product acquisitions and licensing. Previously, Mr. Abdollahian served in various leadership roles including Vice President of Business Development at Trius Therapeutics, Inc., where he led the efforts resulting in the acquisition by Cubist Pharmaceuticals. Mr. Abdollahian also served earlier in various business and corporate development roles at Emerging Growth Capital Pty, Avanir Pharmaceuticals, and Isis Pharmaceuticals.</w:t>
      </w:r>
    </w:p>
    <w:p>
      <w:pPr>
        <w:spacing w:after="0" w:line="10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166</w:t>
      </w:r>
    </w:p>
    <w:p>
      <w:pPr>
        <w:sectPr>
          <w:pgSz w:w="11900" w:h="16838" w:orient="portrait"/>
          <w:cols w:equalWidth="0" w:num="1">
            <w:col w:w="10800"/>
          </w:cols>
          <w:pgMar w:left="320" w:top="439" w:right="77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120"/>
        <w:spacing w:after="0" w:line="270" w:lineRule="auto"/>
        <w:rPr>
          <w:sz w:val="20"/>
          <w:szCs w:val="20"/>
          <w:color w:val="auto"/>
        </w:rPr>
      </w:pPr>
      <w:r>
        <w:rPr>
          <w:rFonts w:ascii="Arial" w:cs="Arial" w:eastAsia="Arial" w:hAnsi="Arial"/>
          <w:sz w:val="17"/>
          <w:szCs w:val="17"/>
          <w:color w:val="auto"/>
        </w:rPr>
        <w:t>Mr. Abdollahian received a B.S in Biology from the George Washington University, a M.S. in Biomedical Sciences from University of New Mexico Medical School, and an MBA from Pepperdine University.</w:t>
      </w:r>
    </w:p>
    <w:p>
      <w:pPr>
        <w:spacing w:after="0" w:line="148" w:lineRule="exact"/>
        <w:rPr>
          <w:sz w:val="20"/>
          <w:szCs w:val="20"/>
          <w:color w:val="auto"/>
        </w:rPr>
      </w:pPr>
    </w:p>
    <w:p>
      <w:pPr>
        <w:ind w:left="420" w:right="20" w:firstLine="521"/>
        <w:spacing w:after="0" w:line="239" w:lineRule="auto"/>
        <w:rPr>
          <w:sz w:val="20"/>
          <w:szCs w:val="20"/>
          <w:color w:val="auto"/>
        </w:rPr>
      </w:pPr>
      <w:r>
        <w:rPr>
          <w:rFonts w:ascii="Arial" w:cs="Arial" w:eastAsia="Arial" w:hAnsi="Arial"/>
          <w:sz w:val="17"/>
          <w:szCs w:val="17"/>
          <w:i w:val="1"/>
          <w:iCs w:val="1"/>
          <w:color w:val="auto"/>
        </w:rPr>
        <w:t xml:space="preserve">Jessica Oien </w:t>
      </w:r>
      <w:r>
        <w:rPr>
          <w:rFonts w:ascii="Arial" w:cs="Arial" w:eastAsia="Arial" w:hAnsi="Arial"/>
          <w:sz w:val="17"/>
          <w:szCs w:val="17"/>
          <w:color w:val="auto"/>
        </w:rPr>
        <w:t>has served as our Chief Legal Officer and Corporate Secretary since January 2024 and as our General Counsel and</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Secretary from August 2021 through December 2023. Prior to joining Boundless, Ms. Oien served as General Counsel and Corporate Secretary at Cidara Therapeutics, Inc., a publicly traded biopharmaceutical company, from September 2018 to August 2021. Before Cidara, Ms. Oien served as Vice President, Legal and Compliance at Otonomy, Inc., a publicly traded biopharmaceutical company, where she was the legal lead for the commercial business from 2015 to 2018 and spearheaded the commercial compliance program. She served in similar roles as Vice President, Legal and Compliance for Pernix Therapeutics; Vice President, Legal Affairs &amp; Compliance for Somaxon Pharmaceuticals; and Senior Director, Legal Affairs for Verus Pharmaceuticals, and Senior Director, Legal Affairs at Elan Pharmaceuticals. Ms. Oien began her legal career as corporate counsel at national law firms including Brobeck, Phleger &amp; Harrison LLP and Milbank, Tweed, Hadley &amp; McCloy LLP. Ms. Oien received a B.A. in Economics and Political Science from North Dakota State University and a J.D. from Loyola Law School.</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Non-Employee Directors</w:t>
      </w:r>
    </w:p>
    <w:p>
      <w:pPr>
        <w:spacing w:after="0" w:line="201" w:lineRule="exact"/>
        <w:rPr>
          <w:sz w:val="20"/>
          <w:szCs w:val="20"/>
          <w:color w:val="auto"/>
        </w:rPr>
      </w:pPr>
    </w:p>
    <w:p>
      <w:pPr>
        <w:ind w:left="420" w:firstLine="521"/>
        <w:spacing w:after="0" w:line="237" w:lineRule="auto"/>
        <w:rPr>
          <w:sz w:val="20"/>
          <w:szCs w:val="20"/>
          <w:color w:val="auto"/>
        </w:rPr>
      </w:pPr>
      <w:r>
        <w:rPr>
          <w:rFonts w:ascii="Arial" w:cs="Arial" w:eastAsia="Arial" w:hAnsi="Arial"/>
          <w:sz w:val="17"/>
          <w:szCs w:val="17"/>
          <w:i w:val="1"/>
          <w:iCs w:val="1"/>
          <w:color w:val="auto"/>
        </w:rPr>
        <w:t xml:space="preserve">Jonathan E. Lim, M.D. </w:t>
      </w:r>
      <w:r>
        <w:rPr>
          <w:rFonts w:ascii="Arial" w:cs="Arial" w:eastAsia="Arial" w:hAnsi="Arial"/>
          <w:sz w:val="17"/>
          <w:szCs w:val="17"/>
          <w:color w:val="auto"/>
        </w:rPr>
        <w:t>co-founded Boundless and has served as our Chairman since December 2018. Dr. Lim also co-founded</w:t>
      </w:r>
      <w:r>
        <w:rPr>
          <w:rFonts w:ascii="Arial" w:cs="Arial" w:eastAsia="Arial" w:hAnsi="Arial"/>
          <w:sz w:val="17"/>
          <w:szCs w:val="17"/>
          <w:i w:val="1"/>
          <w:iCs w:val="1"/>
          <w:color w:val="auto"/>
        </w:rPr>
        <w:t xml:space="preserve"> </w:t>
      </w:r>
      <w:r>
        <w:rPr>
          <w:rFonts w:ascii="Arial" w:cs="Arial" w:eastAsia="Arial" w:hAnsi="Arial"/>
          <w:sz w:val="17"/>
          <w:szCs w:val="17"/>
          <w:color w:val="auto"/>
        </w:rPr>
        <w:t>Erasca, Inc., a publicly traded precision oncology company, in July 2018, joined as Executive Chairman in October 2018, and has served as Chairman and Chief Executive Officer since March 2019. Dr. Lim has also served as a Venture Partner at ARCH Venture Partners since December 2018 and as Managing Partner at City Hill, LLC since founding it in 2010. Prior to co-founding each of Boundless and Erasca in 2018, Dr. Lim co-founded and served as Chairman of Ignyta, Inc., a publicly traded precision oncology company, and led it from 2012 as Chairman, Chief Executive Officer, and President through its acquisition by Roche in February 2018 and subsequent integration into Roche and Genentech in July 2018. During his tenure at Ignyta, Dr. Lim co-founded Bonti, Inc., a privately held pain management and anesthetics company, and served as its Chairman from February 2016 until its acquisition by Allergan plc in October 2018. Prior to joining Ignyta, Dr. Lim served as Chairman and Chief Executive Officer of Eclipse Therapeutics, Inc., a privately held oncology company targeting cancer stem cells that he co-founded in March 2011 as a spinout from Biogen Idec and that was sold to Bionomics Ltd. in 2012. Prior to Eclipse, Dr. Lim served as the President, Chief Executive Officer, and a Director (including as Chairman from 2004 to 2005) of Halozyme Therapeutics, Inc., a publicly traded biotechnology company, from May 2003 to December 2010. Prior to Halozyme, Dr. Lim’s experience included management consulting at McKinsey &amp; Company, a National Institutes of Health Postdoctoral Fellowship at Harvard Medical School and the Dana-Farber Cancer Institute, and two years of general surgery residency at New York Hospital-Cornell and Memorial Sloan Kettering Cancer Center. Dr. Lim has also served as a member of the board of directors of Maze Therapeutics, Inc., a private company advancing precision medicines for both rare and common diseases, since October 2019. Dr. Lim has been a member of the Board of Overseers at Scripps Research since October 2018, a member of the Board of Visitors of the Moores Cancer Center at the University of California, San Diego since 2015, and a member of the Stanford Interdisciplinary Biosciences Council since 2014. Dr. Lim has B.S. and M.S. degrees from Stanford University, an M.D. from McGill University, and an M.P.H. from Harvard University. Dr. Lim’s intimate knowledge of our business as a co-founder and his extensive experience as an executive officer and director of multiple public and private biotechnology companies contributed to our board of directors’ conclusion that he should serve as a director of our company.</w:t>
      </w:r>
    </w:p>
    <w:p>
      <w:pPr>
        <w:spacing w:after="0" w:line="175" w:lineRule="exact"/>
        <w:rPr>
          <w:sz w:val="20"/>
          <w:szCs w:val="20"/>
          <w:color w:val="auto"/>
        </w:rPr>
      </w:pPr>
    </w:p>
    <w:p>
      <w:pPr>
        <w:ind w:left="420" w:right="80" w:firstLine="521"/>
        <w:spacing w:after="0" w:line="252" w:lineRule="auto"/>
        <w:rPr>
          <w:sz w:val="20"/>
          <w:szCs w:val="20"/>
          <w:color w:val="auto"/>
        </w:rPr>
      </w:pPr>
      <w:r>
        <w:rPr>
          <w:rFonts w:ascii="Arial" w:cs="Arial" w:eastAsia="Arial" w:hAnsi="Arial"/>
          <w:sz w:val="17"/>
          <w:szCs w:val="17"/>
          <w:i w:val="1"/>
          <w:iCs w:val="1"/>
          <w:color w:val="auto"/>
        </w:rPr>
        <w:t xml:space="preserve">Christine Brennan, Ph.D. </w:t>
      </w:r>
      <w:r>
        <w:rPr>
          <w:rFonts w:ascii="Arial" w:cs="Arial" w:eastAsia="Arial" w:hAnsi="Arial"/>
          <w:sz w:val="17"/>
          <w:szCs w:val="17"/>
          <w:color w:val="auto"/>
        </w:rPr>
        <w:t>has served as a member of our board of directors since February 2022. Dr. Brennan is a Managing</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 at Vertex Ventures HC since 2022 and previously Partner at MRL Ventures Fund from 2017 to 2021 and Principal at the Novartis Venture Fund from 2013 to 2017.</w:t>
      </w:r>
    </w:p>
    <w:p>
      <w:pPr>
        <w:spacing w:after="0" w:line="10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167</w:t>
      </w:r>
    </w:p>
    <w:p>
      <w:pPr>
        <w:sectPr>
          <w:pgSz w:w="11900" w:h="16838" w:orient="portrait"/>
          <w:cols w:equalWidth="0" w:num="1">
            <w:col w:w="10800"/>
          </w:cols>
          <w:pgMar w:left="320" w:top="439" w:right="77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140"/>
        <w:spacing w:after="0" w:line="258" w:lineRule="auto"/>
        <w:rPr>
          <w:sz w:val="20"/>
          <w:szCs w:val="20"/>
          <w:color w:val="auto"/>
        </w:rPr>
      </w:pPr>
      <w:r>
        <w:rPr>
          <w:rFonts w:ascii="Arial" w:cs="Arial" w:eastAsia="Arial" w:hAnsi="Arial"/>
          <w:sz w:val="16"/>
          <w:szCs w:val="16"/>
          <w:color w:val="auto"/>
        </w:rPr>
        <w:t>During her career as a venture capital investor, Dr. Brennan has served on the board of directors of biotechnology companies, including Alector, Inc., Entrada Therapeutics, Inc., and Altimmune, Inc. (while the companies were privately held). Prior to the Novartis Venture Fund, Dr. Brennan was Chief Business Officer at Vitae Pharmaceuticals, from 2010 to 2013, and subsequently acquired by Allergan in December 2016. Dr. Brennan received a B.S. in Biochemistry from the University of New Hampshire and a Ph.D. in Neuroscience from Dartmouth Medical School and conducted a postdoctoral fellowship in developmental neurobiology at the National Institutes of Health. Dr. Brennan’s extensive investment experience in the biopharmaceutical industry, as well as her experience on numerous public and private company boards of directors, contributed to our board of directors’ conclusion that she should serve as a director of our company.</w:t>
      </w:r>
    </w:p>
    <w:p>
      <w:pPr>
        <w:spacing w:after="0" w:line="162" w:lineRule="exact"/>
        <w:rPr>
          <w:sz w:val="20"/>
          <w:szCs w:val="20"/>
          <w:color w:val="auto"/>
        </w:rPr>
      </w:pPr>
    </w:p>
    <w:p>
      <w:pPr>
        <w:ind w:left="420" w:firstLine="521"/>
        <w:spacing w:after="0" w:line="236" w:lineRule="auto"/>
        <w:rPr>
          <w:sz w:val="20"/>
          <w:szCs w:val="20"/>
          <w:color w:val="auto"/>
        </w:rPr>
      </w:pPr>
      <w:r>
        <w:rPr>
          <w:rFonts w:ascii="Arial" w:cs="Arial" w:eastAsia="Arial" w:hAnsi="Arial"/>
          <w:sz w:val="17"/>
          <w:szCs w:val="17"/>
          <w:i w:val="1"/>
          <w:iCs w:val="1"/>
          <w:color w:val="auto"/>
        </w:rPr>
        <w:t xml:space="preserve">Kristina Burow </w:t>
      </w:r>
      <w:r>
        <w:rPr>
          <w:rFonts w:ascii="Arial" w:cs="Arial" w:eastAsia="Arial" w:hAnsi="Arial"/>
          <w:sz w:val="17"/>
          <w:szCs w:val="17"/>
          <w:color w:val="auto"/>
        </w:rPr>
        <w:t>has served as a member of our board of directors since June 2019. Ms. Burow has served as a Managing Director</w:t>
      </w:r>
      <w:r>
        <w:rPr>
          <w:rFonts w:ascii="Arial" w:cs="Arial" w:eastAsia="Arial" w:hAnsi="Arial"/>
          <w:sz w:val="17"/>
          <w:szCs w:val="17"/>
          <w:i w:val="1"/>
          <w:iCs w:val="1"/>
          <w:color w:val="auto"/>
        </w:rPr>
        <w:t xml:space="preserve"> </w:t>
      </w:r>
      <w:r>
        <w:rPr>
          <w:rFonts w:ascii="Arial" w:cs="Arial" w:eastAsia="Arial" w:hAnsi="Arial"/>
          <w:sz w:val="17"/>
          <w:szCs w:val="17"/>
          <w:color w:val="auto"/>
        </w:rPr>
        <w:t>of ARCH Venture Partners, a venture capital firm, since November 2011 and previously held positions of increasing responsibility at ARCH from August 2002 to November 2011. Ms. Burow currently serves on the board of directors of several biopharmaceutical and biotechnology companies, including: Beam Therapeutics Inc., a publicly traded biotechnology company; Scholar Rock Holding Corporation, a publicly traded biopharmaceutical company; Autobahn Therapeutics, Inc., a privately held biopharmaceutical company; ROME Therapeutics, Inc., a privately held biopharmaceutical company; Asteroid Therapeutics, Inc., a privately held biopharmaceutical company; Metsera Therapeutics, Inc., a privately held biopharmaceutical company; Treeline Therapeutics Inc., a privately held biopharmaceutical company; and Pretzel Therapeutics, Inc., a privately held biopharmaceutical company. Ms. Burow is a co-founder and director of Neumora Therapeutics, Inc., a publicly traded biopharmaceutical company and Orbital Therapeutics Inc., a privately held biotechnology company. Ms. Burow previously was a co-founder and member of the board of directors of Receptos Inc., a publicly traded pharmaceutical company, until its acquisition by Celgene Corporation, a global biopharmaceutical company, and of Sapphire Energy, Inc., an energy company. Ms. Burow previously served as a member of the board of directors of Boragen, Inc., a privately held biotechnology company; Gossamer Bio, Inc., a publicly traded biopharmaceutical company; Unity Biotechnology, Inc., a publicly traded biopharmaceutical company; AgBiome Inc., a privately held biotechnology company; Metacrine, Inc., a publicly traded pharmaceutical company; Vir Biotechnology Inc., a publicly traded biotechnology company; BlackThorn Therapeutics, Inc., a privately held biopharmaceutical company; Sienna Biopharmaceuticals, Inc.; a publicly traded biopharmaceutical company; and Epirium Bio, a privately held pharmaceutical company. Ms. Burow has participated in a number of other ARCH portfolio companies including: Erasca, Inc.; Dewpoint Therapeutics, Inc.; Aledade, Inc.; Kythera Biopharmaceuticals, Inc.; Mindstrong Inc.; Kura Oncology, Inc.; and Ikaria, Inc., acquired by Madison Dearborn Partners, a private equity firm. Prior to joining ARCH, Ms. Burow served as an associate with the Novartis BioVenture Fund and was an early employee at the Genomics Institute of the Novartis Research Foundation. Ms. Burow received a B.S. in Chemistry from the University of California, Berkeley, an M.A. in Chemistry from Columbia University, and an M.B.A. from the University of Chicago. Ms. Burow’s extensive experience serving on the board of directors of clinical-stage biotechnology companies and her investment experience in the life sciences industry contributed to our board of directors’ conclusion that she should serve as a director of our company.</w:t>
      </w:r>
    </w:p>
    <w:p>
      <w:pPr>
        <w:spacing w:after="0" w:line="191" w:lineRule="exact"/>
        <w:rPr>
          <w:sz w:val="20"/>
          <w:szCs w:val="20"/>
          <w:color w:val="auto"/>
        </w:rPr>
      </w:pPr>
    </w:p>
    <w:p>
      <w:pPr>
        <w:ind w:left="420" w:right="100" w:firstLine="521"/>
        <w:spacing w:after="0" w:line="242" w:lineRule="auto"/>
        <w:rPr>
          <w:sz w:val="20"/>
          <w:szCs w:val="20"/>
          <w:color w:val="auto"/>
        </w:rPr>
      </w:pPr>
      <w:r>
        <w:rPr>
          <w:rFonts w:ascii="Arial" w:cs="Arial" w:eastAsia="Arial" w:hAnsi="Arial"/>
          <w:sz w:val="17"/>
          <w:szCs w:val="17"/>
          <w:i w:val="1"/>
          <w:iCs w:val="1"/>
          <w:color w:val="auto"/>
        </w:rPr>
        <w:t xml:space="preserve">James “Jamie” Christensen, Ph.D. </w:t>
      </w:r>
      <w:r>
        <w:rPr>
          <w:rFonts w:ascii="Arial" w:cs="Arial" w:eastAsia="Arial" w:hAnsi="Arial"/>
          <w:sz w:val="17"/>
          <w:szCs w:val="17"/>
          <w:color w:val="auto"/>
        </w:rPr>
        <w:t>has served as a member of our board of directors since October 2023. Dr. Christensen has</w:t>
      </w:r>
      <w:r>
        <w:rPr>
          <w:rFonts w:ascii="Arial" w:cs="Arial" w:eastAsia="Arial" w:hAnsi="Arial"/>
          <w:sz w:val="17"/>
          <w:szCs w:val="17"/>
          <w:i w:val="1"/>
          <w:iCs w:val="1"/>
          <w:color w:val="auto"/>
        </w:rPr>
        <w:t xml:space="preserve"> </w:t>
      </w:r>
      <w:r>
        <w:rPr>
          <w:rFonts w:ascii="Arial" w:cs="Arial" w:eastAsia="Arial" w:hAnsi="Arial"/>
          <w:sz w:val="17"/>
          <w:szCs w:val="17"/>
          <w:color w:val="auto"/>
        </w:rPr>
        <w:t>been the Chief Scientific Officer of Mirati Therapeutics, an oncology-focused biopharmaceutical company, since January 2014. Mirati was acquired by Bristol Myers Squibb (BMS) in 2024 and is now its wholly owned subsidiary. Dr. Christensen continues at BMS and is responsible for its drug discovery, translational research, drug manufacturing, and companion diagnostics research support for the Mirati pipeline. Dr. Christensen leads activities related to the discovery and advancement of the company’s clinical and preclinical programs. At Mirati, Dr. Christensen previously served as Senior Vice President from January 2014 through December 2018,</w:t>
      </w:r>
    </w:p>
    <w:p>
      <w:pPr>
        <w:spacing w:after="0" w:line="10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168</w:t>
      </w:r>
    </w:p>
    <w:p>
      <w:pPr>
        <w:sectPr>
          <w:pgSz w:w="11900" w:h="16838" w:orient="portrait"/>
          <w:cols w:equalWidth="0" w:num="1">
            <w:col w:w="10840"/>
          </w:cols>
          <w:pgMar w:left="320" w:top="439" w:right="7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20"/>
        <w:spacing w:after="0" w:line="218" w:lineRule="auto"/>
        <w:rPr>
          <w:sz w:val="20"/>
          <w:szCs w:val="20"/>
          <w:color w:val="auto"/>
        </w:rPr>
      </w:pPr>
      <w:r>
        <w:rPr>
          <w:rFonts w:ascii="Arial" w:cs="Arial" w:eastAsia="Arial" w:hAnsi="Arial"/>
          <w:sz w:val="17"/>
          <w:szCs w:val="17"/>
          <w:color w:val="auto"/>
        </w:rPr>
        <w:t>and Vice President, Research from June 2013 through January 2014. Prior to Mirati, Dr. Christensen was the Head of Oncology Precision Medicine and a member of the executive leadership team in the Oncology Research Unit at Pfizer. He joined Pfizer in 2003, where his responsibilities included leading oncology nonclinical research and translational sciences for programs including Sutent</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(sunitinib malate) and Xalkori</w:t>
      </w:r>
      <w:r>
        <w:rPr>
          <w:rFonts w:ascii="Arial" w:cs="Arial" w:eastAsia="Arial" w:hAnsi="Arial"/>
          <w:sz w:val="25"/>
          <w:szCs w:val="25"/>
          <w:color w:val="auto"/>
          <w:vertAlign w:val="superscript"/>
        </w:rPr>
        <w:t>®</w:t>
      </w:r>
      <w:r>
        <w:rPr>
          <w:rFonts w:ascii="Arial" w:cs="Arial" w:eastAsia="Arial" w:hAnsi="Arial"/>
          <w:sz w:val="17"/>
          <w:szCs w:val="17"/>
          <w:color w:val="auto"/>
        </w:rPr>
        <w:t xml:space="preserve"> (crizotinib). Prior to Pfizer, Dr. Christensen held positions at Sugen Inc. (acquired by Pharmacia), as a group leader in preclinical research and exploratory development. He began his career in the pharmaceutical industry at Warner Lambert/Parke-Davis. Dr. Christensen has authored or co-authored numerous peer-reviewed research articles in scientific journals including Science, Nature, Cancer Cell, Cancer Discovery, New England Journal of Medicine, and many others. He received his Ph.D. and M.S. in Pharmacology and Toxicology at North Carolina State University and his B.S. in Biology from Northern Illinois University. Dr. Christensen’s extensive executive and research experience in the biopharmaceutical industry, contributed to our board of directors’ conclusion that he should serve as a director of our company.</w:t>
      </w:r>
    </w:p>
    <w:p>
      <w:pPr>
        <w:spacing w:after="0" w:line="178" w:lineRule="exact"/>
        <w:rPr>
          <w:sz w:val="20"/>
          <w:szCs w:val="20"/>
          <w:color w:val="auto"/>
        </w:rPr>
      </w:pPr>
    </w:p>
    <w:p>
      <w:pPr>
        <w:ind w:left="420" w:right="80" w:firstLine="521"/>
        <w:spacing w:after="0" w:line="254" w:lineRule="auto"/>
        <w:rPr>
          <w:sz w:val="20"/>
          <w:szCs w:val="20"/>
          <w:color w:val="auto"/>
        </w:rPr>
      </w:pPr>
      <w:r>
        <w:rPr>
          <w:rFonts w:ascii="Arial" w:cs="Arial" w:eastAsia="Arial" w:hAnsi="Arial"/>
          <w:sz w:val="16"/>
          <w:szCs w:val="16"/>
          <w:i w:val="1"/>
          <w:iCs w:val="1"/>
          <w:color w:val="auto"/>
        </w:rPr>
        <w:t xml:space="preserve">Jennifer Lew </w:t>
      </w:r>
      <w:r>
        <w:rPr>
          <w:rFonts w:ascii="Arial" w:cs="Arial" w:eastAsia="Arial" w:hAnsi="Arial"/>
          <w:sz w:val="16"/>
          <w:szCs w:val="16"/>
          <w:color w:val="auto"/>
        </w:rPr>
        <w:t>has served as a member of our board of directors since January 2022. Ms. Lew has been the EVP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of Annexon Inc., a publicly traded biotechnology company, since June 2019. Prior to Annexon, she served as Chief Financial Officer and previously Senior Vice President, Finance for Aduro Biotech, which merged with Chinook Therapeutics, Inc. (a Novartis company), from 2013 to May 2019. Prior to Aduro, Ms. Lew held various finance roles at Dynavax Technologies Corp., a publicly traded biotechnology company, from 2004 to 2013, and QRS Corporation, a publicly held technology company, from 2000 to 2004.</w:t>
      </w:r>
    </w:p>
    <w:p>
      <w:pPr>
        <w:spacing w:after="0" w:line="1" w:lineRule="exact"/>
        <w:rPr>
          <w:sz w:val="20"/>
          <w:szCs w:val="20"/>
          <w:color w:val="auto"/>
        </w:rPr>
      </w:pPr>
    </w:p>
    <w:p>
      <w:pPr>
        <w:ind w:left="420" w:right="260"/>
        <w:spacing w:after="0"/>
        <w:rPr>
          <w:sz w:val="20"/>
          <w:szCs w:val="20"/>
          <w:color w:val="auto"/>
        </w:rPr>
      </w:pPr>
      <w:r>
        <w:rPr>
          <w:rFonts w:ascii="Arial" w:cs="Arial" w:eastAsia="Arial" w:hAnsi="Arial"/>
          <w:sz w:val="17"/>
          <w:szCs w:val="17"/>
          <w:color w:val="auto"/>
        </w:rPr>
        <w:t>Ms. Lew began her career in the audit practice at Ernst &amp; Young from 1994 to 1999. Ms. Lew received a B.A. in Economics/Accounting and Government from Claremont McKenna College and is a Certified Public Accountant (inactive status). Ms. Lew’s background in leadership, finance, and accounting at privately held and publicly traded biotechnology companies contributed to our board of directors’ conclusion that she should serve as a director of our company.</w:t>
      </w:r>
    </w:p>
    <w:p>
      <w:pPr>
        <w:spacing w:after="0" w:line="173" w:lineRule="exact"/>
        <w:rPr>
          <w:sz w:val="20"/>
          <w:szCs w:val="20"/>
          <w:color w:val="auto"/>
        </w:rPr>
      </w:pPr>
    </w:p>
    <w:p>
      <w:pPr>
        <w:ind w:left="420" w:firstLine="521"/>
        <w:spacing w:after="0" w:line="238" w:lineRule="auto"/>
        <w:rPr>
          <w:sz w:val="20"/>
          <w:szCs w:val="20"/>
          <w:color w:val="auto"/>
        </w:rPr>
      </w:pPr>
      <w:r>
        <w:rPr>
          <w:rFonts w:ascii="Arial" w:cs="Arial" w:eastAsia="Arial" w:hAnsi="Arial"/>
          <w:sz w:val="17"/>
          <w:szCs w:val="17"/>
          <w:i w:val="1"/>
          <w:iCs w:val="1"/>
          <w:color w:val="auto"/>
        </w:rPr>
        <w:t>Jakob Loven, Ph.D</w:t>
      </w:r>
      <w:r>
        <w:rPr>
          <w:rFonts w:ascii="Arial" w:cs="Arial" w:eastAsia="Arial" w:hAnsi="Arial"/>
          <w:sz w:val="17"/>
          <w:szCs w:val="17"/>
          <w:color w:val="auto"/>
        </w:rPr>
        <w:t>. has served as a member of our board of directors since April 2021. Dr. Loven joined Nextech Invest in 2017</w:t>
      </w:r>
      <w:r>
        <w:rPr>
          <w:rFonts w:ascii="Arial" w:cs="Arial" w:eastAsia="Arial" w:hAnsi="Arial"/>
          <w:sz w:val="17"/>
          <w:szCs w:val="17"/>
          <w:i w:val="1"/>
          <w:iCs w:val="1"/>
          <w:color w:val="auto"/>
        </w:rPr>
        <w:t xml:space="preserve"> </w:t>
      </w:r>
      <w:r>
        <w:rPr>
          <w:rFonts w:ascii="Arial" w:cs="Arial" w:eastAsia="Arial" w:hAnsi="Arial"/>
          <w:sz w:val="17"/>
          <w:szCs w:val="17"/>
          <w:color w:val="auto"/>
        </w:rPr>
        <w:t>and is currently a Managing Partner focused on precision oncology investments. Previously, Dr. Loven participated in the creation of Relay Therapeutics, Inc. and Syros Pharmaceuticals, Inc. and currently serves on the board of directors of A2 Biotherapeutics, Inc., Arrakis Therapeutics, IconOVir Bio, Hexagon Bio, and Flare Therapeutics Inc and serves as a board observer for IDRx. In the past, Dr. Loven has served on the board of directors for Vividion Therapeutics (acquired by Bayer) and Turning Point Therapeutics (acquired by Bristol Myers Squibb) as well as a number of public companies, including Kronos Bio, Inc., Arvinas Inc, Kinnate Biopharma Inc., and Autolus Therapeutics PLC. Dr. Loven received a B.A. in Biomedical Sciences from the Anglia Ruskin University of Cambridge and received a Ph.D. in Medical Sciences focused on oncology from Karolinska Institute and conducted his post-doctoral fellowship at the Whitehead Institute for Biomedical Research (WIBR) and Massachusetts Institute of Technology (MIT). Dr. Loven’s background as a director and venture capital investor in precision oncology companies, as well as his extensive experience with biotechnology platform companies, contributed to our board of directors’ conclusion that she should serve as a director of our company.</w:t>
      </w:r>
    </w:p>
    <w:p>
      <w:pPr>
        <w:spacing w:after="0" w:line="180" w:lineRule="exact"/>
        <w:rPr>
          <w:sz w:val="20"/>
          <w:szCs w:val="20"/>
          <w:color w:val="auto"/>
        </w:rPr>
      </w:pPr>
    </w:p>
    <w:p>
      <w:pPr>
        <w:ind w:left="420" w:firstLine="521"/>
        <w:spacing w:after="0" w:line="241" w:lineRule="auto"/>
        <w:rPr>
          <w:sz w:val="20"/>
          <w:szCs w:val="20"/>
          <w:color w:val="auto"/>
        </w:rPr>
      </w:pPr>
      <w:r>
        <w:rPr>
          <w:rFonts w:ascii="Arial" w:cs="Arial" w:eastAsia="Arial" w:hAnsi="Arial"/>
          <w:sz w:val="17"/>
          <w:szCs w:val="17"/>
          <w:i w:val="1"/>
          <w:iCs w:val="1"/>
          <w:color w:val="auto"/>
        </w:rPr>
        <w:t xml:space="preserve">Fabio Pucci, Ph.D. </w:t>
      </w:r>
      <w:r>
        <w:rPr>
          <w:rFonts w:ascii="Arial" w:cs="Arial" w:eastAsia="Arial" w:hAnsi="Arial"/>
          <w:sz w:val="17"/>
          <w:szCs w:val="17"/>
          <w:color w:val="auto"/>
        </w:rPr>
        <w:t>has served as a member of our board of directors since April 2023. Dr. Pucci is currently the Senior Director,</w:t>
      </w:r>
      <w:r>
        <w:rPr>
          <w:rFonts w:ascii="Arial" w:cs="Arial" w:eastAsia="Arial" w:hAnsi="Arial"/>
          <w:sz w:val="17"/>
          <w:szCs w:val="17"/>
          <w:i w:val="1"/>
          <w:iCs w:val="1"/>
          <w:color w:val="auto"/>
        </w:rPr>
        <w:t xml:space="preserve"> </w:t>
      </w:r>
      <w:r>
        <w:rPr>
          <w:rFonts w:ascii="Arial" w:cs="Arial" w:eastAsia="Arial" w:hAnsi="Arial"/>
          <w:sz w:val="17"/>
          <w:szCs w:val="17"/>
          <w:color w:val="auto"/>
        </w:rPr>
        <w:t>Venture Investments at Leaps by Bayer since October 2021. Dr. Pucci has also served as a board member for Lyterian Therapeutics since February 2023, Mozart Therapeutics, Inc. since November 2022, Indapta Therapeutics since January 2022, and Immunitas Therapeutics since December 2021, all of which are privately held life sciences companies. Dr. Pucci has also served as a board observer for Capstan Therapeutics since July 2022, and at Kojin Therapeutics since December 2021, and until June 2023, at Azitra Inc. Previously, Dr. Pucci worked as an Associate/Senior Associate at RA Capital Management, LLC, a multi-stage investment manager specializing in life sciences, from October 2019 to September 2021, for which he also served as board</w:t>
      </w:r>
    </w:p>
    <w:p>
      <w:pPr>
        <w:spacing w:after="0" w:line="10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169</w:t>
      </w:r>
    </w:p>
    <w:p>
      <w:pPr>
        <w:sectPr>
          <w:pgSz w:w="11900" w:h="16838" w:orient="portrait"/>
          <w:cols w:equalWidth="0" w:num="1">
            <w:col w:w="10820"/>
          </w:cols>
          <w:pgMar w:left="320" w:top="439" w:right="7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80"/>
        <w:spacing w:after="0" w:line="242" w:lineRule="auto"/>
        <w:rPr>
          <w:sz w:val="20"/>
          <w:szCs w:val="20"/>
          <w:color w:val="auto"/>
        </w:rPr>
      </w:pPr>
      <w:r>
        <w:rPr>
          <w:rFonts w:ascii="Arial" w:cs="Arial" w:eastAsia="Arial" w:hAnsi="Arial"/>
          <w:sz w:val="17"/>
          <w:szCs w:val="17"/>
          <w:color w:val="auto"/>
        </w:rPr>
        <w:t>observer at Hemab Therapeutics, until September 2021. Before his tenure at RA Capital Management, Dr. Pucci was an MBA Venture Capital Consultant for F-Prime Capital, an investment group specializing in healthcare and technology, from October 2018 to April 2019. Dr. Pucci has earned his Ph.D. in Cellular Biology from the University of Edinburgh and an MBA from the London Business School and conducted his postdoctoral fellowship at the Francis Crick Institute. Dr. Pucci’s experience as a director of numerous biopharmaceutical companies, as well as his experience in the venture capital industry, contributed to our board of directors’ conclusion that he should serve as a director of our company.</w:t>
      </w:r>
    </w:p>
    <w:p>
      <w:pPr>
        <w:spacing w:after="0" w:line="172" w:lineRule="exact"/>
        <w:rPr>
          <w:sz w:val="20"/>
          <w:szCs w:val="20"/>
          <w:color w:val="auto"/>
        </w:rPr>
      </w:pPr>
    </w:p>
    <w:p>
      <w:pPr>
        <w:ind w:left="420" w:right="140" w:firstLine="521"/>
        <w:spacing w:after="0" w:line="230" w:lineRule="auto"/>
        <w:rPr>
          <w:sz w:val="20"/>
          <w:szCs w:val="20"/>
          <w:color w:val="auto"/>
        </w:rPr>
      </w:pPr>
      <w:r>
        <w:rPr>
          <w:rFonts w:ascii="Arial" w:cs="Arial" w:eastAsia="Arial" w:hAnsi="Arial"/>
          <w:sz w:val="17"/>
          <w:szCs w:val="17"/>
          <w:i w:val="1"/>
          <w:iCs w:val="1"/>
          <w:color w:val="auto"/>
        </w:rPr>
        <w:t xml:space="preserve">Nancy Whiting, Pharm.D. </w:t>
      </w:r>
      <w:r>
        <w:rPr>
          <w:rFonts w:ascii="Arial" w:cs="Arial" w:eastAsia="Arial" w:hAnsi="Arial"/>
          <w:sz w:val="17"/>
          <w:szCs w:val="17"/>
          <w:color w:val="auto"/>
        </w:rPr>
        <w:t>has served as a member of our board of directors since October 2023. Since September 2021, Dr.</w:t>
      </w:r>
      <w:r>
        <w:rPr>
          <w:rFonts w:ascii="Arial" w:cs="Arial" w:eastAsia="Arial" w:hAnsi="Arial"/>
          <w:sz w:val="17"/>
          <w:szCs w:val="17"/>
          <w:i w:val="1"/>
          <w:iCs w:val="1"/>
          <w:color w:val="auto"/>
        </w:rPr>
        <w:t xml:space="preserve"> </w:t>
      </w:r>
      <w:r>
        <w:rPr>
          <w:rFonts w:ascii="Arial" w:cs="Arial" w:eastAsia="Arial" w:hAnsi="Arial"/>
          <w:sz w:val="17"/>
          <w:szCs w:val="17"/>
          <w:color w:val="auto"/>
        </w:rPr>
        <w:t>Whiting has been the Chief Executive Officer and a member of the board of directors of Recludix Pharma, a privately held company developing novel treatments for inflammatory disease and cancer. Prior to Recludix, Dr. Whiting held various positions at Seagen Inc. (formerly Seattle Genetics, Inc.) for approximately 15 years (from March 2007 to September 2021), where she served most recently as Executive Vice President of Corporate Strategy, Alliances, and Communication. Prior to this role at Seagen, Dr. Whiting served as Executive Vice President of Late Stage Development, Senior Vice President of Clinical Development and Medical Affairs, and Head of Experimental Medicine. During her tenure at Seagen, Dr. Whiting played a central role in the development and regulatory approvals of cancer medicines Adcetris</w:t>
      </w:r>
      <w:r>
        <w:rPr>
          <w:rFonts w:ascii="Arial" w:cs="Arial" w:eastAsia="Arial" w:hAnsi="Arial"/>
          <w:sz w:val="25"/>
          <w:szCs w:val="25"/>
          <w:color w:val="auto"/>
          <w:vertAlign w:val="superscript"/>
        </w:rPr>
        <w:t>®</w:t>
      </w:r>
      <w:r>
        <w:rPr>
          <w:rFonts w:ascii="Arial" w:cs="Arial" w:eastAsia="Arial" w:hAnsi="Arial"/>
          <w:sz w:val="17"/>
          <w:szCs w:val="17"/>
          <w:color w:val="auto"/>
        </w:rPr>
        <w:t xml:space="preserve"> (brentuximab vedotin), Padcev</w:t>
      </w:r>
      <w:r>
        <w:rPr>
          <w:rFonts w:ascii="Arial" w:cs="Arial" w:eastAsia="Arial" w:hAnsi="Arial"/>
          <w:sz w:val="25"/>
          <w:szCs w:val="25"/>
          <w:color w:val="auto"/>
          <w:vertAlign w:val="superscript"/>
        </w:rPr>
        <w:t>®</w:t>
      </w:r>
      <w:r>
        <w:rPr>
          <w:rFonts w:ascii="Arial" w:cs="Arial" w:eastAsia="Arial" w:hAnsi="Arial"/>
          <w:sz w:val="17"/>
          <w:szCs w:val="17"/>
          <w:color w:val="auto"/>
        </w:rPr>
        <w:t xml:space="preserve"> (enfortumab vedotin-ejfv), Tukysa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(tucatinib) and Tivdak</w:t>
      </w:r>
      <w:r>
        <w:rPr>
          <w:rFonts w:ascii="Arial" w:cs="Arial" w:eastAsia="Arial" w:hAnsi="Arial"/>
          <w:sz w:val="25"/>
          <w:szCs w:val="25"/>
          <w:color w:val="auto"/>
          <w:vertAlign w:val="superscript"/>
        </w:rPr>
        <w:t>®</w:t>
      </w:r>
      <w:r>
        <w:rPr>
          <w:rFonts w:ascii="Arial" w:cs="Arial" w:eastAsia="Arial" w:hAnsi="Arial"/>
          <w:sz w:val="17"/>
          <w:szCs w:val="17"/>
          <w:color w:val="auto"/>
        </w:rPr>
        <w:t xml:space="preserve"> (tisotumab vedotin). Prior to her career in the pharmaceutical industry, Dr. Whiting practiced as a clinical oncology pharmacist at the Seattle Cancer Care Alliance. Dr. Whiting has served as a member of the board of directors of Caribou Biosciences, a publicly traded biopharmaceutical company, since August 2021. She received her Pharm.D. from the University of Washington and her B.Sc. in Pharmaceutical Sciences from the University of British Columbia. Dr. Whiting’s extensive experience in all phases of drug development, contributed to our board of directors’ conclusion that she should serve as a director of our company.</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Family Relationships</w:t>
      </w:r>
    </w:p>
    <w:p>
      <w:pPr>
        <w:spacing w:after="0" w:line="98"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There are no family relationships among any of our executive officers or directors.</w:t>
      </w:r>
    </w:p>
    <w:p>
      <w:pPr>
        <w:spacing w:after="0" w:line="303"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Board Composition and Election of Directors</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Director Independence</w:t>
      </w:r>
    </w:p>
    <w:p>
      <w:pPr>
        <w:spacing w:after="0" w:line="98" w:lineRule="exact"/>
        <w:rPr>
          <w:sz w:val="20"/>
          <w:szCs w:val="20"/>
          <w:color w:val="auto"/>
        </w:rPr>
      </w:pPr>
    </w:p>
    <w:p>
      <w:pPr>
        <w:ind w:left="420" w:firstLine="521"/>
        <w:spacing w:after="0" w:line="239" w:lineRule="auto"/>
        <w:rPr>
          <w:sz w:val="20"/>
          <w:szCs w:val="20"/>
          <w:color w:val="auto"/>
        </w:rPr>
      </w:pPr>
      <w:r>
        <w:rPr>
          <w:rFonts w:ascii="Arial" w:cs="Arial" w:eastAsia="Arial" w:hAnsi="Arial"/>
          <w:sz w:val="17"/>
          <w:szCs w:val="17"/>
          <w:color w:val="auto"/>
        </w:rPr>
        <w:t>Our board of directors currently consists of nine members and will consist of seven members following the completion of this offering. Our board of directors has determined that all of our directors other than Mr. Hornby are independent directors in accordance with the listing requirements of the Nasdaq Stock Market (Nasdaq). The Nasdaq independence definition includes a series of objective tests, including that the director is not, and has not been for at least three years, one of our employees and that neither the director nor any of his or her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the director. In making these determinations, our board of directors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277"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Classified Board of Directors</w:t>
      </w:r>
    </w:p>
    <w:p>
      <w:pPr>
        <w:spacing w:after="0" w:line="98" w:lineRule="exact"/>
        <w:rPr>
          <w:sz w:val="20"/>
          <w:szCs w:val="20"/>
          <w:color w:val="auto"/>
        </w:rPr>
      </w:pPr>
    </w:p>
    <w:p>
      <w:pPr>
        <w:jc w:val="both"/>
        <w:ind w:left="420" w:firstLine="521"/>
        <w:spacing w:after="0" w:line="252" w:lineRule="auto"/>
        <w:rPr>
          <w:sz w:val="20"/>
          <w:szCs w:val="20"/>
          <w:color w:val="auto"/>
        </w:rPr>
      </w:pPr>
      <w:r>
        <w:rPr>
          <w:rFonts w:ascii="Arial" w:cs="Arial" w:eastAsia="Arial" w:hAnsi="Arial"/>
          <w:sz w:val="17"/>
          <w:szCs w:val="17"/>
          <w:color w:val="auto"/>
        </w:rPr>
        <w:t>In accordance with the terms of our amended and restated certificate of incorporation that will go into effect immediately prior to the closing of this offering, our board of directors will be divided into three classes with staggered, three-year terms. At each annual meeting of stockholders, the directors</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170</w:t>
      </w:r>
    </w:p>
    <w:p>
      <w:pPr>
        <w:sectPr>
          <w:pgSz w:w="11900" w:h="16838" w:orient="portrait"/>
          <w:cols w:equalWidth="0" w:num="1">
            <w:col w:w="10820"/>
          </w:cols>
          <w:pgMar w:left="320" w:top="439" w:right="7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180"/>
        <w:spacing w:after="0" w:line="270" w:lineRule="auto"/>
        <w:rPr>
          <w:sz w:val="20"/>
          <w:szCs w:val="20"/>
          <w:color w:val="auto"/>
        </w:rPr>
      </w:pPr>
      <w:r>
        <w:rPr>
          <w:rFonts w:ascii="Arial" w:cs="Arial" w:eastAsia="Arial" w:hAnsi="Arial"/>
          <w:sz w:val="17"/>
          <w:szCs w:val="17"/>
          <w:color w:val="auto"/>
        </w:rPr>
        <w:t>whose terms then expire will be eligible for reelection until the third annual meeting following reelection. Effective upon the closing of this offering, our directors will be divided among the three classes as follows:</w:t>
      </w:r>
    </w:p>
    <w:p>
      <w:pPr>
        <w:spacing w:after="0" w:line="58" w:lineRule="exact"/>
        <w:rPr>
          <w:sz w:val="20"/>
          <w:szCs w:val="20"/>
          <w:color w:val="auto"/>
        </w:rPr>
      </w:pPr>
    </w:p>
    <w:p>
      <w:pPr>
        <w:ind w:left="1660" w:right="760" w:hanging="418"/>
        <w:spacing w:after="0" w:line="270" w:lineRule="auto"/>
        <w:tabs>
          <w:tab w:leader="none" w:pos="1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Class I directors will be Dr. Brennan and Dr. Whiting, and their terms will expire at our first annual meeting of stockholders following this offering;</w:t>
      </w:r>
    </w:p>
    <w:p>
      <w:pPr>
        <w:spacing w:after="0" w:line="58" w:lineRule="exact"/>
        <w:rPr>
          <w:rFonts w:ascii="Arial" w:cs="Arial" w:eastAsia="Arial" w:hAnsi="Arial"/>
          <w:sz w:val="17"/>
          <w:szCs w:val="17"/>
          <w:color w:val="auto"/>
        </w:rPr>
      </w:pPr>
    </w:p>
    <w:p>
      <w:pPr>
        <w:ind w:left="1660" w:right="200" w:hanging="418"/>
        <w:spacing w:after="0" w:line="270" w:lineRule="auto"/>
        <w:tabs>
          <w:tab w:leader="none" w:pos="1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Class II directors will be Ms. Burow and Dr. Christensen, and their terms will expire at our second annual meeting of stockholders following this offering; and</w:t>
      </w:r>
    </w:p>
    <w:p>
      <w:pPr>
        <w:spacing w:after="0" w:line="58" w:lineRule="exact"/>
        <w:rPr>
          <w:rFonts w:ascii="Arial" w:cs="Arial" w:eastAsia="Arial" w:hAnsi="Arial"/>
          <w:sz w:val="17"/>
          <w:szCs w:val="17"/>
          <w:color w:val="auto"/>
        </w:rPr>
      </w:pPr>
    </w:p>
    <w:p>
      <w:pPr>
        <w:ind w:left="1660" w:right="280" w:hanging="418"/>
        <w:spacing w:after="0" w:line="270" w:lineRule="auto"/>
        <w:tabs>
          <w:tab w:leader="none" w:pos="1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Class III directors will be Mr. Hornby, Ms. Lew, and Dr. Lim and their terms will expire at our third annual meeting of stockholders following this offering.</w:t>
      </w:r>
    </w:p>
    <w:p>
      <w:pPr>
        <w:spacing w:after="0" w:line="148" w:lineRule="exact"/>
        <w:rPr>
          <w:sz w:val="20"/>
          <w:szCs w:val="20"/>
          <w:color w:val="auto"/>
        </w:rPr>
      </w:pPr>
    </w:p>
    <w:p>
      <w:pPr>
        <w:ind w:left="420" w:right="20" w:firstLine="521"/>
        <w:spacing w:after="0" w:line="242" w:lineRule="auto"/>
        <w:rPr>
          <w:sz w:val="20"/>
          <w:szCs w:val="20"/>
          <w:color w:val="auto"/>
        </w:rPr>
      </w:pPr>
      <w:r>
        <w:rPr>
          <w:rFonts w:ascii="Arial" w:cs="Arial" w:eastAsia="Arial" w:hAnsi="Arial"/>
          <w:sz w:val="17"/>
          <w:szCs w:val="17"/>
          <w:color w:val="auto"/>
        </w:rPr>
        <w:t>Our amended and restated certificate of incorporation that will go into effect immediately prior to the closing of this offering will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board of directors or a change in control of our company. Our directors may be removed only for cause by the affirmative vote of the holders of at least two-thirds of our outstanding voting stock then entitled to vote in an election of directors.</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Board Leadership Structure</w:t>
      </w:r>
    </w:p>
    <w:p>
      <w:pPr>
        <w:spacing w:after="0" w:line="98" w:lineRule="exact"/>
        <w:rPr>
          <w:sz w:val="20"/>
          <w:szCs w:val="20"/>
          <w:color w:val="auto"/>
        </w:rPr>
      </w:pPr>
    </w:p>
    <w:p>
      <w:pPr>
        <w:ind w:left="420" w:firstLine="521"/>
        <w:spacing w:after="0" w:line="239" w:lineRule="auto"/>
        <w:rPr>
          <w:sz w:val="20"/>
          <w:szCs w:val="20"/>
          <w:color w:val="auto"/>
        </w:rPr>
      </w:pPr>
      <w:r>
        <w:rPr>
          <w:rFonts w:ascii="Arial" w:cs="Arial" w:eastAsia="Arial" w:hAnsi="Arial"/>
          <w:sz w:val="17"/>
          <w:szCs w:val="17"/>
          <w:color w:val="auto"/>
        </w:rPr>
        <w:t>Our board of directors is currently chaired by Dr. Lim. Our board of directors recognizes that it is important to determine an optimal board leadership structure to ensure the independent oversight of management as the Company continues to grow. We separate the roles of chief executive officer and chairman of the board of directors in recognition of the differences between the two roles. The chief executive officer is responsible for setting the strategic direction for our company and the day-to-day leadership and performance of our company, while the chairman of the board of directors provides guidance to the chief executive officer and presides over meetings of the full board of directors. We believe that this separation of responsibilities provides a balanced approach to managing the board of directors and overseeing our company. 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Role of Board in Risk Oversight Process</w:t>
      </w:r>
    </w:p>
    <w:p>
      <w:pPr>
        <w:spacing w:after="0" w:line="98" w:lineRule="exact"/>
        <w:rPr>
          <w:sz w:val="20"/>
          <w:szCs w:val="20"/>
          <w:color w:val="auto"/>
        </w:rPr>
      </w:pPr>
    </w:p>
    <w:p>
      <w:pPr>
        <w:ind w:left="420" w:right="40" w:firstLine="521"/>
        <w:spacing w:after="0" w:line="244" w:lineRule="auto"/>
        <w:rPr>
          <w:sz w:val="20"/>
          <w:szCs w:val="20"/>
          <w:color w:val="auto"/>
        </w:rPr>
      </w:pPr>
      <w:r>
        <w:rPr>
          <w:rFonts w:ascii="Arial" w:cs="Arial" w:eastAsia="Arial" w:hAnsi="Arial"/>
          <w:sz w:val="17"/>
          <w:szCs w:val="17"/>
          <w:color w:val="auto"/>
        </w:rPr>
        <w:t>Our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of directors to understand our risk identification, risk management, and risk mitigation strategies with respect to areas of potential material risk, including operations, finance, legal, regulatory, strategic, and reputational risk.</w:t>
      </w:r>
    </w:p>
    <w:p>
      <w:pPr>
        <w:spacing w:after="0" w:line="169" w:lineRule="exact"/>
        <w:rPr>
          <w:sz w:val="20"/>
          <w:szCs w:val="20"/>
          <w:color w:val="auto"/>
        </w:rPr>
      </w:pPr>
    </w:p>
    <w:p>
      <w:pPr>
        <w:ind w:left="420" w:right="60" w:firstLine="521"/>
        <w:spacing w:after="0" w:line="244" w:lineRule="auto"/>
        <w:rPr>
          <w:sz w:val="20"/>
          <w:szCs w:val="20"/>
          <w:color w:val="auto"/>
        </w:rPr>
      </w:pPr>
      <w:r>
        <w:rPr>
          <w:rFonts w:ascii="Arial" w:cs="Arial" w:eastAsia="Arial" w:hAnsi="Arial"/>
          <w:sz w:val="17"/>
          <w:szCs w:val="17"/>
          <w:color w:val="auto"/>
        </w:rPr>
        <w:t>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w:t>
      </w:r>
    </w:p>
    <w:p>
      <w:pPr>
        <w:spacing w:after="0" w:line="105"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171</w:t>
      </w:r>
    </w:p>
    <w:p>
      <w:pPr>
        <w:sectPr>
          <w:pgSz w:w="11900" w:h="16838" w:orient="portrait"/>
          <w:cols w:equalWidth="0" w:num="1">
            <w:col w:w="10840"/>
          </w:cols>
          <w:pgMar w:left="320" w:top="439" w:right="7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260"/>
        <w:spacing w:after="0" w:line="244" w:lineRule="auto"/>
        <w:rPr>
          <w:sz w:val="20"/>
          <w:szCs w:val="20"/>
          <w:color w:val="auto"/>
        </w:rPr>
      </w:pPr>
      <w:r>
        <w:rPr>
          <w:rFonts w:ascii="Arial" w:cs="Arial" w:eastAsia="Arial" w:hAnsi="Arial"/>
          <w:sz w:val="17"/>
          <w:szCs w:val="17"/>
          <w:color w:val="auto"/>
        </w:rPr>
        <w:t>compensation policies or programs has the potential to encourage excessive risk-taking. The nominating and corporate governance committee manages risks associated with the independence of the board of directors, corporate disclosure practices, and potential conflicts of interest. While each committee is responsible for evaluating certain risks and overseeing the management of such risks, the entire board of directors is regularly informed through committee reports about such risks. Matters of significant strategic risk are considered by our board of directors as a whole.</w:t>
      </w:r>
    </w:p>
    <w:p>
      <w:pPr>
        <w:spacing w:after="0" w:line="271"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Board Committees and Independence</w:t>
      </w:r>
    </w:p>
    <w:p>
      <w:pPr>
        <w:spacing w:after="0" w:line="98" w:lineRule="exact"/>
        <w:rPr>
          <w:sz w:val="20"/>
          <w:szCs w:val="20"/>
          <w:color w:val="auto"/>
        </w:rPr>
      </w:pPr>
    </w:p>
    <w:p>
      <w:pPr>
        <w:ind w:left="420" w:right="880" w:firstLine="521"/>
        <w:spacing w:after="0" w:line="270" w:lineRule="auto"/>
        <w:rPr>
          <w:sz w:val="20"/>
          <w:szCs w:val="20"/>
          <w:color w:val="auto"/>
        </w:rPr>
      </w:pPr>
      <w:r>
        <w:rPr>
          <w:rFonts w:ascii="Arial" w:cs="Arial" w:eastAsia="Arial" w:hAnsi="Arial"/>
          <w:sz w:val="17"/>
          <w:szCs w:val="17"/>
          <w:color w:val="auto"/>
        </w:rPr>
        <w:t>Our board of directors has established three standing committees – audit, compensation. and nominating and corporate governance – each of which operates under a charter that has been approved by our board of directors.</w:t>
      </w:r>
    </w:p>
    <w:p>
      <w:pPr>
        <w:spacing w:after="0" w:line="25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Audit Committee</w:t>
      </w:r>
    </w:p>
    <w:p>
      <w:pPr>
        <w:spacing w:after="0" w:line="98" w:lineRule="exact"/>
        <w:rPr>
          <w:sz w:val="20"/>
          <w:szCs w:val="20"/>
          <w:color w:val="auto"/>
        </w:rPr>
      </w:pPr>
    </w:p>
    <w:p>
      <w:pPr>
        <w:ind w:left="420" w:right="160" w:firstLine="521"/>
        <w:spacing w:after="0" w:line="270" w:lineRule="auto"/>
        <w:rPr>
          <w:sz w:val="20"/>
          <w:szCs w:val="20"/>
          <w:color w:val="auto"/>
        </w:rPr>
      </w:pPr>
      <w:r>
        <w:rPr>
          <w:rFonts w:ascii="Arial" w:cs="Arial" w:eastAsia="Arial" w:hAnsi="Arial"/>
          <w:sz w:val="17"/>
          <w:szCs w:val="17"/>
          <w:color w:val="auto"/>
        </w:rPr>
        <w:t>The audit committee’s main function is to oversee our accounting and financial reporting processes and the audits of our financial statements. This committee’s responsibilities include, among other things:</w:t>
      </w:r>
    </w:p>
    <w:p>
      <w:pPr>
        <w:spacing w:after="0" w:line="58" w:lineRule="exact"/>
        <w:rPr>
          <w:sz w:val="20"/>
          <w:szCs w:val="20"/>
          <w:color w:val="auto"/>
        </w:rPr>
      </w:pPr>
    </w:p>
    <w:p>
      <w:pPr>
        <w:ind w:left="1660" w:hanging="418"/>
        <w:spacing w:after="0"/>
        <w:tabs>
          <w:tab w:leader="none" w:pos="1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appointing our independent registered public accounting firm;</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evaluating the qualifications, independence, and performance of our independent registered public accounting firm;</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approving the audit and non-audit services to be performed by our independent registered public accounting firm;</w:t>
      </w:r>
    </w:p>
    <w:p>
      <w:pPr>
        <w:spacing w:after="0" w:line="111" w:lineRule="exact"/>
        <w:rPr>
          <w:rFonts w:ascii="Arial" w:cs="Arial" w:eastAsia="Arial" w:hAnsi="Arial"/>
          <w:sz w:val="17"/>
          <w:szCs w:val="17"/>
          <w:color w:val="auto"/>
        </w:rPr>
      </w:pPr>
    </w:p>
    <w:p>
      <w:pPr>
        <w:ind w:left="1660" w:right="380" w:hanging="418"/>
        <w:spacing w:after="0" w:line="270" w:lineRule="auto"/>
        <w:tabs>
          <w:tab w:leader="none" w:pos="1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reviewing the design, implementation, adequacy, and effectiveness of our internal accounting controls and our critical accounting policies;</w:t>
      </w:r>
    </w:p>
    <w:p>
      <w:pPr>
        <w:spacing w:after="0" w:line="58" w:lineRule="exact"/>
        <w:rPr>
          <w:rFonts w:ascii="Arial" w:cs="Arial" w:eastAsia="Arial" w:hAnsi="Arial"/>
          <w:sz w:val="17"/>
          <w:szCs w:val="17"/>
          <w:color w:val="auto"/>
        </w:rPr>
      </w:pPr>
    </w:p>
    <w:p>
      <w:pPr>
        <w:ind w:left="1660" w:right="260" w:hanging="418"/>
        <w:spacing w:after="0" w:line="270" w:lineRule="auto"/>
        <w:tabs>
          <w:tab w:leader="none" w:pos="1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discussing with management and the independent registered public accounting firm the results of our annual audit and the review of our quarterly unaudited financial statements;</w:t>
      </w:r>
    </w:p>
    <w:p>
      <w:pPr>
        <w:spacing w:after="0" w:line="58" w:lineRule="exact"/>
        <w:rPr>
          <w:rFonts w:ascii="Arial" w:cs="Arial" w:eastAsia="Arial" w:hAnsi="Arial"/>
          <w:sz w:val="17"/>
          <w:szCs w:val="17"/>
          <w:color w:val="auto"/>
        </w:rPr>
      </w:pPr>
    </w:p>
    <w:p>
      <w:pPr>
        <w:ind w:left="1660" w:right="720" w:hanging="418"/>
        <w:spacing w:after="0" w:line="270" w:lineRule="auto"/>
        <w:tabs>
          <w:tab w:leader="none" w:pos="1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reviewing, overseeing, and monitoring the integrity of our financial statements and our compliance with legal and regulatory requirements as they relate to financial statements or accounting matters;</w:t>
      </w:r>
    </w:p>
    <w:p>
      <w:pPr>
        <w:spacing w:after="0" w:line="58" w:lineRule="exact"/>
        <w:rPr>
          <w:rFonts w:ascii="Arial" w:cs="Arial" w:eastAsia="Arial" w:hAnsi="Arial"/>
          <w:sz w:val="17"/>
          <w:szCs w:val="17"/>
          <w:color w:val="auto"/>
        </w:rPr>
      </w:pPr>
    </w:p>
    <w:p>
      <w:pPr>
        <w:ind w:left="1660" w:right="200" w:hanging="418"/>
        <w:spacing w:after="0" w:line="270" w:lineRule="auto"/>
        <w:tabs>
          <w:tab w:leader="none" w:pos="1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reviewing on a periodic basis, or as appropriate, any investment policy and recommending to our board of directors any changes to such investment policy;</w:t>
      </w:r>
    </w:p>
    <w:p>
      <w:pPr>
        <w:spacing w:after="0" w:line="58" w:lineRule="exact"/>
        <w:rPr>
          <w:rFonts w:ascii="Arial" w:cs="Arial" w:eastAsia="Arial" w:hAnsi="Arial"/>
          <w:sz w:val="17"/>
          <w:szCs w:val="17"/>
          <w:color w:val="auto"/>
        </w:rPr>
      </w:pPr>
    </w:p>
    <w:p>
      <w:pPr>
        <w:ind w:left="1660" w:right="220" w:hanging="418"/>
        <w:spacing w:after="0" w:line="270" w:lineRule="auto"/>
        <w:tabs>
          <w:tab w:leader="none" w:pos="1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reviewing with management and our auditors any earnings announcements and other public announcements regarding our results of operations;</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preparing the report that the SEC requires in our annual proxy statement;</w:t>
      </w:r>
    </w:p>
    <w:p>
      <w:pPr>
        <w:spacing w:after="0" w:line="111" w:lineRule="exact"/>
        <w:rPr>
          <w:rFonts w:ascii="Arial" w:cs="Arial" w:eastAsia="Arial" w:hAnsi="Arial"/>
          <w:sz w:val="17"/>
          <w:szCs w:val="17"/>
          <w:color w:val="auto"/>
        </w:rPr>
      </w:pPr>
    </w:p>
    <w:p>
      <w:pPr>
        <w:ind w:left="1660" w:right="580" w:hanging="418"/>
        <w:spacing w:after="0" w:line="270" w:lineRule="auto"/>
        <w:tabs>
          <w:tab w:leader="none" w:pos="1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review our policies with respect to risk assessment and management and oversee management of our information technology risks, including cybersecurity and data privacy risks;</w:t>
      </w:r>
    </w:p>
    <w:p>
      <w:pPr>
        <w:spacing w:after="0" w:line="58" w:lineRule="exact"/>
        <w:rPr>
          <w:rFonts w:ascii="Arial" w:cs="Arial" w:eastAsia="Arial" w:hAnsi="Arial"/>
          <w:sz w:val="17"/>
          <w:szCs w:val="17"/>
          <w:color w:val="auto"/>
        </w:rPr>
      </w:pPr>
    </w:p>
    <w:p>
      <w:pPr>
        <w:ind w:left="1660" w:right="620" w:hanging="418"/>
        <w:spacing w:after="0" w:line="270" w:lineRule="auto"/>
        <w:tabs>
          <w:tab w:leader="none" w:pos="1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reviewing and approving any related party transactions and reviewing and monitoring compliance with our code of conduct and ethics; and</w:t>
      </w:r>
    </w:p>
    <w:p>
      <w:pPr>
        <w:spacing w:after="0" w:line="58" w:lineRule="exact"/>
        <w:rPr>
          <w:rFonts w:ascii="Arial" w:cs="Arial" w:eastAsia="Arial" w:hAnsi="Arial"/>
          <w:sz w:val="17"/>
          <w:szCs w:val="17"/>
          <w:color w:val="auto"/>
        </w:rPr>
      </w:pPr>
    </w:p>
    <w:p>
      <w:pPr>
        <w:ind w:left="1660" w:hanging="418"/>
        <w:spacing w:after="0" w:line="270" w:lineRule="auto"/>
        <w:tabs>
          <w:tab w:leader="none" w:pos="1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reviewing and evaluating, at least annually, the performance of the audit committee and its members including compliance of the audit committee with its charter.</w:t>
      </w:r>
    </w:p>
    <w:p>
      <w:pPr>
        <w:spacing w:after="0" w:line="148" w:lineRule="exact"/>
        <w:rPr>
          <w:sz w:val="20"/>
          <w:szCs w:val="20"/>
          <w:color w:val="auto"/>
        </w:rPr>
      </w:pPr>
    </w:p>
    <w:p>
      <w:pPr>
        <w:jc w:val="both"/>
        <w:ind w:left="420" w:right="60" w:firstLine="521"/>
        <w:spacing w:after="0" w:line="252" w:lineRule="auto"/>
        <w:rPr>
          <w:sz w:val="20"/>
          <w:szCs w:val="20"/>
          <w:color w:val="auto"/>
        </w:rPr>
      </w:pPr>
      <w:r>
        <w:rPr>
          <w:rFonts w:ascii="Arial" w:cs="Arial" w:eastAsia="Arial" w:hAnsi="Arial"/>
          <w:sz w:val="17"/>
          <w:szCs w:val="17"/>
          <w:color w:val="auto"/>
        </w:rPr>
        <w:t>The members of our audit committee are Dr. Brennan, Ms. Lew, and Dr. Lim. Ms. Lew serves as the chairperson of the committee. All members of our audit committee meet the requirements for financial literacy under the applicable rules and regulations of the SEC and Nasdaq. Our board of directors has determined that Ms. Lew is an “audit committee financial expert” as defined by applicable</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172</w:t>
      </w:r>
    </w:p>
    <w:p>
      <w:pPr>
        <w:sectPr>
          <w:pgSz w:w="11900" w:h="16838" w:orient="portrait"/>
          <w:cols w:equalWidth="0" w:num="1">
            <w:col w:w="10820"/>
          </w:cols>
          <w:pgMar w:left="320" w:top="439" w:right="7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20"/>
        <w:spacing w:after="0" w:line="247" w:lineRule="auto"/>
        <w:rPr>
          <w:sz w:val="20"/>
          <w:szCs w:val="20"/>
          <w:color w:val="auto"/>
        </w:rPr>
      </w:pPr>
      <w:r>
        <w:rPr>
          <w:rFonts w:ascii="Arial" w:cs="Arial" w:eastAsia="Arial" w:hAnsi="Arial"/>
          <w:sz w:val="17"/>
          <w:szCs w:val="17"/>
          <w:color w:val="auto"/>
        </w:rPr>
        <w:t>SEC rules and has the requisite financial sophistication as defined under the applicable Nasdaq listing standards. Our board of directors has determined that each of Dr. Brennan, Ms. Lew, and Dr. Lim is independent under the applicable rules of the SEC and Nasdaq. Upon the listing of our common stock on Nasdaq, the audit committee will operate under a written charter that satisfies the applicable standards of the SEC and Nasdaq.</w:t>
      </w:r>
    </w:p>
    <w:p>
      <w:pPr>
        <w:spacing w:after="0" w:line="26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98" w:lineRule="exact"/>
        <w:rPr>
          <w:sz w:val="20"/>
          <w:szCs w:val="20"/>
          <w:color w:val="auto"/>
        </w:rPr>
      </w:pPr>
    </w:p>
    <w:p>
      <w:pPr>
        <w:ind w:left="420" w:right="120" w:firstLine="521"/>
        <w:spacing w:after="0" w:line="242" w:lineRule="auto"/>
        <w:rPr>
          <w:sz w:val="20"/>
          <w:szCs w:val="20"/>
          <w:color w:val="auto"/>
        </w:rPr>
      </w:pPr>
      <w:r>
        <w:rPr>
          <w:rFonts w:ascii="Arial" w:cs="Arial" w:eastAsia="Arial" w:hAnsi="Arial"/>
          <w:sz w:val="17"/>
          <w:szCs w:val="17"/>
          <w:color w:val="auto"/>
        </w:rPr>
        <w:t>Our compensation committee approves policies relating to compensation and benefits of our officers and employees. The compensation committee approves corporate goals and objectives relevant to the compensation of our Chief Executive Officer and other executive officers, evaluates the performance of these officers in light of those goals and objectives, and approves the compensation of these officers based on such evaluations. The compensation committee also approves the issuance of stock options and other awards under our equity plans. The compensation committee will review and evaluate, at least annually, the performance of the compensation committee and its members, including compliance by the compensation committee with its charter.</w:t>
      </w:r>
    </w:p>
    <w:p>
      <w:pPr>
        <w:spacing w:after="0" w:line="172" w:lineRule="exact"/>
        <w:rPr>
          <w:sz w:val="20"/>
          <w:szCs w:val="20"/>
          <w:color w:val="auto"/>
        </w:rPr>
      </w:pPr>
    </w:p>
    <w:p>
      <w:pPr>
        <w:ind w:left="420" w:right="60" w:firstLine="521"/>
        <w:spacing w:after="0" w:line="244" w:lineRule="auto"/>
        <w:rPr>
          <w:sz w:val="20"/>
          <w:szCs w:val="20"/>
          <w:color w:val="auto"/>
        </w:rPr>
      </w:pPr>
      <w:r>
        <w:rPr>
          <w:rFonts w:ascii="Arial" w:cs="Arial" w:eastAsia="Arial" w:hAnsi="Arial"/>
          <w:sz w:val="17"/>
          <w:szCs w:val="17"/>
          <w:color w:val="auto"/>
        </w:rPr>
        <w:t>The members of our compensation committee are Ms. Burow, Dr. Christensen, Ms. Lew, and Dr. Lim. Dr. Lim serves as the chairperson of the committee. Our board of directors has determined that each of Ms. Burow, Dr. Christensen, Ms. Lew, and Dr. Lim is independent under the applicable Nasdaq listing standards and is a “non-employee director” as defined in Rule 16b-3 promulgated under the Exchange Act. Upon the listing of our common stock on Nasdaq, the compensation committee will operate under a written charter, which the compensation committee will review and evaluate at least annually.</w:t>
      </w:r>
    </w:p>
    <w:p>
      <w:pPr>
        <w:spacing w:after="0" w:line="27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98" w:lineRule="exact"/>
        <w:rPr>
          <w:sz w:val="20"/>
          <w:szCs w:val="20"/>
          <w:color w:val="auto"/>
        </w:rPr>
      </w:pPr>
    </w:p>
    <w:p>
      <w:pPr>
        <w:ind w:left="420" w:firstLine="521"/>
        <w:spacing w:after="0" w:line="238" w:lineRule="auto"/>
        <w:rPr>
          <w:sz w:val="20"/>
          <w:szCs w:val="20"/>
          <w:color w:val="auto"/>
        </w:rPr>
      </w:pPr>
      <w:r>
        <w:rPr>
          <w:rFonts w:ascii="Arial" w:cs="Arial" w:eastAsia="Arial" w:hAnsi="Arial"/>
          <w:sz w:val="17"/>
          <w:szCs w:val="17"/>
          <w:color w:val="auto"/>
        </w:rPr>
        <w:t>The nominating and corporate governance committee is responsible for assisting our board of directors in discharging the board of directors’ responsibilities regarding the identification of qualified candidates to become board members, the selection of nominees for election as directors at our annual meetings of stockholders (or special meetings of stockholders at which directors are to be elected), and the selection of candidates to fill any vacancies on our board of directors and any committees thereof. In addition, the nominating and corporate governance committee is responsible for overseeing our corporate governance policies, reporting, and making recommendations to our board of directors concerning governance matters, reviewing, and assisting the Board with oversight of matters relating to environmental, social and governance matters affecting the Company, and oversight of the evaluation of our board of directors. The members of our nominating and corporate governance committee are Dr. Brennan, Ms. Burow, and Dr. Whiting. Dr. Brennan serves as the chairperson of the committee. Our board of directors has determined that each of Dr. Brennan, Ms. Burow, and Dr. Whiting is independent under the applicable Nasdaq listing standards. Upon the listing of our common stock on Nasdaq, the nominating and corporate governance committee will operate under a written charter, which the nominating and corporate governance committee will review and evaluate at least annually.</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98" w:lineRule="exact"/>
        <w:rPr>
          <w:sz w:val="20"/>
          <w:szCs w:val="20"/>
          <w:color w:val="auto"/>
        </w:rPr>
      </w:pPr>
    </w:p>
    <w:p>
      <w:pPr>
        <w:ind w:left="420" w:right="220" w:firstLine="521"/>
        <w:spacing w:after="0" w:line="252" w:lineRule="auto"/>
        <w:rPr>
          <w:sz w:val="20"/>
          <w:szCs w:val="20"/>
          <w:color w:val="auto"/>
        </w:rPr>
      </w:pPr>
      <w:r>
        <w:rPr>
          <w:rFonts w:ascii="Arial" w:cs="Arial" w:eastAsia="Arial" w:hAnsi="Arial"/>
          <w:sz w:val="17"/>
          <w:szCs w:val="17"/>
          <w:color w:val="auto"/>
        </w:rPr>
        <w:t>None of the members of our compensation committee has ever been one of our officers or employees. None of our executive officers currently serves, or has served, as a member of the board of directors or compensation committee of any entity that has one or more executive officers serving as a member of our board of directors or compensation committee.</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173</w:t>
      </w:r>
    </w:p>
    <w:p>
      <w:pPr>
        <w:sectPr>
          <w:pgSz w:w="11900" w:h="16838" w:orient="portrait"/>
          <w:cols w:equalWidth="0" w:num="1">
            <w:col w:w="10780"/>
          </w:cols>
          <w:pgMar w:left="320" w:top="439" w:right="7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Board Diversity</w:t>
      </w:r>
    </w:p>
    <w:p>
      <w:pPr>
        <w:spacing w:after="0" w:line="98" w:lineRule="exact"/>
        <w:rPr>
          <w:sz w:val="20"/>
          <w:szCs w:val="20"/>
          <w:color w:val="auto"/>
        </w:rPr>
      </w:pPr>
    </w:p>
    <w:p>
      <w:pPr>
        <w:ind w:left="420" w:firstLine="521"/>
        <w:spacing w:after="0" w:line="244" w:lineRule="auto"/>
        <w:rPr>
          <w:sz w:val="20"/>
          <w:szCs w:val="20"/>
          <w:color w:val="auto"/>
        </w:rPr>
      </w:pPr>
      <w:r>
        <w:rPr>
          <w:rFonts w:ascii="Arial" w:cs="Arial" w:eastAsia="Arial" w:hAnsi="Arial"/>
          <w:sz w:val="17"/>
          <w:szCs w:val="17"/>
          <w:color w:val="auto"/>
        </w:rPr>
        <w:t>Upon the closing of this offering, our nominating and corporate governance committee will be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for election or appointment, the nominating and corporate governance committee and the board of directors will take into account many factors, including the following:</w:t>
      </w:r>
    </w:p>
    <w:p>
      <w:pPr>
        <w:spacing w:after="0" w:line="80" w:lineRule="exact"/>
        <w:rPr>
          <w:sz w:val="20"/>
          <w:szCs w:val="20"/>
          <w:color w:val="auto"/>
        </w:rPr>
      </w:pPr>
    </w:p>
    <w:p>
      <w:pPr>
        <w:ind w:left="1660" w:hanging="418"/>
        <w:spacing w:after="0"/>
        <w:tabs>
          <w:tab w:leader="none" w:pos="1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personal and professional integrity, ethics, and values;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experience in corporate management, such as serving as an officer or former officer of a publicly-held company;</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experience as a board member or executive officer of another publicly-held company;</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strong finance experience;</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diversity of expertise and experience in substantive matters pertaining to our business relative to other board members;</w:t>
      </w:r>
    </w:p>
    <w:p>
      <w:pPr>
        <w:spacing w:after="0" w:line="111" w:lineRule="exact"/>
        <w:rPr>
          <w:rFonts w:ascii="Arial" w:cs="Arial" w:eastAsia="Arial" w:hAnsi="Arial"/>
          <w:sz w:val="17"/>
          <w:szCs w:val="17"/>
          <w:color w:val="auto"/>
        </w:rPr>
      </w:pPr>
    </w:p>
    <w:p>
      <w:pPr>
        <w:ind w:left="1660" w:right="800" w:hanging="418"/>
        <w:spacing w:after="0" w:line="270" w:lineRule="auto"/>
        <w:tabs>
          <w:tab w:leader="none" w:pos="1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diversity of background and perspective, including, but not limited to, with respect to age, gender, race, place of residence, and specialized experience;</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experience relevant to our business industry and with relevant social policy concerns; and</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relevant academic expertise or other proficiency in an area of our business operations.</w:t>
      </w:r>
    </w:p>
    <w:p>
      <w:pPr>
        <w:spacing w:after="0" w:line="201" w:lineRule="exact"/>
        <w:rPr>
          <w:sz w:val="20"/>
          <w:szCs w:val="20"/>
          <w:color w:val="auto"/>
        </w:rPr>
      </w:pPr>
    </w:p>
    <w:p>
      <w:pPr>
        <w:ind w:left="420" w:right="220" w:firstLine="521"/>
        <w:spacing w:after="0" w:line="252" w:lineRule="auto"/>
        <w:rPr>
          <w:sz w:val="20"/>
          <w:szCs w:val="20"/>
          <w:color w:val="auto"/>
        </w:rPr>
      </w:pPr>
      <w:r>
        <w:rPr>
          <w:rFonts w:ascii="Arial" w:cs="Arial" w:eastAsia="Arial" w:hAnsi="Arial"/>
          <w:sz w:val="17"/>
          <w:szCs w:val="17"/>
          <w:color w:val="auto"/>
        </w:rPr>
        <w:t>Currently, our board of directors evaluates, and following the closing of this offering will evaluate, each individual in the context of the board of directors as a whole, with the objective of assembling a group that can best maximize the success of the business and represent stockholder interests through the exercise of sound judgment using its diversity of experience in these various areas.</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Code of Business Conduct and Ethics</w:t>
      </w:r>
    </w:p>
    <w:p>
      <w:pPr>
        <w:spacing w:after="0" w:line="201" w:lineRule="exact"/>
        <w:rPr>
          <w:sz w:val="20"/>
          <w:szCs w:val="20"/>
          <w:color w:val="auto"/>
        </w:rPr>
      </w:pPr>
    </w:p>
    <w:p>
      <w:pPr>
        <w:ind w:left="420" w:firstLine="521"/>
        <w:spacing w:after="0"/>
        <w:rPr>
          <w:sz w:val="20"/>
          <w:szCs w:val="20"/>
          <w:color w:val="auto"/>
        </w:rPr>
      </w:pPr>
      <w:r>
        <w:rPr>
          <w:rFonts w:ascii="Arial" w:cs="Arial" w:eastAsia="Arial" w:hAnsi="Arial"/>
          <w:sz w:val="17"/>
          <w:szCs w:val="17"/>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which will be effective upon the closing of this offering. Upon the closing of this offering, our code of business conduct and ethics will be available under the Corporate Governance section of our website at www.boundlessbio.com. In addition, we intend to post on our website all disclosures that are required by law or the listing standards of Nasdaq concerning any amendments to, or waivers from, any provision of the code. We have included our website address in this prospectus solely as an inactive textual reference. The reference to our website address does not constitute incorporation by reference of the information contained at or available through our website, and you should not consider it to be a part of this prospectus.</w:t>
      </w:r>
    </w:p>
    <w:p>
      <w:pPr>
        <w:spacing w:after="0" w:line="11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174</w:t>
      </w:r>
    </w:p>
    <w:p>
      <w:pPr>
        <w:sectPr>
          <w:pgSz w:w="11900" w:h="16838" w:orient="portrait"/>
          <w:cols w:equalWidth="0" w:num="1">
            <w:col w:w="10820"/>
          </w:cols>
          <w:pgMar w:left="320" w:top="439" w:right="7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3760"/>
        <w:spacing w:after="0"/>
        <w:rPr>
          <w:sz w:val="20"/>
          <w:szCs w:val="20"/>
          <w:color w:val="auto"/>
        </w:rPr>
      </w:pPr>
      <w:r>
        <w:rPr>
          <w:rFonts w:ascii="Arial" w:cs="Arial" w:eastAsia="Arial" w:hAnsi="Arial"/>
          <w:sz w:val="17"/>
          <w:szCs w:val="17"/>
          <w:b w:val="1"/>
          <w:bCs w:val="1"/>
          <w:color w:val="auto"/>
        </w:rPr>
        <w:t>EXECUTIVE AND DIRECTOR COMPENSATION</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Overview</w:t>
      </w:r>
    </w:p>
    <w:p>
      <w:pPr>
        <w:spacing w:after="0" w:line="201" w:lineRule="exact"/>
        <w:rPr>
          <w:sz w:val="20"/>
          <w:szCs w:val="20"/>
          <w:color w:val="auto"/>
        </w:rPr>
      </w:pPr>
    </w:p>
    <w:p>
      <w:pPr>
        <w:ind w:left="420" w:right="320" w:firstLine="521"/>
        <w:spacing w:after="0" w:line="270" w:lineRule="auto"/>
        <w:rPr>
          <w:sz w:val="20"/>
          <w:szCs w:val="20"/>
          <w:color w:val="auto"/>
        </w:rPr>
      </w:pPr>
      <w:r>
        <w:rPr>
          <w:rFonts w:ascii="Arial" w:cs="Arial" w:eastAsia="Arial" w:hAnsi="Arial"/>
          <w:sz w:val="17"/>
          <w:szCs w:val="17"/>
          <w:color w:val="auto"/>
        </w:rPr>
        <w:t>Our named executive officers for 2023, which consist of our principal executive officer during 2023 and our two next most highly compensated executive officers during 2023, were:</w:t>
      </w:r>
    </w:p>
    <w:p>
      <w:pPr>
        <w:spacing w:after="0" w:line="58" w:lineRule="exact"/>
        <w:rPr>
          <w:sz w:val="20"/>
          <w:szCs w:val="20"/>
          <w:color w:val="auto"/>
        </w:rPr>
      </w:pPr>
    </w:p>
    <w:p>
      <w:pPr>
        <w:ind w:left="1660" w:hanging="418"/>
        <w:spacing w:after="0"/>
        <w:tabs>
          <w:tab w:leader="none" w:pos="1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Zachary D. Hornby, President and Chief Executive Officer;</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Klaus Wagner, M.D., Ph.D., Chief Medical Officer; and</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Chris Hassig, Ph.D., Chief Scientific Officer.</w:t>
      </w:r>
    </w:p>
    <w:p>
      <w:pPr>
        <w:spacing w:after="0" w:line="201" w:lineRule="exact"/>
        <w:rPr>
          <w:sz w:val="20"/>
          <w:szCs w:val="20"/>
          <w:color w:val="auto"/>
        </w:rPr>
      </w:pPr>
    </w:p>
    <w:p>
      <w:pPr>
        <w:ind w:left="420" w:right="360" w:firstLine="521"/>
        <w:spacing w:after="0" w:line="252" w:lineRule="auto"/>
        <w:rPr>
          <w:sz w:val="20"/>
          <w:szCs w:val="20"/>
          <w:color w:val="auto"/>
        </w:rPr>
      </w:pPr>
      <w:r>
        <w:rPr>
          <w:rFonts w:ascii="Arial" w:cs="Arial" w:eastAsia="Arial" w:hAnsi="Arial"/>
          <w:sz w:val="17"/>
          <w:szCs w:val="17"/>
          <w:color w:val="auto"/>
        </w:rPr>
        <w:t>This discussion may contain forward-looking statements that are based on our current plans, considerations, expectations, and determinations regarding future compensation programs. Actual compensation programs that we adopt following the closing of this offering may differ materially from the currently planned programs summarized in this discussion.</w:t>
      </w:r>
    </w:p>
    <w:p>
      <w:pPr>
        <w:spacing w:after="0" w:line="164" w:lineRule="exact"/>
        <w:rPr>
          <w:sz w:val="20"/>
          <w:szCs w:val="20"/>
          <w:color w:val="auto"/>
        </w:rPr>
      </w:pPr>
    </w:p>
    <w:p>
      <w:pPr>
        <w:ind w:left="420" w:right="100" w:firstLine="521"/>
        <w:spacing w:after="0" w:line="270" w:lineRule="auto"/>
        <w:rPr>
          <w:sz w:val="20"/>
          <w:szCs w:val="20"/>
          <w:color w:val="auto"/>
        </w:rPr>
      </w:pPr>
      <w:r>
        <w:rPr>
          <w:rFonts w:ascii="Arial" w:cs="Arial" w:eastAsia="Arial" w:hAnsi="Arial"/>
          <w:sz w:val="17"/>
          <w:szCs w:val="17"/>
          <w:color w:val="auto"/>
        </w:rPr>
        <w:t>The following table sets forth information regarding compensation earned with respect to the fiscal year ended December 31, 2023 by our named executive officers.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2023 Summary Compensation Table</w:t>
      </w:r>
    </w:p>
    <w:p>
      <w:pPr>
        <w:spacing w:after="0" w:line="226"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335"/>
              <w:spacing w:after="0"/>
              <w:rPr>
                <w:sz w:val="20"/>
                <w:szCs w:val="20"/>
                <w:color w:val="auto"/>
              </w:rPr>
            </w:pPr>
            <w:r>
              <w:rPr>
                <w:rFonts w:ascii="Arial" w:cs="Arial" w:eastAsia="Arial" w:hAnsi="Arial"/>
                <w:sz w:val="14"/>
                <w:szCs w:val="14"/>
                <w:b w:val="1"/>
                <w:bCs w:val="1"/>
                <w:color w:val="auto"/>
                <w:w w:val="96"/>
              </w:rPr>
              <w:t>Non-Equity</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7"/>
              </w:rPr>
              <w:t>Option</w:t>
            </w:r>
          </w:p>
        </w:tc>
        <w:tc>
          <w:tcPr>
            <w:tcW w:w="1380" w:type="dxa"/>
            <w:vAlign w:val="bottom"/>
            <w:gridSpan w:val="2"/>
          </w:tcPr>
          <w:p>
            <w:pPr>
              <w:jc w:val="center"/>
              <w:ind w:right="335"/>
              <w:spacing w:after="0" w:line="153" w:lineRule="exact"/>
              <w:rPr>
                <w:sz w:val="20"/>
                <w:szCs w:val="20"/>
                <w:color w:val="auto"/>
              </w:rPr>
            </w:pPr>
            <w:r>
              <w:rPr>
                <w:rFonts w:ascii="Arial" w:cs="Arial" w:eastAsia="Arial" w:hAnsi="Arial"/>
                <w:sz w:val="14"/>
                <w:szCs w:val="14"/>
                <w:b w:val="1"/>
                <w:bCs w:val="1"/>
                <w:color w:val="auto"/>
                <w:w w:val="97"/>
              </w:rPr>
              <w:t>Incentive Plan</w:t>
            </w:r>
          </w:p>
        </w:tc>
        <w:tc>
          <w:tcPr>
            <w:tcW w:w="11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All Other</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Salary</w:t>
            </w:r>
          </w:p>
        </w:tc>
        <w:tc>
          <w:tcPr>
            <w:tcW w:w="6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Bonus</w:t>
            </w:r>
          </w:p>
        </w:tc>
        <w:tc>
          <w:tcPr>
            <w:tcW w:w="10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8"/>
              </w:rPr>
              <w:t>Awards</w:t>
            </w:r>
          </w:p>
        </w:tc>
        <w:tc>
          <w:tcPr>
            <w:tcW w:w="1380" w:type="dxa"/>
            <w:vAlign w:val="bottom"/>
            <w:gridSpan w:val="2"/>
          </w:tcPr>
          <w:p>
            <w:pPr>
              <w:jc w:val="center"/>
              <w:ind w:right="335"/>
              <w:spacing w:after="0" w:line="153" w:lineRule="exact"/>
              <w:rPr>
                <w:sz w:val="20"/>
                <w:szCs w:val="20"/>
                <w:color w:val="auto"/>
              </w:rPr>
            </w:pPr>
            <w:r>
              <w:rPr>
                <w:rFonts w:ascii="Arial" w:cs="Arial" w:eastAsia="Arial" w:hAnsi="Arial"/>
                <w:sz w:val="14"/>
                <w:szCs w:val="14"/>
                <w:b w:val="1"/>
                <w:bCs w:val="1"/>
                <w:color w:val="auto"/>
                <w:w w:val="98"/>
              </w:rPr>
              <w:t>Compensation</w:t>
            </w:r>
          </w:p>
        </w:tc>
        <w:tc>
          <w:tcPr>
            <w:tcW w:w="1180" w:type="dxa"/>
            <w:vAlign w:val="bottom"/>
            <w:gridSpan w:val="2"/>
          </w:tcPr>
          <w:p>
            <w:pPr>
              <w:jc w:val="right"/>
              <w:ind w:right="220"/>
              <w:spacing w:after="0" w:line="153" w:lineRule="exact"/>
              <w:rPr>
                <w:sz w:val="20"/>
                <w:szCs w:val="20"/>
                <w:color w:val="auto"/>
              </w:rPr>
            </w:pPr>
            <w:r>
              <w:rPr>
                <w:rFonts w:ascii="Arial" w:cs="Arial" w:eastAsia="Arial" w:hAnsi="Arial"/>
                <w:sz w:val="14"/>
                <w:szCs w:val="14"/>
                <w:b w:val="1"/>
                <w:bCs w:val="1"/>
                <w:color w:val="auto"/>
                <w:w w:val="96"/>
              </w:rPr>
              <w:t>Compensation</w:t>
            </w:r>
          </w:p>
        </w:tc>
        <w:tc>
          <w:tcPr>
            <w:tcW w:w="880" w:type="dxa"/>
            <w:vAlign w:val="bottom"/>
            <w:gridSpan w:val="2"/>
          </w:tcPr>
          <w:p>
            <w:pPr>
              <w:jc w:val="right"/>
              <w:ind w:right="300"/>
              <w:spacing w:after="0" w:line="15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3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680" w:type="dxa"/>
            <w:vAlign w:val="bottom"/>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4"/>
                <w:szCs w:val="14"/>
                <w:color w:val="auto"/>
              </w:rPr>
            </w:pPr>
          </w:p>
        </w:tc>
        <w:tc>
          <w:tcPr>
            <w:tcW w:w="960" w:type="dxa"/>
            <w:vAlign w:val="bottom"/>
          </w:tcPr>
          <w:p>
            <w:pPr>
              <w:jc w:val="right"/>
              <w:ind w:right="241"/>
              <w:spacing w:after="0"/>
              <w:rPr>
                <w:sz w:val="20"/>
                <w:szCs w:val="20"/>
                <w:color w:val="auto"/>
              </w:rPr>
            </w:pPr>
            <w:r>
              <w:rPr>
                <w:rFonts w:ascii="Arial" w:cs="Arial" w:eastAsia="Arial" w:hAnsi="Arial"/>
                <w:sz w:val="14"/>
                <w:szCs w:val="14"/>
                <w:b w:val="1"/>
                <w:bCs w:val="1"/>
                <w:color w:val="auto"/>
              </w:rPr>
              <w:t>($)(2)</w:t>
            </w:r>
          </w:p>
        </w:tc>
        <w:tc>
          <w:tcPr>
            <w:tcW w:w="220" w:type="dxa"/>
            <w:vAlign w:val="bottom"/>
          </w:tcPr>
          <w:p>
            <w:pPr>
              <w:spacing w:after="0"/>
              <w:rPr>
                <w:sz w:val="14"/>
                <w:szCs w:val="14"/>
                <w:color w:val="auto"/>
              </w:rPr>
            </w:pPr>
          </w:p>
        </w:tc>
        <w:tc>
          <w:tcPr>
            <w:tcW w:w="820" w:type="dxa"/>
            <w:vAlign w:val="bottom"/>
          </w:tcPr>
          <w:p>
            <w:pPr>
              <w:jc w:val="right"/>
              <w:ind w:right="24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7"/>
                <w:szCs w:val="17"/>
                <w:color w:val="auto"/>
              </w:rPr>
              <w:t>Zachary D. Hornby President and Chief</w:t>
            </w:r>
          </w:p>
        </w:tc>
        <w:tc>
          <w:tcPr>
            <w:tcW w:w="1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ind w:left="60"/>
              <w:spacing w:after="0" w:line="155" w:lineRule="exact"/>
              <w:rPr>
                <w:sz w:val="20"/>
                <w:szCs w:val="20"/>
                <w:color w:val="auto"/>
              </w:rPr>
            </w:pPr>
            <w:r>
              <w:rPr>
                <w:rFonts w:ascii="Arial" w:cs="Arial" w:eastAsia="Arial" w:hAnsi="Arial"/>
                <w:sz w:val="17"/>
                <w:szCs w:val="17"/>
                <w:color w:val="auto"/>
                <w:w w:val="95"/>
              </w:rPr>
              <w:t>2023</w:t>
            </w:r>
          </w:p>
        </w:tc>
        <w:tc>
          <w:tcPr>
            <w:tcW w:w="2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7"/>
                <w:szCs w:val="17"/>
                <w:color w:val="auto"/>
              </w:rPr>
              <w:t>495,000</w:t>
            </w:r>
          </w:p>
        </w:tc>
        <w:tc>
          <w:tcPr>
            <w:tcW w:w="2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ind w:left="180"/>
              <w:spacing w:after="0" w:line="155" w:lineRule="exact"/>
              <w:rPr>
                <w:sz w:val="20"/>
                <w:szCs w:val="20"/>
                <w:color w:val="auto"/>
              </w:rPr>
            </w:pPr>
            <w:r>
              <w:rPr>
                <w:rFonts w:ascii="Arial" w:cs="Arial" w:eastAsia="Arial" w:hAnsi="Arial"/>
                <w:sz w:val="17"/>
                <w:szCs w:val="17"/>
                <w:color w:val="auto"/>
                <w:w w:val="86"/>
              </w:rPr>
              <w:t>— </w:t>
            </w:r>
          </w:p>
        </w:tc>
        <w:tc>
          <w:tcPr>
            <w:tcW w:w="2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7"/>
                <w:szCs w:val="17"/>
                <w:color w:val="auto"/>
              </w:rPr>
              <w:t>1,651,813</w:t>
            </w:r>
          </w:p>
        </w:tc>
        <w:tc>
          <w:tcPr>
            <w:tcW w:w="22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7"/>
                <w:szCs w:val="17"/>
                <w:color w:val="auto"/>
              </w:rPr>
              <w:t>222,750</w:t>
            </w:r>
          </w:p>
        </w:tc>
        <w:tc>
          <w:tcPr>
            <w:tcW w:w="420" w:type="dxa"/>
            <w:vAlign w:val="bottom"/>
            <w:tcBorders>
              <w:top w:val="single" w:sz="8" w:color="CCEEFF"/>
            </w:tcBorders>
            <w:shd w:val="clear" w:color="auto" w:fill="CCEEFF"/>
          </w:tcPr>
          <w:p>
            <w:pPr>
              <w:jc w:val="right"/>
              <w:ind w:right="135"/>
              <w:spacing w:after="0" w:line="155" w:lineRule="exact"/>
              <w:rPr>
                <w:sz w:val="20"/>
                <w:szCs w:val="20"/>
                <w:color w:val="auto"/>
              </w:rPr>
            </w:pPr>
            <w:r>
              <w:rPr>
                <w:rFonts w:ascii="Arial" w:cs="Arial" w:eastAsia="Arial" w:hAnsi="Arial"/>
                <w:sz w:val="17"/>
                <w:szCs w:val="17"/>
                <w:color w:val="auto"/>
                <w:w w:val="86"/>
              </w:rPr>
              <w:t>(3)</w:t>
            </w:r>
          </w:p>
        </w:tc>
        <w:tc>
          <w:tcPr>
            <w:tcW w:w="9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7"/>
                <w:szCs w:val="17"/>
                <w:color w:val="auto"/>
              </w:rPr>
              <w:t>3,300</w:t>
            </w:r>
          </w:p>
        </w:tc>
        <w:tc>
          <w:tcPr>
            <w:tcW w:w="2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7"/>
                <w:szCs w:val="17"/>
                <w:color w:val="auto"/>
              </w:rPr>
              <w:t>2,372,863</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Executive Officer</w:t>
            </w:r>
          </w:p>
        </w:tc>
        <w:tc>
          <w:tcPr>
            <w:tcW w:w="82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2022</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476,100</w:t>
            </w:r>
          </w:p>
        </w:tc>
        <w:tc>
          <w:tcPr>
            <w:tcW w:w="2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— </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— </w:t>
            </w:r>
          </w:p>
        </w:tc>
        <w:tc>
          <w:tcPr>
            <w:tcW w:w="1380" w:type="dxa"/>
            <w:vAlign w:val="bottom"/>
            <w:gridSpan w:val="2"/>
            <w:shd w:val="clear" w:color="auto" w:fill="CCEEFF"/>
          </w:tcPr>
          <w:p>
            <w:pPr>
              <w:jc w:val="right"/>
              <w:ind w:right="135"/>
              <w:spacing w:after="0"/>
              <w:rPr>
                <w:sz w:val="20"/>
                <w:szCs w:val="20"/>
                <w:color w:val="auto"/>
              </w:rPr>
            </w:pPr>
            <w:r>
              <w:rPr>
                <w:rFonts w:ascii="Arial" w:cs="Arial" w:eastAsia="Arial" w:hAnsi="Arial"/>
                <w:sz w:val="17"/>
                <w:szCs w:val="17"/>
                <w:color w:val="auto"/>
              </w:rPr>
              <w:t>214,245(4)</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3,050</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693,395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580" w:type="dxa"/>
            <w:vAlign w:val="bottom"/>
          </w:tcPr>
          <w:p>
            <w:pPr>
              <w:spacing w:after="0" w:line="175" w:lineRule="exact"/>
              <w:rPr>
                <w:sz w:val="20"/>
                <w:szCs w:val="20"/>
                <w:color w:val="auto"/>
              </w:rPr>
            </w:pPr>
            <w:r>
              <w:rPr>
                <w:rFonts w:ascii="Arial" w:cs="Arial" w:eastAsia="Arial" w:hAnsi="Arial"/>
                <w:sz w:val="17"/>
                <w:szCs w:val="17"/>
                <w:color w:val="auto"/>
              </w:rPr>
              <w:t>Klaus Wagner, M.D., Ph.D. Chief Medical</w:t>
            </w:r>
          </w:p>
        </w:tc>
        <w:tc>
          <w:tcPr>
            <w:tcW w:w="820" w:type="dxa"/>
            <w:vAlign w:val="bottom"/>
            <w:gridSpan w:val="3"/>
          </w:tcPr>
          <w:p>
            <w:pPr>
              <w:ind w:left="220"/>
              <w:spacing w:after="0" w:line="175" w:lineRule="exact"/>
              <w:rPr>
                <w:sz w:val="20"/>
                <w:szCs w:val="20"/>
                <w:color w:val="auto"/>
              </w:rPr>
            </w:pPr>
            <w:r>
              <w:rPr>
                <w:rFonts w:ascii="Arial" w:cs="Arial" w:eastAsia="Arial" w:hAnsi="Arial"/>
                <w:sz w:val="17"/>
                <w:szCs w:val="17"/>
                <w:color w:val="auto"/>
              </w:rPr>
              <w:t>2023</w:t>
            </w:r>
          </w:p>
        </w:tc>
        <w:tc>
          <w:tcPr>
            <w:tcW w:w="680" w:type="dxa"/>
            <w:vAlign w:val="bottom"/>
          </w:tcPr>
          <w:p>
            <w:pPr>
              <w:jc w:val="right"/>
              <w:spacing w:after="0" w:line="175" w:lineRule="exact"/>
              <w:rPr>
                <w:sz w:val="20"/>
                <w:szCs w:val="20"/>
                <w:color w:val="auto"/>
              </w:rPr>
            </w:pPr>
            <w:r>
              <w:rPr>
                <w:rFonts w:ascii="Arial" w:cs="Arial" w:eastAsia="Arial" w:hAnsi="Arial"/>
                <w:sz w:val="17"/>
                <w:szCs w:val="17"/>
                <w:color w:val="auto"/>
              </w:rPr>
              <w:t>465,840</w:t>
            </w:r>
          </w:p>
        </w:tc>
        <w:tc>
          <w:tcPr>
            <w:tcW w:w="220" w:type="dxa"/>
            <w:vAlign w:val="bottom"/>
          </w:tcPr>
          <w:p>
            <w:pPr>
              <w:spacing w:after="0"/>
              <w:rPr>
                <w:sz w:val="15"/>
                <w:szCs w:val="15"/>
                <w:color w:val="auto"/>
              </w:rPr>
            </w:pPr>
          </w:p>
        </w:tc>
        <w:tc>
          <w:tcPr>
            <w:tcW w:w="640" w:type="dxa"/>
            <w:vAlign w:val="bottom"/>
            <w:gridSpan w:val="2"/>
          </w:tcPr>
          <w:p>
            <w:pPr>
              <w:ind w:left="180"/>
              <w:spacing w:after="0" w:line="175" w:lineRule="exact"/>
              <w:rPr>
                <w:sz w:val="20"/>
                <w:szCs w:val="20"/>
                <w:color w:val="auto"/>
              </w:rPr>
            </w:pPr>
            <w:r>
              <w:rPr>
                <w:rFonts w:ascii="Arial" w:cs="Arial" w:eastAsia="Arial" w:hAnsi="Arial"/>
                <w:sz w:val="17"/>
                <w:szCs w:val="17"/>
                <w:color w:val="auto"/>
              </w:rPr>
              <w:t>— </w:t>
            </w:r>
          </w:p>
        </w:tc>
        <w:tc>
          <w:tcPr>
            <w:tcW w:w="1040" w:type="dxa"/>
            <w:vAlign w:val="bottom"/>
            <w:gridSpan w:val="2"/>
          </w:tcPr>
          <w:p>
            <w:pPr>
              <w:jc w:val="right"/>
              <w:ind w:right="220"/>
              <w:spacing w:after="0" w:line="175" w:lineRule="exact"/>
              <w:rPr>
                <w:sz w:val="20"/>
                <w:szCs w:val="20"/>
                <w:color w:val="auto"/>
              </w:rPr>
            </w:pPr>
            <w:r>
              <w:rPr>
                <w:rFonts w:ascii="Arial" w:cs="Arial" w:eastAsia="Arial" w:hAnsi="Arial"/>
                <w:sz w:val="17"/>
                <w:szCs w:val="17"/>
                <w:color w:val="auto"/>
              </w:rPr>
              <w:t>363,572</w:t>
            </w:r>
          </w:p>
        </w:tc>
        <w:tc>
          <w:tcPr>
            <w:tcW w:w="1380" w:type="dxa"/>
            <w:vAlign w:val="bottom"/>
            <w:gridSpan w:val="2"/>
          </w:tcPr>
          <w:p>
            <w:pPr>
              <w:jc w:val="right"/>
              <w:ind w:right="135"/>
              <w:spacing w:after="0" w:line="175" w:lineRule="exact"/>
              <w:rPr>
                <w:sz w:val="20"/>
                <w:szCs w:val="20"/>
                <w:color w:val="auto"/>
              </w:rPr>
            </w:pPr>
            <w:r>
              <w:rPr>
                <w:rFonts w:ascii="Arial" w:cs="Arial" w:eastAsia="Arial" w:hAnsi="Arial"/>
                <w:sz w:val="17"/>
                <w:szCs w:val="17"/>
                <w:color w:val="auto"/>
              </w:rPr>
              <w:t>163,044(3)</w:t>
            </w:r>
          </w:p>
        </w:tc>
        <w:tc>
          <w:tcPr>
            <w:tcW w:w="1180" w:type="dxa"/>
            <w:vAlign w:val="bottom"/>
            <w:gridSpan w:val="2"/>
          </w:tcPr>
          <w:p>
            <w:pPr>
              <w:jc w:val="right"/>
              <w:ind w:right="220"/>
              <w:spacing w:after="0" w:line="175" w:lineRule="exact"/>
              <w:rPr>
                <w:sz w:val="20"/>
                <w:szCs w:val="20"/>
                <w:color w:val="auto"/>
              </w:rPr>
            </w:pPr>
            <w:r>
              <w:rPr>
                <w:rFonts w:ascii="Arial" w:cs="Arial" w:eastAsia="Arial" w:hAnsi="Arial"/>
                <w:sz w:val="17"/>
                <w:szCs w:val="17"/>
                <w:color w:val="auto"/>
              </w:rPr>
              <w:t>4,200</w:t>
            </w:r>
          </w:p>
        </w:tc>
        <w:tc>
          <w:tcPr>
            <w:tcW w:w="820" w:type="dxa"/>
            <w:vAlign w:val="bottom"/>
          </w:tcPr>
          <w:p>
            <w:pPr>
              <w:jc w:val="right"/>
              <w:spacing w:after="0" w:line="175" w:lineRule="exact"/>
              <w:rPr>
                <w:sz w:val="20"/>
                <w:szCs w:val="20"/>
                <w:color w:val="auto"/>
              </w:rPr>
            </w:pPr>
            <w:r>
              <w:rPr>
                <w:rFonts w:ascii="Arial" w:cs="Arial" w:eastAsia="Arial" w:hAnsi="Arial"/>
                <w:sz w:val="17"/>
                <w:szCs w:val="17"/>
                <w:color w:val="auto"/>
              </w:rPr>
              <w:t>996,656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580" w:type="dxa"/>
            <w:vAlign w:val="bottom"/>
          </w:tcPr>
          <w:p>
            <w:pPr>
              <w:ind w:left="160"/>
              <w:spacing w:after="0" w:line="192" w:lineRule="exact"/>
              <w:rPr>
                <w:sz w:val="20"/>
                <w:szCs w:val="20"/>
                <w:color w:val="auto"/>
              </w:rPr>
            </w:pPr>
            <w:r>
              <w:rPr>
                <w:rFonts w:ascii="Arial" w:cs="Arial" w:eastAsia="Arial" w:hAnsi="Arial"/>
                <w:sz w:val="17"/>
                <w:szCs w:val="17"/>
                <w:color w:val="auto"/>
              </w:rPr>
              <w:t>Officer</w:t>
            </w:r>
          </w:p>
        </w:tc>
        <w:tc>
          <w:tcPr>
            <w:tcW w:w="820" w:type="dxa"/>
            <w:vAlign w:val="bottom"/>
            <w:gridSpan w:val="3"/>
            <w:shd w:val="clear" w:color="auto" w:fill="CCEEFF"/>
          </w:tcPr>
          <w:p>
            <w:pPr>
              <w:ind w:left="220"/>
              <w:spacing w:after="0" w:line="192" w:lineRule="exact"/>
              <w:rPr>
                <w:sz w:val="20"/>
                <w:szCs w:val="20"/>
                <w:color w:val="auto"/>
              </w:rPr>
            </w:pPr>
            <w:r>
              <w:rPr>
                <w:rFonts w:ascii="Arial" w:cs="Arial" w:eastAsia="Arial" w:hAnsi="Arial"/>
                <w:sz w:val="17"/>
                <w:szCs w:val="17"/>
                <w:color w:val="auto"/>
              </w:rPr>
              <w:t>2022</w:t>
            </w:r>
          </w:p>
        </w:tc>
        <w:tc>
          <w:tcPr>
            <w:tcW w:w="68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383,654</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line="192" w:lineRule="exact"/>
              <w:rPr>
                <w:sz w:val="20"/>
                <w:szCs w:val="20"/>
                <w:color w:val="auto"/>
              </w:rPr>
            </w:pPr>
            <w:r>
              <w:rPr>
                <w:rFonts w:ascii="Arial" w:cs="Arial" w:eastAsia="Arial" w:hAnsi="Arial"/>
                <w:sz w:val="17"/>
                <w:szCs w:val="17"/>
                <w:color w:val="auto"/>
              </w:rPr>
              <w:t>— </w:t>
            </w:r>
          </w:p>
        </w:tc>
        <w:tc>
          <w:tcPr>
            <w:tcW w:w="1040" w:type="dxa"/>
            <w:vAlign w:val="bottom"/>
            <w:gridSpan w:val="2"/>
            <w:shd w:val="clear" w:color="auto" w:fill="CCEEFF"/>
          </w:tcPr>
          <w:p>
            <w:pPr>
              <w:jc w:val="right"/>
              <w:ind w:right="220"/>
              <w:spacing w:after="0" w:line="192" w:lineRule="exact"/>
              <w:rPr>
                <w:sz w:val="20"/>
                <w:szCs w:val="20"/>
                <w:color w:val="auto"/>
              </w:rPr>
            </w:pPr>
            <w:r>
              <w:rPr>
                <w:rFonts w:ascii="Arial" w:cs="Arial" w:eastAsia="Arial" w:hAnsi="Arial"/>
                <w:sz w:val="17"/>
                <w:szCs w:val="17"/>
                <w:color w:val="auto"/>
              </w:rPr>
              <w:t>825,982</w:t>
            </w:r>
          </w:p>
        </w:tc>
        <w:tc>
          <w:tcPr>
            <w:tcW w:w="1380" w:type="dxa"/>
            <w:vAlign w:val="bottom"/>
            <w:gridSpan w:val="2"/>
            <w:shd w:val="clear" w:color="auto" w:fill="CCEEFF"/>
          </w:tcPr>
          <w:p>
            <w:pPr>
              <w:jc w:val="right"/>
              <w:ind w:right="135"/>
              <w:spacing w:after="0" w:line="192" w:lineRule="exact"/>
              <w:rPr>
                <w:sz w:val="20"/>
                <w:szCs w:val="20"/>
                <w:color w:val="auto"/>
              </w:rPr>
            </w:pPr>
            <w:r>
              <w:rPr>
                <w:rFonts w:ascii="Arial" w:cs="Arial" w:eastAsia="Arial" w:hAnsi="Arial"/>
                <w:sz w:val="17"/>
                <w:szCs w:val="17"/>
                <w:color w:val="auto"/>
              </w:rPr>
              <w:t>138,600(4)</w:t>
            </w:r>
          </w:p>
        </w:tc>
        <w:tc>
          <w:tcPr>
            <w:tcW w:w="1180" w:type="dxa"/>
            <w:vAlign w:val="bottom"/>
            <w:gridSpan w:val="2"/>
            <w:shd w:val="clear" w:color="auto" w:fill="CCEEFF"/>
          </w:tcPr>
          <w:p>
            <w:pPr>
              <w:ind w:left="700"/>
              <w:spacing w:after="0" w:line="192" w:lineRule="exact"/>
              <w:rPr>
                <w:sz w:val="20"/>
                <w:szCs w:val="20"/>
                <w:color w:val="auto"/>
              </w:rPr>
            </w:pPr>
            <w:r>
              <w:rPr>
                <w:rFonts w:ascii="Arial" w:cs="Arial" w:eastAsia="Arial" w:hAnsi="Arial"/>
                <w:sz w:val="17"/>
                <w:szCs w:val="17"/>
                <w:color w:val="auto"/>
              </w:rPr>
              <w:t>— </w:t>
            </w:r>
          </w:p>
        </w:tc>
        <w:tc>
          <w:tcPr>
            <w:tcW w:w="880" w:type="dxa"/>
            <w:vAlign w:val="bottom"/>
            <w:gridSpan w:val="2"/>
            <w:shd w:val="clear" w:color="auto" w:fill="CCEEFF"/>
          </w:tcPr>
          <w:p>
            <w:pPr>
              <w:jc w:val="right"/>
              <w:ind w:right="60"/>
              <w:spacing w:after="0" w:line="192" w:lineRule="exact"/>
              <w:rPr>
                <w:sz w:val="20"/>
                <w:szCs w:val="20"/>
                <w:color w:val="auto"/>
              </w:rPr>
            </w:pPr>
            <w:r>
              <w:rPr>
                <w:rFonts w:ascii="Arial" w:cs="Arial" w:eastAsia="Arial" w:hAnsi="Arial"/>
                <w:sz w:val="17"/>
                <w:szCs w:val="17"/>
                <w:color w:val="auto"/>
              </w:rPr>
              <w:t>1,348,236</w:t>
            </w:r>
          </w:p>
        </w:tc>
        <w:tc>
          <w:tcPr>
            <w:tcW w:w="0" w:type="dxa"/>
            <w:vAlign w:val="bottom"/>
          </w:tcPr>
          <w:p>
            <w:pPr>
              <w:spacing w:after="0"/>
              <w:rPr>
                <w:sz w:val="1"/>
                <w:szCs w:val="1"/>
                <w:color w:val="auto"/>
              </w:rPr>
            </w:pPr>
          </w:p>
        </w:tc>
      </w:tr>
      <w:tr>
        <w:trPr>
          <w:trHeight w:val="175"/>
        </w:trPr>
        <w:tc>
          <w:tcPr>
            <w:tcW w:w="3580" w:type="dxa"/>
            <w:vAlign w:val="bottom"/>
          </w:tcPr>
          <w:p>
            <w:pPr>
              <w:spacing w:after="0" w:line="175" w:lineRule="exact"/>
              <w:rPr>
                <w:sz w:val="20"/>
                <w:szCs w:val="20"/>
                <w:color w:val="auto"/>
              </w:rPr>
            </w:pPr>
            <w:r>
              <w:rPr>
                <w:rFonts w:ascii="Arial" w:cs="Arial" w:eastAsia="Arial" w:hAnsi="Arial"/>
                <w:sz w:val="17"/>
                <w:szCs w:val="17"/>
                <w:color w:val="auto"/>
              </w:rPr>
              <w:t>Chris Hassig, Ph.D.</w:t>
            </w:r>
          </w:p>
        </w:tc>
        <w:tc>
          <w:tcPr>
            <w:tcW w:w="820" w:type="dxa"/>
            <w:vAlign w:val="bottom"/>
            <w:gridSpan w:val="3"/>
          </w:tcPr>
          <w:p>
            <w:pPr>
              <w:ind w:left="220"/>
              <w:spacing w:after="0" w:line="175" w:lineRule="exact"/>
              <w:rPr>
                <w:sz w:val="20"/>
                <w:szCs w:val="20"/>
                <w:color w:val="auto"/>
              </w:rPr>
            </w:pPr>
            <w:r>
              <w:rPr>
                <w:rFonts w:ascii="Arial" w:cs="Arial" w:eastAsia="Arial" w:hAnsi="Arial"/>
                <w:sz w:val="17"/>
                <w:szCs w:val="17"/>
                <w:color w:val="auto"/>
              </w:rPr>
              <w:t>2023</w:t>
            </w:r>
          </w:p>
        </w:tc>
        <w:tc>
          <w:tcPr>
            <w:tcW w:w="680" w:type="dxa"/>
            <w:vAlign w:val="bottom"/>
          </w:tcPr>
          <w:p>
            <w:pPr>
              <w:jc w:val="right"/>
              <w:spacing w:after="0" w:line="175" w:lineRule="exact"/>
              <w:rPr>
                <w:sz w:val="20"/>
                <w:szCs w:val="20"/>
                <w:color w:val="auto"/>
              </w:rPr>
            </w:pPr>
            <w:r>
              <w:rPr>
                <w:rFonts w:ascii="Arial" w:cs="Arial" w:eastAsia="Arial" w:hAnsi="Arial"/>
                <w:sz w:val="17"/>
                <w:szCs w:val="17"/>
                <w:color w:val="auto"/>
              </w:rPr>
              <w:t>415,000</w:t>
            </w:r>
          </w:p>
        </w:tc>
        <w:tc>
          <w:tcPr>
            <w:tcW w:w="220" w:type="dxa"/>
            <w:vAlign w:val="bottom"/>
          </w:tcPr>
          <w:p>
            <w:pPr>
              <w:spacing w:after="0"/>
              <w:rPr>
                <w:sz w:val="15"/>
                <w:szCs w:val="15"/>
                <w:color w:val="auto"/>
              </w:rPr>
            </w:pPr>
          </w:p>
        </w:tc>
        <w:tc>
          <w:tcPr>
            <w:tcW w:w="640" w:type="dxa"/>
            <w:vAlign w:val="bottom"/>
            <w:gridSpan w:val="2"/>
          </w:tcPr>
          <w:p>
            <w:pPr>
              <w:ind w:left="180"/>
              <w:spacing w:after="0" w:line="175" w:lineRule="exact"/>
              <w:rPr>
                <w:sz w:val="20"/>
                <w:szCs w:val="20"/>
                <w:color w:val="auto"/>
              </w:rPr>
            </w:pPr>
            <w:r>
              <w:rPr>
                <w:rFonts w:ascii="Arial" w:cs="Arial" w:eastAsia="Arial" w:hAnsi="Arial"/>
                <w:sz w:val="17"/>
                <w:szCs w:val="17"/>
                <w:color w:val="auto"/>
              </w:rPr>
              <w:t>— </w:t>
            </w:r>
          </w:p>
        </w:tc>
        <w:tc>
          <w:tcPr>
            <w:tcW w:w="1040" w:type="dxa"/>
            <w:vAlign w:val="bottom"/>
            <w:gridSpan w:val="2"/>
          </w:tcPr>
          <w:p>
            <w:pPr>
              <w:jc w:val="right"/>
              <w:ind w:right="220"/>
              <w:spacing w:after="0" w:line="175" w:lineRule="exact"/>
              <w:rPr>
                <w:sz w:val="20"/>
                <w:szCs w:val="20"/>
                <w:color w:val="auto"/>
              </w:rPr>
            </w:pPr>
            <w:r>
              <w:rPr>
                <w:rFonts w:ascii="Arial" w:cs="Arial" w:eastAsia="Arial" w:hAnsi="Arial"/>
                <w:sz w:val="17"/>
                <w:szCs w:val="17"/>
                <w:color w:val="auto"/>
              </w:rPr>
              <w:t>339,960</w:t>
            </w:r>
          </w:p>
        </w:tc>
        <w:tc>
          <w:tcPr>
            <w:tcW w:w="1380" w:type="dxa"/>
            <w:vAlign w:val="bottom"/>
            <w:gridSpan w:val="2"/>
          </w:tcPr>
          <w:p>
            <w:pPr>
              <w:jc w:val="right"/>
              <w:ind w:right="135"/>
              <w:spacing w:after="0" w:line="175" w:lineRule="exact"/>
              <w:rPr>
                <w:sz w:val="20"/>
                <w:szCs w:val="20"/>
                <w:color w:val="auto"/>
              </w:rPr>
            </w:pPr>
            <w:r>
              <w:rPr>
                <w:rFonts w:ascii="Arial" w:cs="Arial" w:eastAsia="Arial" w:hAnsi="Arial"/>
                <w:sz w:val="17"/>
                <w:szCs w:val="17"/>
                <w:color w:val="auto"/>
              </w:rPr>
              <w:t>145,250(3)</w:t>
            </w:r>
          </w:p>
        </w:tc>
        <w:tc>
          <w:tcPr>
            <w:tcW w:w="1180" w:type="dxa"/>
            <w:vAlign w:val="bottom"/>
            <w:gridSpan w:val="2"/>
          </w:tcPr>
          <w:p>
            <w:pPr>
              <w:jc w:val="right"/>
              <w:ind w:right="220"/>
              <w:spacing w:after="0" w:line="175" w:lineRule="exact"/>
              <w:rPr>
                <w:sz w:val="20"/>
                <w:szCs w:val="20"/>
                <w:color w:val="auto"/>
              </w:rPr>
            </w:pPr>
            <w:r>
              <w:rPr>
                <w:rFonts w:ascii="Arial" w:cs="Arial" w:eastAsia="Arial" w:hAnsi="Arial"/>
                <w:sz w:val="17"/>
                <w:szCs w:val="17"/>
                <w:color w:val="auto"/>
              </w:rPr>
              <w:t>3,300</w:t>
            </w:r>
          </w:p>
        </w:tc>
        <w:tc>
          <w:tcPr>
            <w:tcW w:w="820" w:type="dxa"/>
            <w:vAlign w:val="bottom"/>
          </w:tcPr>
          <w:p>
            <w:pPr>
              <w:jc w:val="right"/>
              <w:spacing w:after="0" w:line="175" w:lineRule="exact"/>
              <w:rPr>
                <w:sz w:val="20"/>
                <w:szCs w:val="20"/>
                <w:color w:val="auto"/>
              </w:rPr>
            </w:pPr>
            <w:r>
              <w:rPr>
                <w:rFonts w:ascii="Arial" w:cs="Arial" w:eastAsia="Arial" w:hAnsi="Arial"/>
                <w:sz w:val="17"/>
                <w:szCs w:val="17"/>
                <w:color w:val="auto"/>
              </w:rPr>
              <w:t>903,510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580" w:type="dxa"/>
            <w:vAlign w:val="bottom"/>
          </w:tcPr>
          <w:p>
            <w:pPr>
              <w:ind w:left="160"/>
              <w:spacing w:after="0"/>
              <w:rPr>
                <w:sz w:val="20"/>
                <w:szCs w:val="20"/>
                <w:color w:val="auto"/>
              </w:rPr>
            </w:pPr>
            <w:r>
              <w:rPr>
                <w:rFonts w:ascii="Arial" w:cs="Arial" w:eastAsia="Arial" w:hAnsi="Arial"/>
                <w:sz w:val="17"/>
                <w:szCs w:val="17"/>
                <w:color w:val="auto"/>
              </w:rPr>
              <w:t>Chief Scientific Officer</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79375</wp:posOffset>
            </wp:positionV>
            <wp:extent cx="73025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148" w:lineRule="exact"/>
        <w:rPr>
          <w:sz w:val="20"/>
          <w:szCs w:val="20"/>
          <w:color w:val="auto"/>
        </w:rPr>
      </w:pPr>
    </w:p>
    <w:p>
      <w:pPr>
        <w:ind w:left="820" w:right="20" w:hanging="409"/>
        <w:spacing w:after="0" w:line="232" w:lineRule="auto"/>
        <w:tabs>
          <w:tab w:leader="none" w:pos="8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amounts reported in the “Option Awards” column represent the aggregate grant date fair value of the stock options awarded to our named executive officers during the applicable fiscal year, calculated in accordance with Financial Accounting Standards Board (FASB) Accounting Standards Codification (ASC) Topic 718. The amounts reported in the “Option Awards” column also include the incremental fair value associated with the modification in 2023 of the exercise prices of the options granted to our named executive officers in 2021 and 2022 in connection with our option repricing in June 2023, computed in accordance with FASB ASC Topic 718 as follows: Mr. Hornby, $170,293, Dr. Wagner, $65,334, and Dr. Hassig, $41,722. The assumptions used in calculating the grant date fair value of the awards and the incremental fair value reported in this column are set forth in the notes to our financial statements included elsewhere in this prospectus. The amounts reported in this column reflect the accounting cost for the stock options and do not reflect the actual economic value that will be realized by our named executive officers upon the vesting of the stock options, the exercise of the stock options or the sale of the common stock underlying such awards. See the subsection titled “—Narrative to Summary Compensation Table—Equity-Based Incentive Awards” below.</w:t>
      </w:r>
    </w:p>
    <w:p>
      <w:pPr>
        <w:spacing w:after="0" w:line="17" w:lineRule="exact"/>
        <w:rPr>
          <w:rFonts w:ascii="Arial" w:cs="Arial" w:eastAsia="Arial" w:hAnsi="Arial"/>
          <w:sz w:val="14"/>
          <w:szCs w:val="14"/>
          <w:color w:val="auto"/>
        </w:rPr>
      </w:pPr>
    </w:p>
    <w:p>
      <w:pPr>
        <w:ind w:left="820" w:right="180" w:hanging="409"/>
        <w:spacing w:after="0" w:line="255" w:lineRule="auto"/>
        <w:tabs>
          <w:tab w:leader="none" w:pos="8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Amounts reflect 401(k) matching contributions for each of our named executive officers ($3,300 for 2023 and $3,050 for Mr. Hornby for 2022) and a $900 cell phone reimbursement for Dr. Wagner.</w:t>
      </w:r>
    </w:p>
    <w:p>
      <w:pPr>
        <w:spacing w:after="0" w:line="2" w:lineRule="exact"/>
        <w:rPr>
          <w:rFonts w:ascii="Arial" w:cs="Arial" w:eastAsia="Arial" w:hAnsi="Arial"/>
          <w:sz w:val="14"/>
          <w:szCs w:val="14"/>
          <w:color w:val="auto"/>
        </w:rPr>
      </w:pPr>
    </w:p>
    <w:p>
      <w:pPr>
        <w:ind w:left="820" w:hanging="409"/>
        <w:spacing w:after="0"/>
        <w:tabs>
          <w:tab w:leader="none" w:pos="8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Amounts reflect performance bonuses earned by each executive in 2023, which were paid in early 2024.</w:t>
      </w:r>
    </w:p>
    <w:p>
      <w:pPr>
        <w:spacing w:after="0" w:line="30" w:lineRule="exact"/>
        <w:rPr>
          <w:rFonts w:ascii="Arial" w:cs="Arial" w:eastAsia="Arial" w:hAnsi="Arial"/>
          <w:sz w:val="14"/>
          <w:szCs w:val="14"/>
          <w:color w:val="auto"/>
        </w:rPr>
      </w:pPr>
    </w:p>
    <w:p>
      <w:pPr>
        <w:ind w:left="820" w:hanging="409"/>
        <w:spacing w:after="0"/>
        <w:tabs>
          <w:tab w:leader="none" w:pos="8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Amounts reflect performance bonuses earned by each executive in 2022, which were paid in early 2023.</w:t>
      </w:r>
    </w:p>
    <w:p>
      <w:pPr>
        <w:spacing w:after="0" w:line="12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175</w:t>
      </w:r>
    </w:p>
    <w:p>
      <w:pPr>
        <w:sectPr>
          <w:pgSz w:w="11900" w:h="16838" w:orient="portrait"/>
          <w:cols w:equalWidth="0" w:num="1">
            <w:col w:w="10840"/>
          </w:cols>
          <w:pgMar w:left="320" w:top="439" w:right="7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Narrative to Summary Compensation Table</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Annual Base Salary</w:t>
      </w:r>
    </w:p>
    <w:p>
      <w:pPr>
        <w:spacing w:after="0" w:line="98" w:lineRule="exact"/>
        <w:rPr>
          <w:sz w:val="20"/>
          <w:szCs w:val="20"/>
          <w:color w:val="auto"/>
        </w:rPr>
      </w:pPr>
    </w:p>
    <w:p>
      <w:pPr>
        <w:ind w:left="420" w:right="60" w:firstLine="521"/>
        <w:spacing w:after="0" w:line="244" w:lineRule="auto"/>
        <w:rPr>
          <w:sz w:val="20"/>
          <w:szCs w:val="20"/>
          <w:color w:val="auto"/>
        </w:rPr>
      </w:pPr>
      <w:r>
        <w:rPr>
          <w:rFonts w:ascii="Arial" w:cs="Arial" w:eastAsia="Arial" w:hAnsi="Arial"/>
          <w:sz w:val="17"/>
          <w:szCs w:val="17"/>
          <w:color w:val="auto"/>
        </w:rPr>
        <w:t>The compensation of our named executive officers is generally determined and approved by our board of directors. The base salary payable to each named executive officer is intended to provide a fixed component of compensation reflecting the executive’s skill set, experience, role and responsibilities. Our named executive officers’ annual base salaries in effect for 2023 were as follows: $495,000 for Mr. Hornby, $ 465,840 for Dr. Wagner, and $415,000 for Dr. Hassig. Effective January 1, 2024, the annual base salaries for Mr. Hornby, Dr. Wagner, and Dr. Hassig were increased to $515,000, $482,144, and $431,600, respectively.</w:t>
      </w:r>
    </w:p>
    <w:p>
      <w:pPr>
        <w:spacing w:after="0" w:line="169" w:lineRule="exact"/>
        <w:rPr>
          <w:sz w:val="20"/>
          <w:szCs w:val="20"/>
          <w:color w:val="auto"/>
        </w:rPr>
      </w:pPr>
    </w:p>
    <w:p>
      <w:pPr>
        <w:jc w:val="both"/>
        <w:ind w:left="420" w:right="40" w:firstLine="521"/>
        <w:spacing w:after="0" w:line="252" w:lineRule="auto"/>
        <w:rPr>
          <w:sz w:val="20"/>
          <w:szCs w:val="20"/>
          <w:color w:val="auto"/>
        </w:rPr>
      </w:pPr>
      <w:r>
        <w:rPr>
          <w:rFonts w:ascii="Arial" w:cs="Arial" w:eastAsia="Arial" w:hAnsi="Arial"/>
          <w:sz w:val="17"/>
          <w:szCs w:val="17"/>
          <w:color w:val="auto"/>
        </w:rPr>
        <w:t>In connection with this offering and pursuant to their amended and restated offer letters (as described in the subsection below titled “—Employment Arrangements with Our Named Executive Officers”), the annual base salaries for Mr. Hornby, Dr. Wagner, and Dr. Hassig will be increased to $620,000, $500,000, and $460,000, respectively, effective upon the closing of this offering.</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Annual Bonus</w:t>
      </w:r>
    </w:p>
    <w:p>
      <w:pPr>
        <w:spacing w:after="0" w:line="98" w:lineRule="exact"/>
        <w:rPr>
          <w:sz w:val="20"/>
          <w:szCs w:val="20"/>
          <w:color w:val="auto"/>
        </w:rPr>
      </w:pPr>
    </w:p>
    <w:p>
      <w:pPr>
        <w:ind w:left="420" w:right="100" w:firstLine="521"/>
        <w:spacing w:after="0" w:line="242" w:lineRule="auto"/>
        <w:rPr>
          <w:sz w:val="20"/>
          <w:szCs w:val="20"/>
          <w:color w:val="auto"/>
        </w:rPr>
      </w:pPr>
      <w:r>
        <w:rPr>
          <w:rFonts w:ascii="Arial" w:cs="Arial" w:eastAsia="Arial" w:hAnsi="Arial"/>
          <w:sz w:val="17"/>
          <w:szCs w:val="17"/>
          <w:color w:val="auto"/>
        </w:rPr>
        <w:t>In addition to base salaries, our named executive officers are eligible to receive annual performance-based cash bonuses, which are designed to provide appropriate incentives to our executives to achieve annual corporate goals and to reward our executives for individual achievement towards these goals. The annual performance-based bonus each named executive officer is eligible to receive is based on the extent to which we achieve the corporate goals that our board of directors establishes each year. At the end of the year, our board of directors reviews our performance against each corporate goal and determines the extent to which we achieved each of our corporate goals.</w:t>
      </w:r>
    </w:p>
    <w:p>
      <w:pPr>
        <w:spacing w:after="0" w:line="172" w:lineRule="exact"/>
        <w:rPr>
          <w:sz w:val="20"/>
          <w:szCs w:val="20"/>
          <w:color w:val="auto"/>
        </w:rPr>
      </w:pPr>
    </w:p>
    <w:p>
      <w:pPr>
        <w:ind w:left="420" w:right="60" w:firstLine="521"/>
        <w:spacing w:after="0" w:line="270" w:lineRule="auto"/>
        <w:rPr>
          <w:sz w:val="20"/>
          <w:szCs w:val="20"/>
          <w:color w:val="auto"/>
        </w:rPr>
      </w:pPr>
      <w:r>
        <w:rPr>
          <w:rFonts w:ascii="Arial" w:cs="Arial" w:eastAsia="Arial" w:hAnsi="Arial"/>
          <w:sz w:val="17"/>
          <w:szCs w:val="17"/>
          <w:color w:val="auto"/>
        </w:rPr>
        <w:t>For 2023, Mr. Hornby, Dr. Wagner, and Dr. Hassig were each eligible to receive a target annual bonus for 2023 equal to 45%, 35%, and 35% of their respective annual base salaries.</w:t>
      </w:r>
    </w:p>
    <w:p>
      <w:pPr>
        <w:spacing w:after="0" w:line="148" w:lineRule="exact"/>
        <w:rPr>
          <w:sz w:val="20"/>
          <w:szCs w:val="20"/>
          <w:color w:val="auto"/>
        </w:rPr>
      </w:pPr>
    </w:p>
    <w:p>
      <w:pPr>
        <w:ind w:left="420" w:right="280" w:firstLine="521"/>
        <w:spacing w:after="0" w:line="247" w:lineRule="auto"/>
        <w:rPr>
          <w:sz w:val="20"/>
          <w:szCs w:val="20"/>
          <w:color w:val="auto"/>
        </w:rPr>
      </w:pPr>
      <w:r>
        <w:rPr>
          <w:rFonts w:ascii="Arial" w:cs="Arial" w:eastAsia="Arial" w:hAnsi="Arial"/>
          <w:sz w:val="17"/>
          <w:szCs w:val="17"/>
          <w:color w:val="auto"/>
        </w:rPr>
        <w:t>The corporate goals the board of directors established for 2023 related to clinical and development goals, as well as operational objectives. Bonuses are usually determined and paid in the first quarter of the following year. Actual amounts paid to each named executive officer ($222,750 for Mr. Hornby, $ 163,044 for Dr. Wagner, and $145,250 for Dr. Hassig) are set forth in the “Non-Equity Incentive Plan Compensation” column of the “Summary Compensation Table” above.</w:t>
      </w:r>
    </w:p>
    <w:p>
      <w:pPr>
        <w:spacing w:after="0" w:line="166" w:lineRule="exact"/>
        <w:rPr>
          <w:sz w:val="20"/>
          <w:szCs w:val="20"/>
          <w:color w:val="auto"/>
        </w:rPr>
      </w:pPr>
    </w:p>
    <w:p>
      <w:pPr>
        <w:ind w:left="420" w:right="320" w:firstLine="521"/>
        <w:spacing w:after="0" w:line="252" w:lineRule="auto"/>
        <w:rPr>
          <w:sz w:val="20"/>
          <w:szCs w:val="20"/>
          <w:color w:val="auto"/>
        </w:rPr>
      </w:pPr>
      <w:r>
        <w:rPr>
          <w:rFonts w:ascii="Arial" w:cs="Arial" w:eastAsia="Arial" w:hAnsi="Arial"/>
          <w:sz w:val="17"/>
          <w:szCs w:val="17"/>
          <w:color w:val="auto"/>
        </w:rPr>
        <w:t>In connection with this offering and pursuant to their amended and restated employment offer letters (as described in the subsection below titled “—Employment Arrangements with Our Named Executive Officers”), the target annual bonuses for Mr. Hornby, Dr. Wagner, and Dr. Hassig will be increased to 55%, 40%, and 40%, effective upon the closing of this offering.</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Equity-Based Incentive Awards</w:t>
      </w:r>
    </w:p>
    <w:p>
      <w:pPr>
        <w:spacing w:after="0" w:line="98" w:lineRule="exact"/>
        <w:rPr>
          <w:sz w:val="20"/>
          <w:szCs w:val="20"/>
          <w:color w:val="auto"/>
        </w:rPr>
      </w:pPr>
    </w:p>
    <w:p>
      <w:pPr>
        <w:ind w:left="420" w:right="160" w:firstLine="521"/>
        <w:spacing w:after="0" w:line="270" w:lineRule="auto"/>
        <w:rPr>
          <w:sz w:val="20"/>
          <w:szCs w:val="20"/>
          <w:color w:val="auto"/>
        </w:rPr>
      </w:pPr>
      <w:r>
        <w:rPr>
          <w:rFonts w:ascii="Arial" w:cs="Arial" w:eastAsia="Arial" w:hAnsi="Arial"/>
          <w:sz w:val="17"/>
          <w:szCs w:val="17"/>
          <w:color w:val="auto"/>
        </w:rPr>
        <w:t>Our equity-based incentive awards are designed to align our interests and those of our stockholders with those of our employees, including our executive officers. The board of directors or an authorized committee thereof is responsible for approving equity grants.</w:t>
      </w:r>
    </w:p>
    <w:p>
      <w:pPr>
        <w:spacing w:after="0" w:line="148" w:lineRule="exact"/>
        <w:rPr>
          <w:sz w:val="20"/>
          <w:szCs w:val="20"/>
          <w:color w:val="auto"/>
        </w:rPr>
      </w:pPr>
    </w:p>
    <w:p>
      <w:pPr>
        <w:ind w:left="420" w:firstLine="521"/>
        <w:spacing w:after="0" w:line="242" w:lineRule="auto"/>
        <w:rPr>
          <w:sz w:val="20"/>
          <w:szCs w:val="20"/>
          <w:color w:val="auto"/>
        </w:rPr>
      </w:pPr>
      <w:r>
        <w:rPr>
          <w:rFonts w:ascii="Arial" w:cs="Arial" w:eastAsia="Arial" w:hAnsi="Arial"/>
          <w:sz w:val="17"/>
          <w:szCs w:val="17"/>
          <w:color w:val="auto"/>
        </w:rPr>
        <w:t>Prior to this offering, we have granted stock options pursuant to our Amended and Restated 2018 Equity Incentive Plan (the 2018 Plan). Following this offering, we will grant equity awards under the terms of our 2024 Incentive Award Plan (the 2024 Plan). The terms of our equity plans are described in the subsection titled “—Equity Incentive Plans” below. All options are granted with an exercise price per share that is no less than the fair market value of our common stock on the date of grant of such award as determined by our board of directors based on an independent third-party valuation. Our stock option grants generally vest over a four-year period and may be subject to acceleration of vesting and exercisability under certain termination and change in control events.</w:t>
      </w:r>
    </w:p>
    <w:p>
      <w:pPr>
        <w:spacing w:after="0" w:line="10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176</w:t>
      </w:r>
    </w:p>
    <w:p>
      <w:pPr>
        <w:sectPr>
          <w:pgSz w:w="11900" w:h="16838" w:orient="portrait"/>
          <w:cols w:equalWidth="0" w:num="1">
            <w:col w:w="10820"/>
          </w:cols>
          <w:pgMar w:left="320" w:top="439" w:right="7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60" w:firstLine="521"/>
        <w:spacing w:after="0" w:line="244" w:lineRule="auto"/>
        <w:rPr>
          <w:sz w:val="20"/>
          <w:szCs w:val="20"/>
          <w:color w:val="auto"/>
        </w:rPr>
      </w:pPr>
      <w:r>
        <w:rPr>
          <w:rFonts w:ascii="Arial" w:cs="Arial" w:eastAsia="Arial" w:hAnsi="Arial"/>
          <w:sz w:val="17"/>
          <w:szCs w:val="17"/>
          <w:color w:val="auto"/>
        </w:rPr>
        <w:t>On June 13, 2023, we granted to Mr. Hornby, Dr. Wagner, and Dr. Hassig options to purchase 471,282, 94,871, and 94,871 shares of our common stock, respectively. The options have an exercise price of $4.10 per share, the fair market value on the date of grant as determined by our board of directors based on an independent third-party valuation. The options vest over a period of four years in equal monthly installments beginning on the first monthly anniversary of the vesting commencement date (June 13, 2023), subject to the named executive officer’s continuous service with us as of each such vesting date.</w:t>
      </w:r>
    </w:p>
    <w:p>
      <w:pPr>
        <w:spacing w:after="0" w:line="169" w:lineRule="exact"/>
        <w:rPr>
          <w:sz w:val="20"/>
          <w:szCs w:val="20"/>
          <w:color w:val="auto"/>
        </w:rPr>
      </w:pPr>
    </w:p>
    <w:p>
      <w:pPr>
        <w:ind w:left="420" w:firstLine="521"/>
        <w:spacing w:after="0" w:line="244" w:lineRule="auto"/>
        <w:rPr>
          <w:sz w:val="20"/>
          <w:szCs w:val="20"/>
          <w:color w:val="auto"/>
        </w:rPr>
      </w:pPr>
      <w:r>
        <w:rPr>
          <w:rFonts w:ascii="Arial" w:cs="Arial" w:eastAsia="Arial" w:hAnsi="Arial"/>
          <w:sz w:val="17"/>
          <w:szCs w:val="17"/>
          <w:color w:val="auto"/>
        </w:rPr>
        <w:t>On June 13, 2023, in order to retain and properly incentivize our employees to continue our growth, we approved a repricing of stock options held by current employees with exercise prices in excess of $ 4.10 per share, including each of our named executive officers, whereby the exercise price per share of each outstanding stock option with an exercise price higher than $4.10 per share was lowered to $4.10 per share (our fair market value per share on the date of the repricing as determined by our board of directors based on an independent third-party valuation).</w:t>
      </w:r>
    </w:p>
    <w:p>
      <w:pPr>
        <w:spacing w:after="0" w:line="169" w:lineRule="exact"/>
        <w:rPr>
          <w:sz w:val="20"/>
          <w:szCs w:val="20"/>
          <w:color w:val="auto"/>
        </w:rPr>
      </w:pPr>
    </w:p>
    <w:p>
      <w:pPr>
        <w:ind w:left="420" w:right="80" w:firstLine="521"/>
        <w:spacing w:after="0" w:line="241" w:lineRule="auto"/>
        <w:rPr>
          <w:sz w:val="20"/>
          <w:szCs w:val="20"/>
          <w:color w:val="auto"/>
        </w:rPr>
      </w:pPr>
      <w:r>
        <w:rPr>
          <w:rFonts w:ascii="Arial" w:cs="Arial" w:eastAsia="Arial" w:hAnsi="Arial"/>
          <w:sz w:val="17"/>
          <w:szCs w:val="17"/>
          <w:color w:val="auto"/>
        </w:rPr>
        <w:t>On February 15, 2024, we granted to Mr. Hornby, Dr. Wagner, and Dr. Hassig options to purchase 257,207, 68,080, and 76,173 shares of our common stock, respectively. The options have an exercise price of $8.19 per share, the fair market value on the date of grant as determined by our board of directors based on an independent third-party valuation. The options vest in substantially equal monthly installments over a period of four years following the grant date, in each case subject to the named executive officer’s continuous service with us as of each such vesting date; provided, that in no event will the options vest if this offering is not completed on or prior to December 31, 2024 (or such later date as our board of directors or compensation committee may determine). In the event this offering is not completed on or prior to such deadline, the options will no longer be eligible to vest and will be forfeited.</w:t>
      </w:r>
    </w:p>
    <w:p>
      <w:pPr>
        <w:spacing w:after="0" w:line="172" w:lineRule="exact"/>
        <w:rPr>
          <w:sz w:val="20"/>
          <w:szCs w:val="20"/>
          <w:color w:val="auto"/>
        </w:rPr>
      </w:pPr>
    </w:p>
    <w:p>
      <w:pPr>
        <w:ind w:left="420" w:firstLine="521"/>
        <w:spacing w:after="0" w:line="239" w:lineRule="auto"/>
        <w:rPr>
          <w:sz w:val="20"/>
          <w:szCs w:val="20"/>
          <w:color w:val="auto"/>
        </w:rPr>
      </w:pPr>
      <w:r>
        <w:rPr>
          <w:rFonts w:ascii="Arial" w:cs="Arial" w:eastAsia="Arial" w:hAnsi="Arial"/>
          <w:sz w:val="17"/>
          <w:szCs w:val="17"/>
          <w:color w:val="auto"/>
        </w:rPr>
        <w:t>In connection with this offering, our board of directors has approved a grant of stock options to our named executive officers pursuant to our 2024 Plan, which grants will become effective as of the effective date of the registration statement of which this prospectus is part. The number of shares of our common stock subject to the options that we will grant to Mr. Hornby, Dr. Wagner, and Dr. Hassig, respectively, will equal approximately 0.70%, 0.18% and 0.21% of the shares of our common stock to be outstanding after this offering (calculated on an as-converted basis and after giving effect to the number of shares of common stock to be sold in this offering and assuming the exercise in full of the underwriters’ options to purchase additional shares). The options will be granted with an exercise price per share equal to the initial price to the public of our common stock in this offering. The options will vest over a period of four years in equal monthly installments beginning on the first monthly anniversary of the vesting commencement date, subject to the named executive officer’s continuous service with us as of each such vesting date.</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177</w:t>
      </w:r>
    </w:p>
    <w:p>
      <w:pPr>
        <w:sectPr>
          <w:pgSz w:w="11900" w:h="16838" w:orient="portrait"/>
          <w:cols w:equalWidth="0" w:num="1">
            <w:col w:w="10820"/>
          </w:cols>
          <w:pgMar w:left="320" w:top="439" w:right="7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Outstanding Equity Awards at 2023 Fiscal Year-End</w:t>
      </w:r>
    </w:p>
    <w:p>
      <w:pPr>
        <w:spacing w:after="0" w:line="201" w:lineRule="exact"/>
        <w:rPr>
          <w:sz w:val="20"/>
          <w:szCs w:val="20"/>
          <w:color w:val="auto"/>
        </w:rPr>
      </w:pPr>
    </w:p>
    <w:p>
      <w:pPr>
        <w:ind w:left="420" w:right="40" w:firstLine="521"/>
        <w:spacing w:after="0" w:line="270" w:lineRule="auto"/>
        <w:rPr>
          <w:sz w:val="20"/>
          <w:szCs w:val="20"/>
          <w:color w:val="auto"/>
        </w:rPr>
      </w:pPr>
      <w:r>
        <w:rPr>
          <w:rFonts w:ascii="Arial" w:cs="Arial" w:eastAsia="Arial" w:hAnsi="Arial"/>
          <w:sz w:val="17"/>
          <w:szCs w:val="17"/>
          <w:color w:val="auto"/>
        </w:rPr>
        <w:t>The following table presents information regarding the outstanding stock options held by each of our named executive officers as of December 31, 2023.</w:t>
      </w:r>
    </w:p>
    <w:p>
      <w:pPr>
        <w:spacing w:after="0" w:line="173" w:lineRule="exact"/>
        <w:rPr>
          <w:sz w:val="20"/>
          <w:szCs w:val="20"/>
          <w:color w:val="auto"/>
        </w:rPr>
      </w:pPr>
    </w:p>
    <w:tbl>
      <w:tblPr>
        <w:tblLayout w:type="fixed"/>
        <w:tblInd w:w="420" w:type="dxa"/>
        <w:tblCellMar>
          <w:top w:w="0" w:type="dxa"/>
          <w:left w:w="0" w:type="dxa"/>
          <w:bottom w:w="0" w:type="dxa"/>
          <w:right w:w="0" w:type="dxa"/>
        </w:tblCellMar>
      </w:tblPr>
      <w:tr>
        <w:trPr>
          <w:trHeight w:val="145"/>
        </w:trPr>
        <w:tc>
          <w:tcPr>
            <w:tcW w:w="5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2"/>
                <w:szCs w:val="12"/>
                <w:b w:val="1"/>
                <w:bCs w:val="1"/>
                <w:color w:val="auto"/>
              </w:rPr>
              <w:t>Option Awards</w:t>
            </w:r>
          </w:p>
        </w:tc>
        <w:tc>
          <w:tcPr>
            <w:tcW w:w="5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5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tcPr>
          <w:p>
            <w:pPr>
              <w:jc w:val="center"/>
              <w:ind w:right="180"/>
              <w:spacing w:after="0" w:line="103" w:lineRule="exact"/>
              <w:rPr>
                <w:sz w:val="20"/>
                <w:szCs w:val="20"/>
                <w:color w:val="auto"/>
              </w:rPr>
            </w:pPr>
            <w:r>
              <w:rPr>
                <w:rFonts w:ascii="Arial" w:cs="Arial" w:eastAsia="Arial" w:hAnsi="Arial"/>
                <w:sz w:val="11"/>
                <w:szCs w:val="11"/>
                <w:b w:val="1"/>
                <w:bCs w:val="1"/>
                <w:color w:val="auto"/>
              </w:rPr>
              <w:t>Number of</w:t>
            </w:r>
          </w:p>
        </w:tc>
        <w:tc>
          <w:tcPr>
            <w:tcW w:w="220" w:type="dxa"/>
            <w:vAlign w:val="bottom"/>
          </w:tcPr>
          <w:p>
            <w:pPr>
              <w:spacing w:after="0"/>
              <w:rPr>
                <w:sz w:val="8"/>
                <w:szCs w:val="8"/>
                <w:color w:val="auto"/>
              </w:rPr>
            </w:pPr>
          </w:p>
        </w:tc>
        <w:tc>
          <w:tcPr>
            <w:tcW w:w="1040" w:type="dxa"/>
            <w:vAlign w:val="bottom"/>
            <w:gridSpan w:val="2"/>
          </w:tcPr>
          <w:p>
            <w:pPr>
              <w:jc w:val="center"/>
              <w:ind w:right="80"/>
              <w:spacing w:after="0" w:line="103" w:lineRule="exact"/>
              <w:rPr>
                <w:sz w:val="20"/>
                <w:szCs w:val="20"/>
                <w:color w:val="auto"/>
              </w:rPr>
            </w:pPr>
            <w:r>
              <w:rPr>
                <w:rFonts w:ascii="Arial" w:cs="Arial" w:eastAsia="Arial" w:hAnsi="Arial"/>
                <w:sz w:val="11"/>
                <w:szCs w:val="11"/>
                <w:b w:val="1"/>
                <w:bCs w:val="1"/>
                <w:color w:val="auto"/>
              </w:rPr>
              <w:t>Number of</w:t>
            </w: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5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220" w:type="dxa"/>
            <w:vAlign w:val="bottom"/>
          </w:tcPr>
          <w:p>
            <w:pPr>
              <w:spacing w:after="0"/>
              <w:rPr>
                <w:sz w:val="11"/>
                <w:szCs w:val="11"/>
                <w:color w:val="auto"/>
              </w:rPr>
            </w:pPr>
          </w:p>
        </w:tc>
        <w:tc>
          <w:tcPr>
            <w:tcW w:w="1040" w:type="dxa"/>
            <w:vAlign w:val="bottom"/>
            <w:gridSpan w:val="2"/>
          </w:tcPr>
          <w:p>
            <w:pPr>
              <w:jc w:val="center"/>
              <w:ind w:right="60"/>
              <w:spacing w:after="0" w:line="128"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60"/>
              <w:spacing w:after="0" w:line="128"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1040" w:type="dxa"/>
            <w:vAlign w:val="bottom"/>
            <w:gridSpan w:val="2"/>
          </w:tcPr>
          <w:p>
            <w:pPr>
              <w:jc w:val="center"/>
              <w:ind w:right="60"/>
              <w:spacing w:after="0" w:line="128" w:lineRule="exact"/>
              <w:rPr>
                <w:sz w:val="20"/>
                <w:szCs w:val="20"/>
                <w:color w:val="auto"/>
              </w:rPr>
            </w:pPr>
            <w:r>
              <w:rPr>
                <w:rFonts w:ascii="Arial" w:cs="Arial" w:eastAsia="Arial" w:hAnsi="Arial"/>
                <w:sz w:val="12"/>
                <w:szCs w:val="12"/>
                <w:b w:val="1"/>
                <w:bCs w:val="1"/>
                <w:color w:val="auto"/>
                <w:w w:val="98"/>
              </w:rPr>
              <w:t>Underlying</w:t>
            </w:r>
          </w:p>
        </w:tc>
        <w:tc>
          <w:tcPr>
            <w:tcW w:w="920" w:type="dxa"/>
            <w:vAlign w:val="bottom"/>
            <w:gridSpan w:val="2"/>
            <w:vMerge w:val="restart"/>
          </w:tcPr>
          <w:p>
            <w:pPr>
              <w:jc w:val="center"/>
              <w:ind w:right="420"/>
              <w:spacing w:after="0"/>
              <w:rPr>
                <w:sz w:val="20"/>
                <w:szCs w:val="20"/>
                <w:color w:val="auto"/>
              </w:rPr>
            </w:pPr>
            <w:r>
              <w:rPr>
                <w:rFonts w:ascii="Arial" w:cs="Arial" w:eastAsia="Arial" w:hAnsi="Arial"/>
                <w:sz w:val="12"/>
                <w:szCs w:val="12"/>
                <w:b w:val="1"/>
                <w:bCs w:val="1"/>
                <w:color w:val="auto"/>
                <w:w w:val="98"/>
              </w:rPr>
              <w:t>Option</w:t>
            </w:r>
          </w:p>
        </w:tc>
        <w:tc>
          <w:tcPr>
            <w:tcW w:w="760" w:type="dxa"/>
            <w:vAlign w:val="bottom"/>
            <w:gridSpan w:val="2"/>
            <w:vMerge w:val="restart"/>
          </w:tcPr>
          <w:p>
            <w:pPr>
              <w:jc w:val="center"/>
              <w:ind w:right="60"/>
              <w:spacing w:after="0"/>
              <w:rPr>
                <w:sz w:val="20"/>
                <w:szCs w:val="20"/>
                <w:color w:val="auto"/>
              </w:rPr>
            </w:pPr>
            <w:r>
              <w:rPr>
                <w:rFonts w:ascii="Arial" w:cs="Arial" w:eastAsia="Arial" w:hAnsi="Arial"/>
                <w:sz w:val="12"/>
                <w:szCs w:val="12"/>
                <w:b w:val="1"/>
                <w:bCs w:val="1"/>
                <w:color w:val="auto"/>
                <w:w w:val="98"/>
              </w:rPr>
              <w:t>Option</w:t>
            </w:r>
          </w:p>
        </w:tc>
        <w:tc>
          <w:tcPr>
            <w:tcW w:w="0" w:type="dxa"/>
            <w:vAlign w:val="bottom"/>
          </w:tcPr>
          <w:p>
            <w:pPr>
              <w:spacing w:after="0"/>
              <w:rPr>
                <w:sz w:val="1"/>
                <w:szCs w:val="1"/>
                <w:color w:val="auto"/>
              </w:rPr>
            </w:pPr>
          </w:p>
        </w:tc>
      </w:tr>
      <w:tr>
        <w:trPr>
          <w:trHeight w:val="128"/>
        </w:trPr>
        <w:tc>
          <w:tcPr>
            <w:tcW w:w="5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2"/>
                <w:szCs w:val="12"/>
                <w:b w:val="1"/>
                <w:bCs w:val="1"/>
                <w:color w:val="auto"/>
              </w:rPr>
              <w:t>Grant</w:t>
            </w:r>
          </w:p>
        </w:tc>
        <w:tc>
          <w:tcPr>
            <w:tcW w:w="900" w:type="dxa"/>
            <w:vAlign w:val="bottom"/>
            <w:gridSpan w:val="2"/>
          </w:tcPr>
          <w:p>
            <w:pPr>
              <w:jc w:val="center"/>
              <w:ind w:right="180"/>
              <w:spacing w:after="0" w:line="128" w:lineRule="exact"/>
              <w:rPr>
                <w:sz w:val="20"/>
                <w:szCs w:val="20"/>
                <w:color w:val="auto"/>
              </w:rPr>
            </w:pPr>
            <w:r>
              <w:rPr>
                <w:rFonts w:ascii="Arial" w:cs="Arial" w:eastAsia="Arial" w:hAnsi="Arial"/>
                <w:sz w:val="12"/>
                <w:szCs w:val="12"/>
                <w:b w:val="1"/>
                <w:bCs w:val="1"/>
                <w:color w:val="auto"/>
              </w:rPr>
              <w:t>Unexercised</w:t>
            </w:r>
          </w:p>
        </w:tc>
        <w:tc>
          <w:tcPr>
            <w:tcW w:w="220" w:type="dxa"/>
            <w:vAlign w:val="bottom"/>
          </w:tcPr>
          <w:p>
            <w:pPr>
              <w:spacing w:after="0"/>
              <w:rPr>
                <w:sz w:val="11"/>
                <w:szCs w:val="11"/>
                <w:color w:val="auto"/>
              </w:rPr>
            </w:pPr>
          </w:p>
        </w:tc>
        <w:tc>
          <w:tcPr>
            <w:tcW w:w="1040" w:type="dxa"/>
            <w:vAlign w:val="bottom"/>
            <w:gridSpan w:val="2"/>
          </w:tcPr>
          <w:p>
            <w:pPr>
              <w:jc w:val="center"/>
              <w:ind w:right="60"/>
              <w:spacing w:after="0" w:line="128" w:lineRule="exact"/>
              <w:rPr>
                <w:sz w:val="20"/>
                <w:szCs w:val="20"/>
                <w:color w:val="auto"/>
              </w:rPr>
            </w:pPr>
            <w:r>
              <w:rPr>
                <w:rFonts w:ascii="Arial" w:cs="Arial" w:eastAsia="Arial" w:hAnsi="Arial"/>
                <w:sz w:val="12"/>
                <w:szCs w:val="12"/>
                <w:b w:val="1"/>
                <w:bCs w:val="1"/>
                <w:color w:val="auto"/>
                <w:w w:val="98"/>
              </w:rPr>
              <w:t>Unexercised</w:t>
            </w:r>
          </w:p>
        </w:tc>
        <w:tc>
          <w:tcPr>
            <w:tcW w:w="92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w:t>
            </w:r>
          </w:p>
        </w:tc>
        <w:tc>
          <w:tcPr>
            <w:tcW w:w="800" w:type="dxa"/>
            <w:vAlign w:val="bottom"/>
            <w:gridSpan w:val="2"/>
            <w:vMerge w:val="continue"/>
          </w:tcPr>
          <w:p>
            <w:pPr>
              <w:spacing w:after="0"/>
              <w:rPr>
                <w:sz w:val="11"/>
                <w:szCs w:val="11"/>
                <w:color w:val="auto"/>
              </w:rPr>
            </w:pPr>
          </w:p>
        </w:tc>
        <w:tc>
          <w:tcPr>
            <w:tcW w:w="900" w:type="dxa"/>
            <w:vAlign w:val="bottom"/>
            <w:gridSpan w:val="2"/>
          </w:tcPr>
          <w:p>
            <w:pPr>
              <w:jc w:val="center"/>
              <w:ind w:right="180"/>
              <w:spacing w:after="0" w:line="128" w:lineRule="exact"/>
              <w:rPr>
                <w:sz w:val="20"/>
                <w:szCs w:val="20"/>
                <w:color w:val="auto"/>
              </w:rPr>
            </w:pPr>
            <w:r>
              <w:rPr>
                <w:rFonts w:ascii="Arial" w:cs="Arial" w:eastAsia="Arial" w:hAnsi="Arial"/>
                <w:sz w:val="12"/>
                <w:szCs w:val="12"/>
                <w:b w:val="1"/>
                <w:bCs w:val="1"/>
                <w:color w:val="auto"/>
                <w:w w:val="96"/>
              </w:rPr>
              <w:t>Options</w:t>
            </w:r>
          </w:p>
        </w:tc>
        <w:tc>
          <w:tcPr>
            <w:tcW w:w="220" w:type="dxa"/>
            <w:vAlign w:val="bottom"/>
          </w:tcPr>
          <w:p>
            <w:pPr>
              <w:spacing w:after="0"/>
              <w:rPr>
                <w:sz w:val="11"/>
                <w:szCs w:val="11"/>
                <w:color w:val="auto"/>
              </w:rPr>
            </w:pPr>
          </w:p>
        </w:tc>
        <w:tc>
          <w:tcPr>
            <w:tcW w:w="1040" w:type="dxa"/>
            <w:vAlign w:val="bottom"/>
            <w:gridSpan w:val="2"/>
          </w:tcPr>
          <w:p>
            <w:pPr>
              <w:jc w:val="center"/>
              <w:ind w:right="60"/>
              <w:spacing w:after="0" w:line="128" w:lineRule="exact"/>
              <w:rPr>
                <w:sz w:val="20"/>
                <w:szCs w:val="20"/>
                <w:color w:val="auto"/>
              </w:rPr>
            </w:pPr>
            <w:r>
              <w:rPr>
                <w:rFonts w:ascii="Arial" w:cs="Arial" w:eastAsia="Arial" w:hAnsi="Arial"/>
                <w:sz w:val="12"/>
                <w:szCs w:val="12"/>
                <w:b w:val="1"/>
                <w:bCs w:val="1"/>
                <w:color w:val="auto"/>
              </w:rPr>
              <w:t>Options</w:t>
            </w:r>
          </w:p>
        </w:tc>
        <w:tc>
          <w:tcPr>
            <w:tcW w:w="920" w:type="dxa"/>
            <w:vAlign w:val="bottom"/>
            <w:gridSpan w:val="2"/>
          </w:tcPr>
          <w:p>
            <w:pPr>
              <w:jc w:val="center"/>
              <w:ind w:right="420"/>
              <w:spacing w:after="0" w:line="128" w:lineRule="exact"/>
              <w:rPr>
                <w:sz w:val="20"/>
                <w:szCs w:val="20"/>
                <w:color w:val="auto"/>
              </w:rPr>
            </w:pPr>
            <w:r>
              <w:rPr>
                <w:rFonts w:ascii="Arial" w:cs="Arial" w:eastAsia="Arial" w:hAnsi="Arial"/>
                <w:sz w:val="12"/>
                <w:szCs w:val="12"/>
                <w:b w:val="1"/>
                <w:bCs w:val="1"/>
                <w:color w:val="auto"/>
              </w:rPr>
              <w:t>Exercise</w:t>
            </w:r>
          </w:p>
        </w:tc>
        <w:tc>
          <w:tcPr>
            <w:tcW w:w="760" w:type="dxa"/>
            <w:vAlign w:val="bottom"/>
            <w:gridSpan w:val="2"/>
          </w:tcPr>
          <w:p>
            <w:pPr>
              <w:jc w:val="center"/>
              <w:ind w:right="60"/>
              <w:spacing w:after="0" w:line="128" w:lineRule="exact"/>
              <w:rPr>
                <w:sz w:val="20"/>
                <w:szCs w:val="20"/>
                <w:color w:val="auto"/>
              </w:rPr>
            </w:pPr>
            <w:r>
              <w:rPr>
                <w:rFonts w:ascii="Arial" w:cs="Arial" w:eastAsia="Arial" w:hAnsi="Arial"/>
                <w:sz w:val="12"/>
                <w:szCs w:val="12"/>
                <w:b w:val="1"/>
                <w:bCs w:val="1"/>
                <w:color w:val="auto"/>
                <w:w w:val="98"/>
              </w:rPr>
              <w:t>Expiration</w:t>
            </w:r>
          </w:p>
        </w:tc>
        <w:tc>
          <w:tcPr>
            <w:tcW w:w="0" w:type="dxa"/>
            <w:vAlign w:val="bottom"/>
          </w:tcPr>
          <w:p>
            <w:pPr>
              <w:spacing w:after="0"/>
              <w:rPr>
                <w:sz w:val="1"/>
                <w:szCs w:val="1"/>
                <w:color w:val="auto"/>
              </w:rPr>
            </w:pPr>
          </w:p>
        </w:tc>
      </w:tr>
      <w:tr>
        <w:trPr>
          <w:trHeight w:val="145"/>
        </w:trPr>
        <w:tc>
          <w:tcPr>
            <w:tcW w:w="5780" w:type="dxa"/>
            <w:vAlign w:val="bottom"/>
            <w:gridSpan w:val="2"/>
            <w:vMerge w:val="continue"/>
          </w:tcPr>
          <w:p>
            <w:pPr>
              <w:spacing w:after="0"/>
              <w:rPr>
                <w:sz w:val="12"/>
                <w:szCs w:val="12"/>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8"/>
              </w:rPr>
              <w:t>Exercisable</w:t>
            </w:r>
          </w:p>
        </w:tc>
        <w:tc>
          <w:tcPr>
            <w:tcW w:w="22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w w:val="97"/>
              </w:rPr>
              <w:t>Unexercisable(1)</w:t>
            </w:r>
          </w:p>
        </w:tc>
        <w:tc>
          <w:tcPr>
            <w:tcW w:w="92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rPr>
              <w:t>Price</w:t>
            </w:r>
          </w:p>
        </w:tc>
        <w:tc>
          <w:tcPr>
            <w:tcW w:w="76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9"/>
              </w:rPr>
              <w:t>Date</w:t>
            </w:r>
          </w:p>
        </w:tc>
        <w:tc>
          <w:tcPr>
            <w:tcW w:w="0" w:type="dxa"/>
            <w:vAlign w:val="bottom"/>
          </w:tcPr>
          <w:p>
            <w:pPr>
              <w:spacing w:after="0"/>
              <w:rPr>
                <w:sz w:val="1"/>
                <w:szCs w:val="1"/>
                <w:color w:val="auto"/>
              </w:rPr>
            </w:pPr>
          </w:p>
        </w:tc>
      </w:tr>
      <w:tr>
        <w:trPr>
          <w:trHeight w:val="146"/>
        </w:trPr>
        <w:tc>
          <w:tcPr>
            <w:tcW w:w="558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Zachary D. Hornby</w:t>
            </w:r>
          </w:p>
        </w:tc>
        <w:tc>
          <w:tcPr>
            <w:tcW w:w="2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w w:val="99"/>
              </w:rPr>
              <w:t>06/10/2020</w:t>
            </w:r>
          </w:p>
        </w:tc>
        <w:tc>
          <w:tcPr>
            <w:tcW w:w="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112,179</w:t>
            </w: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16,025</w:t>
            </w:r>
          </w:p>
        </w:tc>
        <w:tc>
          <w:tcPr>
            <w:tcW w:w="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center"/>
              <w:spacing w:after="0" w:line="146" w:lineRule="exact"/>
              <w:rPr>
                <w:sz w:val="20"/>
                <w:szCs w:val="20"/>
                <w:color w:val="auto"/>
              </w:rPr>
            </w:pPr>
            <w:r>
              <w:rPr>
                <w:rFonts w:ascii="Arial" w:cs="Arial" w:eastAsia="Arial" w:hAnsi="Arial"/>
                <w:sz w:val="14"/>
                <w:szCs w:val="14"/>
                <w:color w:val="auto"/>
                <w:w w:val="98"/>
              </w:rPr>
              <w:t>$3.1200</w:t>
            </w:r>
          </w:p>
        </w:tc>
        <w:tc>
          <w:tcPr>
            <w:tcW w:w="4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w w:val="99"/>
              </w:rPr>
              <w:t>06/09/2030</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w w:val="99"/>
              </w:rPr>
              <w:t>06/07/2021</w:t>
            </w:r>
          </w:p>
        </w:tc>
        <w:tc>
          <w:tcPr>
            <w:tcW w:w="900" w:type="dxa"/>
            <w:vAlign w:val="bottom"/>
            <w:gridSpan w:val="2"/>
          </w:tcPr>
          <w:p>
            <w:pPr>
              <w:jc w:val="right"/>
              <w:ind w:right="180"/>
              <w:spacing w:after="0" w:line="153" w:lineRule="exact"/>
              <w:rPr>
                <w:sz w:val="20"/>
                <w:szCs w:val="20"/>
                <w:color w:val="auto"/>
              </w:rPr>
            </w:pPr>
            <w:r>
              <w:rPr>
                <w:rFonts w:ascii="Arial" w:cs="Arial" w:eastAsia="Arial" w:hAnsi="Arial"/>
                <w:sz w:val="14"/>
                <w:szCs w:val="14"/>
                <w:color w:val="auto"/>
              </w:rPr>
              <w:t>160,256</w:t>
            </w:r>
          </w:p>
        </w:tc>
        <w:tc>
          <w:tcPr>
            <w:tcW w:w="1260" w:type="dxa"/>
            <w:vAlign w:val="bottom"/>
            <w:gridSpan w:val="3"/>
          </w:tcPr>
          <w:p>
            <w:pPr>
              <w:jc w:val="right"/>
              <w:ind w:right="80"/>
              <w:spacing w:after="0" w:line="153" w:lineRule="exact"/>
              <w:rPr>
                <w:sz w:val="20"/>
                <w:szCs w:val="20"/>
                <w:color w:val="auto"/>
              </w:rPr>
            </w:pPr>
            <w:r>
              <w:rPr>
                <w:rFonts w:ascii="Arial" w:cs="Arial" w:eastAsia="Arial" w:hAnsi="Arial"/>
                <w:sz w:val="14"/>
                <w:szCs w:val="14"/>
                <w:color w:val="auto"/>
              </w:rPr>
              <w:t>96,153</w:t>
            </w:r>
          </w:p>
        </w:tc>
        <w:tc>
          <w:tcPr>
            <w:tcW w:w="920" w:type="dxa"/>
            <w:vAlign w:val="bottom"/>
            <w:gridSpan w:val="2"/>
          </w:tcPr>
          <w:p>
            <w:pPr>
              <w:jc w:val="center"/>
              <w:ind w:right="420"/>
              <w:spacing w:after="0" w:line="153" w:lineRule="exact"/>
              <w:rPr>
                <w:sz w:val="20"/>
                <w:szCs w:val="20"/>
                <w:color w:val="auto"/>
              </w:rPr>
            </w:pPr>
            <w:r>
              <w:rPr>
                <w:rFonts w:ascii="Arial" w:cs="Arial" w:eastAsia="Arial" w:hAnsi="Arial"/>
                <w:sz w:val="14"/>
                <w:szCs w:val="14"/>
                <w:color w:val="auto"/>
                <w:w w:val="98"/>
              </w:rPr>
              <w:t>$4.1000</w:t>
            </w:r>
          </w:p>
        </w:tc>
        <w:tc>
          <w:tcPr>
            <w:tcW w:w="76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w w:val="99"/>
              </w:rPr>
              <w:t>06/06/2031</w:t>
            </w:r>
          </w:p>
        </w:tc>
        <w:tc>
          <w:tcPr>
            <w:tcW w:w="0" w:type="dxa"/>
            <w:vAlign w:val="bottom"/>
          </w:tcPr>
          <w:p>
            <w:pPr>
              <w:spacing w:after="0"/>
              <w:rPr>
                <w:sz w:val="1"/>
                <w:szCs w:val="1"/>
                <w:color w:val="auto"/>
              </w:rPr>
            </w:pPr>
          </w:p>
        </w:tc>
      </w:tr>
      <w:tr>
        <w:trPr>
          <w:trHeight w:val="153"/>
        </w:trPr>
        <w:tc>
          <w:tcPr>
            <w:tcW w:w="5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6/13/2023</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line="153" w:lineRule="exact"/>
              <w:rPr>
                <w:sz w:val="20"/>
                <w:szCs w:val="20"/>
                <w:color w:val="auto"/>
              </w:rPr>
            </w:pPr>
            <w:r>
              <w:rPr>
                <w:rFonts w:ascii="Arial" w:cs="Arial" w:eastAsia="Arial" w:hAnsi="Arial"/>
                <w:sz w:val="14"/>
                <w:szCs w:val="14"/>
                <w:color w:val="auto"/>
              </w:rPr>
              <w:t>58,910</w:t>
            </w:r>
          </w:p>
        </w:tc>
        <w:tc>
          <w:tcPr>
            <w:tcW w:w="1260" w:type="dxa"/>
            <w:vAlign w:val="bottom"/>
            <w:gridSpan w:val="3"/>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412,371</w:t>
            </w:r>
          </w:p>
        </w:tc>
        <w:tc>
          <w:tcPr>
            <w:tcW w:w="920" w:type="dxa"/>
            <w:vAlign w:val="bottom"/>
            <w:gridSpan w:val="2"/>
            <w:shd w:val="clear" w:color="auto" w:fill="CCEEFF"/>
          </w:tcPr>
          <w:p>
            <w:pPr>
              <w:jc w:val="center"/>
              <w:ind w:right="420"/>
              <w:spacing w:after="0" w:line="153" w:lineRule="exact"/>
              <w:rPr>
                <w:sz w:val="20"/>
                <w:szCs w:val="20"/>
                <w:color w:val="auto"/>
              </w:rPr>
            </w:pPr>
            <w:r>
              <w:rPr>
                <w:rFonts w:ascii="Arial" w:cs="Arial" w:eastAsia="Arial" w:hAnsi="Arial"/>
                <w:sz w:val="14"/>
                <w:szCs w:val="14"/>
                <w:color w:val="auto"/>
                <w:w w:val="98"/>
              </w:rPr>
              <w:t>$4.1000</w:t>
            </w:r>
          </w:p>
        </w:tc>
        <w:tc>
          <w:tcPr>
            <w:tcW w:w="76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6/12/2033</w:t>
            </w:r>
          </w:p>
        </w:tc>
        <w:tc>
          <w:tcPr>
            <w:tcW w:w="0" w:type="dxa"/>
            <w:vAlign w:val="bottom"/>
          </w:tcPr>
          <w:p>
            <w:pPr>
              <w:spacing w:after="0"/>
              <w:rPr>
                <w:sz w:val="1"/>
                <w:szCs w:val="1"/>
                <w:color w:val="auto"/>
              </w:rPr>
            </w:pPr>
          </w:p>
        </w:tc>
      </w:tr>
      <w:tr>
        <w:trPr>
          <w:trHeight w:val="153"/>
        </w:trPr>
        <w:tc>
          <w:tcPr>
            <w:tcW w:w="5780" w:type="dxa"/>
            <w:vAlign w:val="bottom"/>
            <w:gridSpan w:val="2"/>
          </w:tcPr>
          <w:p>
            <w:pPr>
              <w:spacing w:after="0" w:line="153" w:lineRule="exact"/>
              <w:rPr>
                <w:sz w:val="20"/>
                <w:szCs w:val="20"/>
                <w:color w:val="auto"/>
              </w:rPr>
            </w:pPr>
            <w:r>
              <w:rPr>
                <w:rFonts w:ascii="Arial" w:cs="Arial" w:eastAsia="Arial" w:hAnsi="Arial"/>
                <w:sz w:val="14"/>
                <w:szCs w:val="14"/>
                <w:color w:val="auto"/>
              </w:rPr>
              <w:t>Klaus Wagner, M.D., Ph.D.</w:t>
            </w:r>
          </w:p>
        </w:tc>
        <w:tc>
          <w:tcPr>
            <w:tcW w:w="80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w w:val="99"/>
              </w:rPr>
              <w:t>02/24/2022</w:t>
            </w:r>
          </w:p>
        </w:tc>
        <w:tc>
          <w:tcPr>
            <w:tcW w:w="900" w:type="dxa"/>
            <w:vAlign w:val="bottom"/>
            <w:gridSpan w:val="2"/>
          </w:tcPr>
          <w:p>
            <w:pPr>
              <w:jc w:val="right"/>
              <w:ind w:right="180"/>
              <w:spacing w:after="0" w:line="153" w:lineRule="exact"/>
              <w:rPr>
                <w:sz w:val="20"/>
                <w:szCs w:val="20"/>
                <w:color w:val="auto"/>
              </w:rPr>
            </w:pPr>
            <w:r>
              <w:rPr>
                <w:rFonts w:ascii="Arial" w:cs="Arial" w:eastAsia="Arial" w:hAnsi="Arial"/>
                <w:sz w:val="14"/>
                <w:szCs w:val="14"/>
                <w:color w:val="auto"/>
              </w:rPr>
              <w:t>47,008</w:t>
            </w:r>
          </w:p>
        </w:tc>
        <w:tc>
          <w:tcPr>
            <w:tcW w:w="1260" w:type="dxa"/>
            <w:vAlign w:val="bottom"/>
            <w:gridSpan w:val="3"/>
          </w:tcPr>
          <w:p>
            <w:pPr>
              <w:jc w:val="right"/>
              <w:ind w:right="80"/>
              <w:spacing w:after="0" w:line="153" w:lineRule="exact"/>
              <w:rPr>
                <w:sz w:val="20"/>
                <w:szCs w:val="20"/>
                <w:color w:val="auto"/>
              </w:rPr>
            </w:pPr>
            <w:r>
              <w:rPr>
                <w:rFonts w:ascii="Arial" w:cs="Arial" w:eastAsia="Arial" w:hAnsi="Arial"/>
                <w:sz w:val="14"/>
                <w:szCs w:val="14"/>
                <w:color w:val="auto"/>
              </w:rPr>
              <w:t>55,555</w:t>
            </w:r>
          </w:p>
        </w:tc>
        <w:tc>
          <w:tcPr>
            <w:tcW w:w="920" w:type="dxa"/>
            <w:vAlign w:val="bottom"/>
            <w:gridSpan w:val="2"/>
          </w:tcPr>
          <w:p>
            <w:pPr>
              <w:jc w:val="center"/>
              <w:ind w:right="420"/>
              <w:spacing w:after="0" w:line="153" w:lineRule="exact"/>
              <w:rPr>
                <w:sz w:val="20"/>
                <w:szCs w:val="20"/>
                <w:color w:val="auto"/>
              </w:rPr>
            </w:pPr>
            <w:r>
              <w:rPr>
                <w:rFonts w:ascii="Arial" w:cs="Arial" w:eastAsia="Arial" w:hAnsi="Arial"/>
                <w:sz w:val="14"/>
                <w:szCs w:val="14"/>
                <w:color w:val="auto"/>
                <w:w w:val="98"/>
              </w:rPr>
              <w:t>$4.1000</w:t>
            </w:r>
          </w:p>
        </w:tc>
        <w:tc>
          <w:tcPr>
            <w:tcW w:w="76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w w:val="99"/>
              </w:rPr>
              <w:t>02/23/2032</w:t>
            </w:r>
          </w:p>
        </w:tc>
        <w:tc>
          <w:tcPr>
            <w:tcW w:w="0" w:type="dxa"/>
            <w:vAlign w:val="bottom"/>
          </w:tcPr>
          <w:p>
            <w:pPr>
              <w:spacing w:after="0"/>
              <w:rPr>
                <w:sz w:val="1"/>
                <w:szCs w:val="1"/>
                <w:color w:val="auto"/>
              </w:rPr>
            </w:pPr>
          </w:p>
        </w:tc>
      </w:tr>
      <w:tr>
        <w:trPr>
          <w:trHeight w:val="153"/>
        </w:trPr>
        <w:tc>
          <w:tcPr>
            <w:tcW w:w="5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w w:val="99"/>
              </w:rPr>
              <w:t>12/13/2022</w:t>
            </w:r>
          </w:p>
        </w:tc>
        <w:tc>
          <w:tcPr>
            <w:tcW w:w="900" w:type="dxa"/>
            <w:vAlign w:val="bottom"/>
            <w:gridSpan w:val="2"/>
            <w:shd w:val="clear" w:color="auto" w:fill="CCEEFF"/>
          </w:tcPr>
          <w:p>
            <w:pPr>
              <w:jc w:val="right"/>
              <w:ind w:right="180"/>
              <w:spacing w:after="0" w:line="153" w:lineRule="exact"/>
              <w:rPr>
                <w:sz w:val="20"/>
                <w:szCs w:val="20"/>
                <w:color w:val="auto"/>
              </w:rPr>
            </w:pPr>
            <w:r>
              <w:rPr>
                <w:rFonts w:ascii="Arial" w:cs="Arial" w:eastAsia="Arial" w:hAnsi="Arial"/>
                <w:sz w:val="14"/>
                <w:szCs w:val="14"/>
                <w:color w:val="auto"/>
              </w:rPr>
              <w:t>2,408</w:t>
            </w:r>
          </w:p>
        </w:tc>
        <w:tc>
          <w:tcPr>
            <w:tcW w:w="1260" w:type="dxa"/>
            <w:vAlign w:val="bottom"/>
            <w:gridSpan w:val="3"/>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7,226</w:t>
            </w:r>
          </w:p>
        </w:tc>
        <w:tc>
          <w:tcPr>
            <w:tcW w:w="920" w:type="dxa"/>
            <w:vAlign w:val="bottom"/>
            <w:gridSpan w:val="2"/>
            <w:shd w:val="clear" w:color="auto" w:fill="CCEEFF"/>
          </w:tcPr>
          <w:p>
            <w:pPr>
              <w:jc w:val="center"/>
              <w:ind w:right="420"/>
              <w:spacing w:after="0" w:line="153" w:lineRule="exact"/>
              <w:rPr>
                <w:sz w:val="20"/>
                <w:szCs w:val="20"/>
                <w:color w:val="auto"/>
              </w:rPr>
            </w:pPr>
            <w:r>
              <w:rPr>
                <w:rFonts w:ascii="Arial" w:cs="Arial" w:eastAsia="Arial" w:hAnsi="Arial"/>
                <w:sz w:val="14"/>
                <w:szCs w:val="14"/>
                <w:color w:val="auto"/>
                <w:w w:val="98"/>
              </w:rPr>
              <w:t>$4.1000</w:t>
            </w:r>
          </w:p>
        </w:tc>
        <w:tc>
          <w:tcPr>
            <w:tcW w:w="76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w w:val="99"/>
              </w:rPr>
              <w:t>12/12/2032</w:t>
            </w:r>
          </w:p>
        </w:tc>
        <w:tc>
          <w:tcPr>
            <w:tcW w:w="0" w:type="dxa"/>
            <w:vAlign w:val="bottom"/>
          </w:tcPr>
          <w:p>
            <w:pPr>
              <w:spacing w:after="0"/>
              <w:rPr>
                <w:sz w:val="1"/>
                <w:szCs w:val="1"/>
                <w:color w:val="auto"/>
              </w:rPr>
            </w:pPr>
          </w:p>
        </w:tc>
      </w:tr>
      <w:tr>
        <w:trPr>
          <w:trHeight w:val="153"/>
        </w:trPr>
        <w:tc>
          <w:tcPr>
            <w:tcW w:w="5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line="153" w:lineRule="exact"/>
              <w:rPr>
                <w:sz w:val="20"/>
                <w:szCs w:val="20"/>
                <w:color w:val="auto"/>
              </w:rPr>
            </w:pPr>
            <w:r>
              <w:rPr>
                <w:rFonts w:ascii="Arial" w:cs="Arial" w:eastAsia="Arial" w:hAnsi="Arial"/>
                <w:sz w:val="14"/>
                <w:szCs w:val="14"/>
                <w:color w:val="auto"/>
              </w:rPr>
              <w:t>6/13/2023</w:t>
            </w:r>
          </w:p>
        </w:tc>
        <w:tc>
          <w:tcPr>
            <w:tcW w:w="80" w:type="dxa"/>
            <w:vAlign w:val="bottom"/>
          </w:tcPr>
          <w:p>
            <w:pPr>
              <w:spacing w:after="0"/>
              <w:rPr>
                <w:sz w:val="13"/>
                <w:szCs w:val="13"/>
                <w:color w:val="auto"/>
              </w:rPr>
            </w:pPr>
          </w:p>
        </w:tc>
        <w:tc>
          <w:tcPr>
            <w:tcW w:w="900" w:type="dxa"/>
            <w:vAlign w:val="bottom"/>
            <w:gridSpan w:val="2"/>
          </w:tcPr>
          <w:p>
            <w:pPr>
              <w:jc w:val="right"/>
              <w:ind w:right="180"/>
              <w:spacing w:after="0" w:line="153" w:lineRule="exact"/>
              <w:rPr>
                <w:sz w:val="20"/>
                <w:szCs w:val="20"/>
                <w:color w:val="auto"/>
              </w:rPr>
            </w:pPr>
            <w:r>
              <w:rPr>
                <w:rFonts w:ascii="Arial" w:cs="Arial" w:eastAsia="Arial" w:hAnsi="Arial"/>
                <w:sz w:val="14"/>
                <w:szCs w:val="14"/>
                <w:color w:val="auto"/>
              </w:rPr>
              <w:t>11,858</w:t>
            </w:r>
          </w:p>
        </w:tc>
        <w:tc>
          <w:tcPr>
            <w:tcW w:w="1260" w:type="dxa"/>
            <w:vAlign w:val="bottom"/>
            <w:gridSpan w:val="3"/>
          </w:tcPr>
          <w:p>
            <w:pPr>
              <w:jc w:val="right"/>
              <w:ind w:right="80"/>
              <w:spacing w:after="0" w:line="153" w:lineRule="exact"/>
              <w:rPr>
                <w:sz w:val="20"/>
                <w:szCs w:val="20"/>
                <w:color w:val="auto"/>
              </w:rPr>
            </w:pPr>
            <w:r>
              <w:rPr>
                <w:rFonts w:ascii="Arial" w:cs="Arial" w:eastAsia="Arial" w:hAnsi="Arial"/>
                <w:sz w:val="14"/>
                <w:szCs w:val="14"/>
                <w:color w:val="auto"/>
              </w:rPr>
              <w:t>83,012</w:t>
            </w:r>
          </w:p>
        </w:tc>
        <w:tc>
          <w:tcPr>
            <w:tcW w:w="920" w:type="dxa"/>
            <w:vAlign w:val="bottom"/>
            <w:gridSpan w:val="2"/>
          </w:tcPr>
          <w:p>
            <w:pPr>
              <w:jc w:val="center"/>
              <w:ind w:right="420"/>
              <w:spacing w:after="0" w:line="153" w:lineRule="exact"/>
              <w:rPr>
                <w:sz w:val="20"/>
                <w:szCs w:val="20"/>
                <w:color w:val="auto"/>
              </w:rPr>
            </w:pPr>
            <w:r>
              <w:rPr>
                <w:rFonts w:ascii="Arial" w:cs="Arial" w:eastAsia="Arial" w:hAnsi="Arial"/>
                <w:sz w:val="14"/>
                <w:szCs w:val="14"/>
                <w:color w:val="auto"/>
                <w:w w:val="98"/>
              </w:rPr>
              <w:t>$4.1000</w:t>
            </w:r>
          </w:p>
        </w:tc>
        <w:tc>
          <w:tcPr>
            <w:tcW w:w="76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6/12/2033</w:t>
            </w:r>
          </w:p>
        </w:tc>
        <w:tc>
          <w:tcPr>
            <w:tcW w:w="0" w:type="dxa"/>
            <w:vAlign w:val="bottom"/>
          </w:tcPr>
          <w:p>
            <w:pPr>
              <w:spacing w:after="0"/>
              <w:rPr>
                <w:sz w:val="1"/>
                <w:szCs w:val="1"/>
                <w:color w:val="auto"/>
              </w:rPr>
            </w:pPr>
          </w:p>
        </w:tc>
      </w:tr>
      <w:tr>
        <w:trPr>
          <w:trHeight w:val="153"/>
        </w:trPr>
        <w:tc>
          <w:tcPr>
            <w:tcW w:w="578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color w:val="auto"/>
              </w:rPr>
              <w:t>Chris Hassig, Ph.D.</w:t>
            </w:r>
          </w:p>
        </w:tc>
        <w:tc>
          <w:tcPr>
            <w:tcW w:w="7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12/3/2019</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line="153" w:lineRule="exact"/>
              <w:rPr>
                <w:sz w:val="20"/>
                <w:szCs w:val="20"/>
                <w:color w:val="auto"/>
              </w:rPr>
            </w:pPr>
            <w:r>
              <w:rPr>
                <w:rFonts w:ascii="Arial" w:cs="Arial" w:eastAsia="Arial" w:hAnsi="Arial"/>
                <w:sz w:val="14"/>
                <w:szCs w:val="14"/>
                <w:color w:val="auto"/>
              </w:rPr>
              <w:t>38,461</w:t>
            </w:r>
          </w:p>
        </w:tc>
        <w:tc>
          <w:tcPr>
            <w:tcW w:w="2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center"/>
              <w:ind w:right="420"/>
              <w:spacing w:after="0" w:line="153" w:lineRule="exact"/>
              <w:rPr>
                <w:sz w:val="20"/>
                <w:szCs w:val="20"/>
                <w:color w:val="auto"/>
              </w:rPr>
            </w:pPr>
            <w:r>
              <w:rPr>
                <w:rFonts w:ascii="Arial" w:cs="Arial" w:eastAsia="Arial" w:hAnsi="Arial"/>
                <w:sz w:val="14"/>
                <w:szCs w:val="14"/>
                <w:color w:val="auto"/>
                <w:w w:val="98"/>
              </w:rPr>
              <w:t>$3.1200</w:t>
            </w:r>
          </w:p>
        </w:tc>
        <w:tc>
          <w:tcPr>
            <w:tcW w:w="76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12/2/2029</w:t>
            </w:r>
          </w:p>
        </w:tc>
        <w:tc>
          <w:tcPr>
            <w:tcW w:w="0" w:type="dxa"/>
            <w:vAlign w:val="bottom"/>
          </w:tcPr>
          <w:p>
            <w:pPr>
              <w:spacing w:after="0"/>
              <w:rPr>
                <w:sz w:val="1"/>
                <w:szCs w:val="1"/>
                <w:color w:val="auto"/>
              </w:rPr>
            </w:pPr>
          </w:p>
        </w:tc>
      </w:tr>
      <w:tr>
        <w:trPr>
          <w:trHeight w:val="153"/>
        </w:trPr>
        <w:tc>
          <w:tcPr>
            <w:tcW w:w="5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line="153" w:lineRule="exact"/>
              <w:rPr>
                <w:sz w:val="20"/>
                <w:szCs w:val="20"/>
                <w:color w:val="auto"/>
              </w:rPr>
            </w:pPr>
            <w:r>
              <w:rPr>
                <w:rFonts w:ascii="Arial" w:cs="Arial" w:eastAsia="Arial" w:hAnsi="Arial"/>
                <w:sz w:val="14"/>
                <w:szCs w:val="14"/>
                <w:color w:val="auto"/>
              </w:rPr>
              <w:t>12/2/2020</w:t>
            </w:r>
          </w:p>
        </w:tc>
        <w:tc>
          <w:tcPr>
            <w:tcW w:w="80" w:type="dxa"/>
            <w:vAlign w:val="bottom"/>
          </w:tcPr>
          <w:p>
            <w:pPr>
              <w:spacing w:after="0"/>
              <w:rPr>
                <w:sz w:val="13"/>
                <w:szCs w:val="13"/>
                <w:color w:val="auto"/>
              </w:rPr>
            </w:pPr>
          </w:p>
        </w:tc>
        <w:tc>
          <w:tcPr>
            <w:tcW w:w="900" w:type="dxa"/>
            <w:vAlign w:val="bottom"/>
            <w:gridSpan w:val="2"/>
          </w:tcPr>
          <w:p>
            <w:pPr>
              <w:jc w:val="right"/>
              <w:ind w:right="180"/>
              <w:spacing w:after="0" w:line="153" w:lineRule="exact"/>
              <w:rPr>
                <w:sz w:val="20"/>
                <w:szCs w:val="20"/>
                <w:color w:val="auto"/>
              </w:rPr>
            </w:pPr>
            <w:r>
              <w:rPr>
                <w:rFonts w:ascii="Arial" w:cs="Arial" w:eastAsia="Arial" w:hAnsi="Arial"/>
                <w:sz w:val="14"/>
                <w:szCs w:val="14"/>
                <w:color w:val="auto"/>
              </w:rPr>
              <w:t>7,478</w:t>
            </w:r>
          </w:p>
        </w:tc>
        <w:tc>
          <w:tcPr>
            <w:tcW w:w="1260" w:type="dxa"/>
            <w:vAlign w:val="bottom"/>
            <w:gridSpan w:val="3"/>
          </w:tcPr>
          <w:p>
            <w:pPr>
              <w:jc w:val="right"/>
              <w:ind w:right="80"/>
              <w:spacing w:after="0" w:line="153" w:lineRule="exact"/>
              <w:rPr>
                <w:sz w:val="20"/>
                <w:szCs w:val="20"/>
                <w:color w:val="auto"/>
              </w:rPr>
            </w:pPr>
            <w:r>
              <w:rPr>
                <w:rFonts w:ascii="Arial" w:cs="Arial" w:eastAsia="Arial" w:hAnsi="Arial"/>
                <w:sz w:val="14"/>
                <w:szCs w:val="14"/>
                <w:color w:val="auto"/>
              </w:rPr>
              <w:t>2,777</w:t>
            </w:r>
          </w:p>
        </w:tc>
        <w:tc>
          <w:tcPr>
            <w:tcW w:w="920" w:type="dxa"/>
            <w:vAlign w:val="bottom"/>
            <w:gridSpan w:val="2"/>
          </w:tcPr>
          <w:p>
            <w:pPr>
              <w:jc w:val="center"/>
              <w:ind w:right="420"/>
              <w:spacing w:after="0" w:line="153" w:lineRule="exact"/>
              <w:rPr>
                <w:sz w:val="20"/>
                <w:szCs w:val="20"/>
                <w:color w:val="auto"/>
              </w:rPr>
            </w:pPr>
            <w:r>
              <w:rPr>
                <w:rFonts w:ascii="Arial" w:cs="Arial" w:eastAsia="Arial" w:hAnsi="Arial"/>
                <w:sz w:val="14"/>
                <w:szCs w:val="14"/>
                <w:color w:val="auto"/>
                <w:w w:val="98"/>
              </w:rPr>
              <w:t>$3.7100</w:t>
            </w:r>
          </w:p>
        </w:tc>
        <w:tc>
          <w:tcPr>
            <w:tcW w:w="76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12/1/2030</w:t>
            </w:r>
          </w:p>
        </w:tc>
        <w:tc>
          <w:tcPr>
            <w:tcW w:w="0" w:type="dxa"/>
            <w:vAlign w:val="bottom"/>
          </w:tcPr>
          <w:p>
            <w:pPr>
              <w:spacing w:after="0"/>
              <w:rPr>
                <w:sz w:val="1"/>
                <w:szCs w:val="1"/>
                <w:color w:val="auto"/>
              </w:rPr>
            </w:pPr>
          </w:p>
        </w:tc>
      </w:tr>
      <w:tr>
        <w:trPr>
          <w:trHeight w:val="153"/>
        </w:trPr>
        <w:tc>
          <w:tcPr>
            <w:tcW w:w="5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6/7/2021</w:t>
            </w:r>
          </w:p>
        </w:tc>
        <w:tc>
          <w:tcPr>
            <w:tcW w:w="900" w:type="dxa"/>
            <w:vAlign w:val="bottom"/>
            <w:gridSpan w:val="2"/>
            <w:shd w:val="clear" w:color="auto" w:fill="CCEEFF"/>
          </w:tcPr>
          <w:p>
            <w:pPr>
              <w:jc w:val="right"/>
              <w:ind w:right="180"/>
              <w:spacing w:after="0" w:line="153" w:lineRule="exact"/>
              <w:rPr>
                <w:sz w:val="20"/>
                <w:szCs w:val="20"/>
                <w:color w:val="auto"/>
              </w:rPr>
            </w:pPr>
            <w:r>
              <w:rPr>
                <w:rFonts w:ascii="Arial" w:cs="Arial" w:eastAsia="Arial" w:hAnsi="Arial"/>
                <w:sz w:val="14"/>
                <w:szCs w:val="14"/>
                <w:color w:val="auto"/>
              </w:rPr>
              <w:t>39,262</w:t>
            </w:r>
          </w:p>
        </w:tc>
        <w:tc>
          <w:tcPr>
            <w:tcW w:w="1260" w:type="dxa"/>
            <w:vAlign w:val="bottom"/>
            <w:gridSpan w:val="3"/>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23,557</w:t>
            </w:r>
          </w:p>
        </w:tc>
        <w:tc>
          <w:tcPr>
            <w:tcW w:w="920" w:type="dxa"/>
            <w:vAlign w:val="bottom"/>
            <w:gridSpan w:val="2"/>
            <w:shd w:val="clear" w:color="auto" w:fill="CCEEFF"/>
          </w:tcPr>
          <w:p>
            <w:pPr>
              <w:jc w:val="center"/>
              <w:ind w:right="420"/>
              <w:spacing w:after="0" w:line="153" w:lineRule="exact"/>
              <w:rPr>
                <w:sz w:val="20"/>
                <w:szCs w:val="20"/>
                <w:color w:val="auto"/>
              </w:rPr>
            </w:pPr>
            <w:r>
              <w:rPr>
                <w:rFonts w:ascii="Arial" w:cs="Arial" w:eastAsia="Arial" w:hAnsi="Arial"/>
                <w:sz w:val="14"/>
                <w:szCs w:val="14"/>
                <w:color w:val="auto"/>
                <w:w w:val="98"/>
              </w:rPr>
              <w:t>$4.1000</w:t>
            </w:r>
          </w:p>
        </w:tc>
        <w:tc>
          <w:tcPr>
            <w:tcW w:w="76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6/6/2031</w:t>
            </w:r>
          </w:p>
        </w:tc>
        <w:tc>
          <w:tcPr>
            <w:tcW w:w="0" w:type="dxa"/>
            <w:vAlign w:val="bottom"/>
          </w:tcPr>
          <w:p>
            <w:pPr>
              <w:spacing w:after="0"/>
              <w:rPr>
                <w:sz w:val="1"/>
                <w:szCs w:val="1"/>
                <w:color w:val="auto"/>
              </w:rPr>
            </w:pPr>
          </w:p>
        </w:tc>
      </w:tr>
      <w:tr>
        <w:trPr>
          <w:trHeight w:val="179"/>
        </w:trPr>
        <w:tc>
          <w:tcPr>
            <w:tcW w:w="5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6/13/2023</w:t>
            </w:r>
          </w:p>
        </w:tc>
        <w:tc>
          <w:tcPr>
            <w:tcW w:w="8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11,858</w:t>
            </w:r>
          </w:p>
        </w:tc>
        <w:tc>
          <w:tcPr>
            <w:tcW w:w="1260" w:type="dxa"/>
            <w:vAlign w:val="bottom"/>
            <w:gridSpan w:val="3"/>
          </w:tcPr>
          <w:p>
            <w:pPr>
              <w:jc w:val="right"/>
              <w:ind w:right="80"/>
              <w:spacing w:after="0"/>
              <w:rPr>
                <w:sz w:val="20"/>
                <w:szCs w:val="20"/>
                <w:color w:val="auto"/>
              </w:rPr>
            </w:pPr>
            <w:r>
              <w:rPr>
                <w:rFonts w:ascii="Arial" w:cs="Arial" w:eastAsia="Arial" w:hAnsi="Arial"/>
                <w:sz w:val="14"/>
                <w:szCs w:val="14"/>
                <w:color w:val="auto"/>
              </w:rPr>
              <w:t>83,012</w:t>
            </w:r>
          </w:p>
        </w:tc>
        <w:tc>
          <w:tcPr>
            <w:tcW w:w="920" w:type="dxa"/>
            <w:vAlign w:val="bottom"/>
            <w:gridSpan w:val="2"/>
          </w:tcPr>
          <w:p>
            <w:pPr>
              <w:jc w:val="center"/>
              <w:ind w:right="420"/>
              <w:spacing w:after="0"/>
              <w:rPr>
                <w:sz w:val="20"/>
                <w:szCs w:val="20"/>
                <w:color w:val="auto"/>
              </w:rPr>
            </w:pPr>
            <w:r>
              <w:rPr>
                <w:rFonts w:ascii="Arial" w:cs="Arial" w:eastAsia="Arial" w:hAnsi="Arial"/>
                <w:sz w:val="14"/>
                <w:szCs w:val="14"/>
                <w:color w:val="auto"/>
                <w:w w:val="98"/>
              </w:rPr>
              <w:t>$4.1000</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6/12/2033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73025</wp:posOffset>
            </wp:positionV>
            <wp:extent cx="73025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138" w:lineRule="exact"/>
        <w:rPr>
          <w:sz w:val="20"/>
          <w:szCs w:val="20"/>
          <w:color w:val="auto"/>
        </w:rPr>
      </w:pPr>
    </w:p>
    <w:p>
      <w:pPr>
        <w:ind w:left="820" w:right="120" w:hanging="409"/>
        <w:spacing w:after="0" w:line="237" w:lineRule="auto"/>
        <w:tabs>
          <w:tab w:leader="none" w:pos="8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These awards are subject to potential acceleration of vesting in connection with a qualifying termination of employment following a change in control, as described in the subsection titled “Employment Arrangements with our Named Executive Officers” below.</w:t>
      </w:r>
    </w:p>
    <w:p>
      <w:pPr>
        <w:jc w:val="both"/>
        <w:ind w:left="820" w:right="360" w:hanging="409"/>
        <w:spacing w:after="0" w:line="228" w:lineRule="auto"/>
        <w:tabs>
          <w:tab w:leader="none" w:pos="8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On June 10, 2020, our board of directors granted Mr. Hornby an option to purchase 128,204 shares of our common stock under our 2018 Plan, which vests in 48 substantially equal monthly installments beginning on the first monthly anniversary of the vesting commencement date of June 10, 2020, subject to Mr. Hornby’s continuous service with us as of each such vesting date.</w:t>
      </w:r>
    </w:p>
    <w:p>
      <w:pPr>
        <w:spacing w:after="0" w:line="1" w:lineRule="exact"/>
        <w:rPr>
          <w:rFonts w:ascii="Arial" w:cs="Arial" w:eastAsia="Arial" w:hAnsi="Arial"/>
          <w:sz w:val="14"/>
          <w:szCs w:val="14"/>
          <w:color w:val="auto"/>
        </w:rPr>
      </w:pPr>
    </w:p>
    <w:p>
      <w:pPr>
        <w:jc w:val="both"/>
        <w:ind w:left="820" w:right="440" w:hanging="409"/>
        <w:spacing w:after="0" w:line="228" w:lineRule="auto"/>
        <w:tabs>
          <w:tab w:leader="none" w:pos="8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On June 7, 2021, our board of directors granted Mr. Hornby an option to purchase 256,409 shares of our common stock under our 2018 Plan, which vests in 48 substantially equal monthly installments beginning on the first monthly anniversary of the vesting commencement date of June 7, 2021, subject to Mr. Hornby’s continuous service with us as of each such vesting date.</w:t>
      </w:r>
    </w:p>
    <w:p>
      <w:pPr>
        <w:spacing w:after="0" w:line="1" w:lineRule="exact"/>
        <w:rPr>
          <w:rFonts w:ascii="Arial" w:cs="Arial" w:eastAsia="Arial" w:hAnsi="Arial"/>
          <w:sz w:val="14"/>
          <w:szCs w:val="14"/>
          <w:color w:val="auto"/>
        </w:rPr>
      </w:pPr>
    </w:p>
    <w:p>
      <w:pPr>
        <w:ind w:left="820" w:hanging="409"/>
        <w:spacing w:after="0" w:line="228" w:lineRule="auto"/>
        <w:tabs>
          <w:tab w:leader="none" w:pos="8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exercise price of each of these options was repriced to $4.10 per share in June 2023.</w:t>
      </w:r>
    </w:p>
    <w:p>
      <w:pPr>
        <w:ind w:left="820" w:hanging="409"/>
        <w:spacing w:after="0" w:line="266" w:lineRule="auto"/>
        <w:tabs>
          <w:tab w:leader="none" w:pos="820" w:val="left"/>
        </w:tabs>
        <w:numPr>
          <w:ilvl w:val="0"/>
          <w:numId w:val="76"/>
        </w:numPr>
        <w:rPr>
          <w:rFonts w:ascii="Arial" w:cs="Arial" w:eastAsia="Arial" w:hAnsi="Arial"/>
          <w:sz w:val="12"/>
          <w:szCs w:val="12"/>
          <w:color w:val="auto"/>
        </w:rPr>
      </w:pPr>
      <w:r>
        <w:rPr>
          <w:rFonts w:ascii="Arial" w:cs="Arial" w:eastAsia="Arial" w:hAnsi="Arial"/>
          <w:sz w:val="12"/>
          <w:szCs w:val="12"/>
          <w:color w:val="auto"/>
        </w:rPr>
        <w:t>On June 13, 2023, our board of directors granted to Mr. Hornby, Dr. Wagner, and Dr. Hassig options to purchase 471,282 shares, 94,871 shares, and 94,871 shares of our common stock, respectively, under our 2018 Plan. Each option vests in 48 substantially equal monthly installments beginning on the first monthly anniversary of the vesting commencement date of June 13, 2023, subject to the named executive officer’s continuous service with us as of each such vesting date.</w:t>
      </w:r>
    </w:p>
    <w:p>
      <w:pPr>
        <w:spacing w:after="0" w:line="1" w:lineRule="exact"/>
        <w:rPr>
          <w:rFonts w:ascii="Arial" w:cs="Arial" w:eastAsia="Arial" w:hAnsi="Arial"/>
          <w:sz w:val="12"/>
          <w:szCs w:val="12"/>
          <w:color w:val="auto"/>
        </w:rPr>
      </w:pPr>
    </w:p>
    <w:p>
      <w:pPr>
        <w:ind w:left="820" w:right="100" w:hanging="409"/>
        <w:spacing w:after="0" w:line="228" w:lineRule="auto"/>
        <w:tabs>
          <w:tab w:leader="none" w:pos="8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On February 24, 2022, our board of directors granted Dr. Wagner an option to purchase 102,563 shares of our common stock under our 2018 Plan, with 25% of such shares vesting on the first anniversary of the vesting commencement date of February 22, 2022 and the remaining shares vesting in 36 substantially equal monthly installments thereafter, subject to Dr. Wagner’s continuous service with us as of each such vesting date.</w:t>
      </w:r>
    </w:p>
    <w:p>
      <w:pPr>
        <w:spacing w:after="0" w:line="1" w:lineRule="exact"/>
        <w:rPr>
          <w:rFonts w:ascii="Arial" w:cs="Arial" w:eastAsia="Arial" w:hAnsi="Arial"/>
          <w:sz w:val="14"/>
          <w:szCs w:val="14"/>
          <w:color w:val="auto"/>
        </w:rPr>
      </w:pPr>
    </w:p>
    <w:p>
      <w:pPr>
        <w:ind w:left="820" w:right="40" w:hanging="409"/>
        <w:spacing w:after="0" w:line="228" w:lineRule="auto"/>
        <w:tabs>
          <w:tab w:leader="none" w:pos="8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On December 13, 2022, our board of directors granted Dr. Wagner an option to purchase 9,634 shares of our common stock under our 2018 Plan, which vests in 48 substantially equal monthly installments beginning on the first monthly anniversary of the vesting commencement date of December 13, 2022, subject to Dr. Wagner’s continuous service with us as of each such vesting date; provided none of the options were eligible to vest prior to the first anniversary of Dr. Wagner’s commencement of employment.</w:t>
      </w:r>
    </w:p>
    <w:p>
      <w:pPr>
        <w:spacing w:after="0" w:line="1" w:lineRule="exact"/>
        <w:rPr>
          <w:rFonts w:ascii="Arial" w:cs="Arial" w:eastAsia="Arial" w:hAnsi="Arial"/>
          <w:sz w:val="14"/>
          <w:szCs w:val="14"/>
          <w:color w:val="auto"/>
        </w:rPr>
      </w:pPr>
    </w:p>
    <w:p>
      <w:pPr>
        <w:ind w:left="820" w:right="220" w:hanging="409"/>
        <w:spacing w:after="0" w:line="228" w:lineRule="auto"/>
        <w:tabs>
          <w:tab w:leader="none" w:pos="8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On December 2, 2020, our board of directors granted Dr. Hassig an option to purchase 10,255 shares of our common stock under our 2018 Plan, with 25% of such shares vesting on the first anniversary of the vesting commencement date of January 1, 2021, and the remaining shares vesting in 36 substantially equal monthly installments thereafter, subject to Dr. Hassig’s continuous service with us as of each such vesting date.</w:t>
      </w:r>
    </w:p>
    <w:p>
      <w:pPr>
        <w:spacing w:after="0" w:line="1" w:lineRule="exact"/>
        <w:rPr>
          <w:rFonts w:ascii="Arial" w:cs="Arial" w:eastAsia="Arial" w:hAnsi="Arial"/>
          <w:sz w:val="14"/>
          <w:szCs w:val="14"/>
          <w:color w:val="auto"/>
        </w:rPr>
      </w:pPr>
    </w:p>
    <w:p>
      <w:pPr>
        <w:jc w:val="both"/>
        <w:ind w:left="820" w:right="520" w:hanging="409"/>
        <w:spacing w:after="0" w:line="235" w:lineRule="auto"/>
        <w:tabs>
          <w:tab w:leader="none" w:pos="8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On June 7, 2021, our board of directors granted Dr. Hassig an option to purchase 62,819 shares of our common stock under our 2018 Plan, which vests in 48 substantially equal monthly installments beginning on the first monthly anniversary of the vesting commencement date of June 7, 2021, subject to Dr. Hassig’s continuous service with us as of each such vesting date.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Employment Arrangements with Our Named Executive Officers</w:t>
      </w:r>
    </w:p>
    <w:p>
      <w:pPr>
        <w:spacing w:after="0" w:line="201" w:lineRule="exact"/>
        <w:rPr>
          <w:sz w:val="20"/>
          <w:szCs w:val="20"/>
          <w:color w:val="auto"/>
        </w:rPr>
      </w:pPr>
    </w:p>
    <w:p>
      <w:pPr>
        <w:ind w:left="420" w:right="20" w:firstLine="521"/>
        <w:spacing w:after="0" w:line="252" w:lineRule="auto"/>
        <w:rPr>
          <w:sz w:val="20"/>
          <w:szCs w:val="20"/>
          <w:color w:val="auto"/>
        </w:rPr>
      </w:pPr>
      <w:r>
        <w:rPr>
          <w:rFonts w:ascii="Arial" w:cs="Arial" w:eastAsia="Arial" w:hAnsi="Arial"/>
          <w:sz w:val="17"/>
          <w:szCs w:val="17"/>
          <w:color w:val="auto"/>
        </w:rPr>
        <w:t>We have entered into amended and restated employment offer letters with each of our named executive officers, which will become effective upon the consummation of this offering, and which will govern certain terms of their employment with us following this offering. Upon the effectiveness of their amended and restated employment offer letters, Mr. Hornby, Dr. Wagner, and Dr. Hassig will be</w:t>
      </w:r>
    </w:p>
    <w:p>
      <w:pPr>
        <w:spacing w:after="0" w:line="10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178</w:t>
      </w:r>
    </w:p>
    <w:p>
      <w:pPr>
        <w:sectPr>
          <w:pgSz w:w="11900" w:h="16838" w:orient="portrait"/>
          <w:cols w:equalWidth="0" w:num="1">
            <w:col w:w="10840"/>
          </w:cols>
          <w:pgMar w:left="320" w:top="439" w:right="7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160"/>
        <w:spacing w:after="0" w:line="247" w:lineRule="auto"/>
        <w:rPr>
          <w:sz w:val="20"/>
          <w:szCs w:val="20"/>
          <w:color w:val="auto"/>
        </w:rPr>
      </w:pPr>
      <w:r>
        <w:rPr>
          <w:rFonts w:ascii="Arial" w:cs="Arial" w:eastAsia="Arial" w:hAnsi="Arial"/>
          <w:sz w:val="17"/>
          <w:szCs w:val="17"/>
          <w:color w:val="auto"/>
        </w:rPr>
        <w:t>entitled to an annual base salary of $620,000, $500,000, and $460,000, respectively. In addition, Mr. Hornby, Dr. Wagner, and Dr. Hassig will be eligible to receive an annual bonus at a target amount of 55%, 40%, and 40%, respectively, of their base salaries actually paid for the year to which such annual bonus relates based on the achievement of performance objectives as determined by our board of directors.</w:t>
      </w:r>
    </w:p>
    <w:p>
      <w:pPr>
        <w:spacing w:after="0" w:line="166" w:lineRule="exact"/>
        <w:rPr>
          <w:sz w:val="20"/>
          <w:szCs w:val="20"/>
          <w:color w:val="auto"/>
        </w:rPr>
      </w:pPr>
    </w:p>
    <w:p>
      <w:pPr>
        <w:ind w:left="420" w:right="200" w:firstLine="521"/>
        <w:spacing w:after="0" w:line="244" w:lineRule="auto"/>
        <w:rPr>
          <w:sz w:val="20"/>
          <w:szCs w:val="20"/>
          <w:color w:val="auto"/>
        </w:rPr>
      </w:pPr>
      <w:r>
        <w:rPr>
          <w:rFonts w:ascii="Arial" w:cs="Arial" w:eastAsia="Arial" w:hAnsi="Arial"/>
          <w:sz w:val="17"/>
          <w:szCs w:val="17"/>
          <w:color w:val="auto"/>
        </w:rPr>
        <w:t>Regardless of the manner in which our named executive officers’ employment terminates, they are entitled to receive amounts previously earned during their employment, including unpaid salary, reimbursement of expenses owed, and any continuation of benefits required by applicable law. In addition, upon the consummation of our initial public offering, Mr. Hornby will be entitled to “Tier 1 Covered Employee” level severance benefits under our Severance Plan (as defined below) and Drs. Wagner and Hassig will be entitled to “Tier 2 Covered Employee” level severance benefits under our Severance Plan, as described below.</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Severance and Change in Control Severance Plan</w:t>
      </w:r>
    </w:p>
    <w:p>
      <w:pPr>
        <w:spacing w:after="0" w:line="201" w:lineRule="exact"/>
        <w:rPr>
          <w:sz w:val="20"/>
          <w:szCs w:val="20"/>
          <w:color w:val="auto"/>
        </w:rPr>
      </w:pPr>
    </w:p>
    <w:p>
      <w:pPr>
        <w:ind w:left="420" w:right="420" w:firstLine="521"/>
        <w:spacing w:after="0" w:line="244" w:lineRule="auto"/>
        <w:rPr>
          <w:sz w:val="20"/>
          <w:szCs w:val="20"/>
          <w:color w:val="auto"/>
        </w:rPr>
      </w:pPr>
      <w:r>
        <w:rPr>
          <w:rFonts w:ascii="Arial" w:cs="Arial" w:eastAsia="Arial" w:hAnsi="Arial"/>
          <w:sz w:val="17"/>
          <w:szCs w:val="17"/>
          <w:color w:val="auto"/>
        </w:rPr>
        <w:t>In connection with this offering, our board of directors adopted a Severance and Change in Control Severance Plan (the “Severance Plan”) for the benefit of certain management-level employees of the Company or its subsidiaries as designated by our compensation committee (the “Covered Employees”). The severance benefits under the Severance Plan, which will become effective upon the consummation of our initial public offering, will supersede any severance benefits otherwise payable under the Covered Employees’ employment offer letters.</w:t>
      </w:r>
    </w:p>
    <w:p>
      <w:pPr>
        <w:spacing w:after="0" w:line="169" w:lineRule="exact"/>
        <w:rPr>
          <w:sz w:val="20"/>
          <w:szCs w:val="20"/>
          <w:color w:val="auto"/>
        </w:rPr>
      </w:pPr>
    </w:p>
    <w:p>
      <w:pPr>
        <w:ind w:left="420" w:firstLine="521"/>
        <w:spacing w:after="0" w:line="242" w:lineRule="auto"/>
        <w:rPr>
          <w:sz w:val="20"/>
          <w:szCs w:val="20"/>
          <w:color w:val="auto"/>
        </w:rPr>
      </w:pPr>
      <w:r>
        <w:rPr>
          <w:rFonts w:ascii="Arial" w:cs="Arial" w:eastAsia="Arial" w:hAnsi="Arial"/>
          <w:sz w:val="17"/>
          <w:szCs w:val="17"/>
          <w:color w:val="auto"/>
        </w:rPr>
        <w:t>The Severance Plan provides assurances of specified severance benefits to Covered Employees whose employment is subject to involuntary termination by us other than for cause (as defined below) or the Covered Employee resigns for good reason (as defined below) under the circumstances described in the Severance Plan, including, but not limited to, following a change in control (as defined below). The severance benefits each Covered Employee could be entitled to receive under the Severance Plan are determined pursuant to each Covered Employee’s classification as a Tier 1 Covered Employee, a Tier 2 Covered Employee, or a Tier 3 Covered Employee. Covered Employees are classified as follows:</w:t>
      </w:r>
    </w:p>
    <w:p>
      <w:pPr>
        <w:spacing w:after="0" w:line="82" w:lineRule="exact"/>
        <w:rPr>
          <w:sz w:val="20"/>
          <w:szCs w:val="20"/>
          <w:color w:val="auto"/>
        </w:rPr>
      </w:pPr>
    </w:p>
    <w:p>
      <w:pPr>
        <w:ind w:left="1660" w:right="700" w:hanging="418"/>
        <w:spacing w:after="0" w:line="270" w:lineRule="auto"/>
        <w:tabs>
          <w:tab w:leader="none" w:pos="1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“Tier 1 Covered Employee” means an employee of the Company who has been designated by our compensation committee as eligible to participate under Tier 1 in the Severance Plan.</w:t>
      </w:r>
    </w:p>
    <w:p>
      <w:pPr>
        <w:spacing w:after="0" w:line="58" w:lineRule="exact"/>
        <w:rPr>
          <w:rFonts w:ascii="Arial" w:cs="Arial" w:eastAsia="Arial" w:hAnsi="Arial"/>
          <w:sz w:val="17"/>
          <w:szCs w:val="17"/>
          <w:color w:val="auto"/>
        </w:rPr>
      </w:pPr>
    </w:p>
    <w:p>
      <w:pPr>
        <w:ind w:left="1660" w:right="700" w:hanging="418"/>
        <w:spacing w:after="0" w:line="270" w:lineRule="auto"/>
        <w:tabs>
          <w:tab w:leader="none" w:pos="1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“Tier 2 Covered Employee” means an employee of the Company who has been designated by our compensation committee as eligible to participate under Tier 2 in the Severance Plan.</w:t>
      </w:r>
    </w:p>
    <w:p>
      <w:pPr>
        <w:spacing w:after="0" w:line="58" w:lineRule="exact"/>
        <w:rPr>
          <w:rFonts w:ascii="Arial" w:cs="Arial" w:eastAsia="Arial" w:hAnsi="Arial"/>
          <w:sz w:val="17"/>
          <w:szCs w:val="17"/>
          <w:color w:val="auto"/>
        </w:rPr>
      </w:pPr>
    </w:p>
    <w:p>
      <w:pPr>
        <w:ind w:left="1660" w:right="700" w:hanging="418"/>
        <w:spacing w:after="0" w:line="270" w:lineRule="auto"/>
        <w:tabs>
          <w:tab w:leader="none" w:pos="1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“Tier 3 Covered Employee” means an employee of the Company who has been designated by our compensation committee as eligible to participate under Tier 3 in the Severance Plan.</w:t>
      </w:r>
    </w:p>
    <w:p>
      <w:pPr>
        <w:spacing w:after="0" w:line="148" w:lineRule="exact"/>
        <w:rPr>
          <w:sz w:val="20"/>
          <w:szCs w:val="20"/>
          <w:color w:val="auto"/>
        </w:rPr>
      </w:pPr>
    </w:p>
    <w:p>
      <w:pPr>
        <w:ind w:left="420" w:right="100" w:firstLine="521"/>
        <w:spacing w:after="0" w:line="244" w:lineRule="auto"/>
        <w:rPr>
          <w:sz w:val="20"/>
          <w:szCs w:val="20"/>
          <w:color w:val="auto"/>
        </w:rPr>
      </w:pPr>
      <w:r>
        <w:rPr>
          <w:rFonts w:ascii="Arial" w:cs="Arial" w:eastAsia="Arial" w:hAnsi="Arial"/>
          <w:sz w:val="17"/>
          <w:szCs w:val="17"/>
          <w:color w:val="auto"/>
        </w:rPr>
        <w:t>Pursuant to the Severance Plan, if, at any time before or after the end of the 12-month period beginning on the date of a change in control, we (or any of our subsidiaries) terminate a Covered Employee’s employment other than for cause (and other than due to death or disability (as defined in the Severance Plan)) or the Covered Employee resigns for good reason, then the Covered Employee will be entitled to receive the following severance benefits, subject to his or her execution of a release of claims and compliance with certain restrictive covenants, including with respect to non-solicitation and non-disparagement:</w:t>
      </w:r>
    </w:p>
    <w:p>
      <w:pPr>
        <w:spacing w:after="0" w:line="80" w:lineRule="exact"/>
        <w:rPr>
          <w:sz w:val="20"/>
          <w:szCs w:val="20"/>
          <w:color w:val="auto"/>
        </w:rPr>
      </w:pPr>
    </w:p>
    <w:p>
      <w:pPr>
        <w:ind w:left="1660" w:right="220" w:hanging="418"/>
        <w:spacing w:after="0" w:line="252" w:lineRule="auto"/>
        <w:tabs>
          <w:tab w:leader="none" w:pos="1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 amount equal to the Covered Employee’s annualized Base Pay (as defined in the Severance Plan) for 12 months, 9 months, or 6 months following termination in the case of a Tier 1 Covered Employee, a Tier 2 Covered Employee, or a Tier 3 Covered Employee, respectively, paid in a lump sum.</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179</w:t>
      </w:r>
    </w:p>
    <w:p>
      <w:pPr>
        <w:sectPr>
          <w:pgSz w:w="11900" w:h="16838" w:orient="portrait"/>
          <w:cols w:equalWidth="0" w:num="1">
            <w:col w:w="10840"/>
          </w:cols>
          <w:pgMar w:left="320" w:top="439" w:right="7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1660" w:right="500" w:hanging="418"/>
        <w:spacing w:after="0" w:line="270" w:lineRule="auto"/>
        <w:tabs>
          <w:tab w:leader="none" w:pos="16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Company-paid COBRA coverage for 12 months, 9 months, or 6 months following termination in the case of a Tier 1 Covered Employee, a Tier 2 Covered Employee, or a Tier 3 Covered Employee, respectively.</w:t>
      </w:r>
    </w:p>
    <w:p>
      <w:pPr>
        <w:spacing w:after="0" w:line="58" w:lineRule="exact"/>
        <w:rPr>
          <w:rFonts w:ascii="Arial" w:cs="Arial" w:eastAsia="Arial" w:hAnsi="Arial"/>
          <w:sz w:val="17"/>
          <w:szCs w:val="17"/>
          <w:color w:val="auto"/>
        </w:rPr>
      </w:pPr>
    </w:p>
    <w:p>
      <w:pPr>
        <w:ind w:left="1660" w:right="20" w:hanging="418"/>
        <w:spacing w:after="0" w:line="247" w:lineRule="auto"/>
        <w:tabs>
          <w:tab w:leader="none" w:pos="16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accelerated vesting of the time-based equity compensation awards (as defined in the Severance Plan) that would have vested and become exercisable within 12 months following termination in the case of a Tier 1 Covered Employee; provided, however, that any performance-based equity compensation awards will continue to be governed by the terms of the applicable equity compensation award agreement.</w:t>
      </w:r>
    </w:p>
    <w:p>
      <w:pPr>
        <w:spacing w:after="0" w:line="166" w:lineRule="exact"/>
        <w:rPr>
          <w:sz w:val="20"/>
          <w:szCs w:val="20"/>
          <w:color w:val="auto"/>
        </w:rPr>
      </w:pPr>
    </w:p>
    <w:p>
      <w:pPr>
        <w:ind w:left="420" w:right="80" w:firstLine="521"/>
        <w:spacing w:after="0" w:line="244" w:lineRule="auto"/>
        <w:rPr>
          <w:sz w:val="20"/>
          <w:szCs w:val="20"/>
          <w:color w:val="auto"/>
        </w:rPr>
      </w:pPr>
      <w:r>
        <w:rPr>
          <w:rFonts w:ascii="Arial" w:cs="Arial" w:eastAsia="Arial" w:hAnsi="Arial"/>
          <w:sz w:val="17"/>
          <w:szCs w:val="17"/>
          <w:color w:val="auto"/>
        </w:rPr>
        <w:t>Pursuant to the Severance Plan, if, at any time within the 12-month period following a change in control, we (or any of our subsidiaries) terminate a Covered Employee’s employment other than for cause (and other than due to death or disability) or the Covered Employee resigns for good reason, then the Covered Employee will be entitled to receive the following severance benefits, subject to his or her execution of a release of claims and compliance with certain restrictive covenants, including with respect to non-solicitation and non-disparagement:</w:t>
      </w:r>
    </w:p>
    <w:p>
      <w:pPr>
        <w:spacing w:after="0" w:line="80" w:lineRule="exact"/>
        <w:rPr>
          <w:sz w:val="20"/>
          <w:szCs w:val="20"/>
          <w:color w:val="auto"/>
        </w:rPr>
      </w:pPr>
    </w:p>
    <w:p>
      <w:pPr>
        <w:ind w:left="1660" w:hanging="418"/>
        <w:spacing w:after="0"/>
        <w:tabs>
          <w:tab w:leader="none" w:pos="1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following aggregate cash amount paid in a lump sum:</w:t>
      </w:r>
    </w:p>
    <w:p>
      <w:pPr>
        <w:spacing w:after="0" w:line="111" w:lineRule="exact"/>
        <w:rPr>
          <w:rFonts w:ascii="Arial" w:cs="Arial" w:eastAsia="Arial" w:hAnsi="Arial"/>
          <w:sz w:val="17"/>
          <w:szCs w:val="17"/>
          <w:color w:val="auto"/>
        </w:rPr>
      </w:pPr>
    </w:p>
    <w:p>
      <w:pPr>
        <w:ind w:left="2060" w:right="260" w:hanging="410"/>
        <w:spacing w:after="0" w:line="270" w:lineRule="auto"/>
        <w:tabs>
          <w:tab w:leader="none" w:pos="2060" w:val="left"/>
        </w:tabs>
        <w:numPr>
          <w:ilvl w:val="1"/>
          <w:numId w:val="80"/>
        </w:numPr>
        <w:rPr>
          <w:rFonts w:ascii="Arial" w:cs="Arial" w:eastAsia="Arial" w:hAnsi="Arial"/>
          <w:sz w:val="17"/>
          <w:szCs w:val="17"/>
          <w:color w:val="auto"/>
        </w:rPr>
      </w:pPr>
      <w:r>
        <w:rPr>
          <w:rFonts w:ascii="Arial" w:cs="Arial" w:eastAsia="Arial" w:hAnsi="Arial"/>
          <w:sz w:val="17"/>
          <w:szCs w:val="17"/>
          <w:color w:val="auto"/>
        </w:rPr>
        <w:t>In the case of a Tier 1 Covered Employee, the sum of 18 months of annualized base pay and 1.5 times his or her target bonus (as defined in the Severance Plan);</w:t>
      </w:r>
    </w:p>
    <w:p>
      <w:pPr>
        <w:spacing w:after="0" w:line="58" w:lineRule="exact"/>
        <w:rPr>
          <w:rFonts w:ascii="Arial" w:cs="Arial" w:eastAsia="Arial" w:hAnsi="Arial"/>
          <w:sz w:val="17"/>
          <w:szCs w:val="17"/>
          <w:color w:val="auto"/>
        </w:rPr>
      </w:pPr>
    </w:p>
    <w:p>
      <w:pPr>
        <w:ind w:left="2060" w:right="260" w:hanging="410"/>
        <w:spacing w:after="0" w:line="270" w:lineRule="auto"/>
        <w:tabs>
          <w:tab w:leader="none" w:pos="2060" w:val="left"/>
        </w:tabs>
        <w:numPr>
          <w:ilvl w:val="1"/>
          <w:numId w:val="80"/>
        </w:numPr>
        <w:rPr>
          <w:rFonts w:ascii="Arial" w:cs="Arial" w:eastAsia="Arial" w:hAnsi="Arial"/>
          <w:sz w:val="17"/>
          <w:szCs w:val="17"/>
          <w:color w:val="auto"/>
        </w:rPr>
      </w:pPr>
      <w:r>
        <w:rPr>
          <w:rFonts w:ascii="Arial" w:cs="Arial" w:eastAsia="Arial" w:hAnsi="Arial"/>
          <w:sz w:val="17"/>
          <w:szCs w:val="17"/>
          <w:color w:val="auto"/>
        </w:rPr>
        <w:t>In the case of a Tier 2 Covered Employee, the sum of 12 months of annualized base pay and 1.0 times his or her target bonus; and</w:t>
      </w:r>
    </w:p>
    <w:p>
      <w:pPr>
        <w:spacing w:after="0" w:line="58" w:lineRule="exact"/>
        <w:rPr>
          <w:rFonts w:ascii="Arial" w:cs="Arial" w:eastAsia="Arial" w:hAnsi="Arial"/>
          <w:sz w:val="17"/>
          <w:szCs w:val="17"/>
          <w:color w:val="auto"/>
        </w:rPr>
      </w:pPr>
    </w:p>
    <w:p>
      <w:pPr>
        <w:ind w:left="2060" w:right="260" w:hanging="410"/>
        <w:spacing w:after="0" w:line="270" w:lineRule="auto"/>
        <w:tabs>
          <w:tab w:leader="none" w:pos="2060" w:val="left"/>
        </w:tabs>
        <w:numPr>
          <w:ilvl w:val="1"/>
          <w:numId w:val="80"/>
        </w:numPr>
        <w:rPr>
          <w:rFonts w:ascii="Arial" w:cs="Arial" w:eastAsia="Arial" w:hAnsi="Arial"/>
          <w:sz w:val="17"/>
          <w:szCs w:val="17"/>
          <w:color w:val="auto"/>
        </w:rPr>
      </w:pPr>
      <w:r>
        <w:rPr>
          <w:rFonts w:ascii="Arial" w:cs="Arial" w:eastAsia="Arial" w:hAnsi="Arial"/>
          <w:sz w:val="17"/>
          <w:szCs w:val="17"/>
          <w:color w:val="auto"/>
        </w:rPr>
        <w:t>In the case of a Tier 3 Covered Employee, the sum of 9 months of annualized base pay and 0.75 times his or her target bonus.</w:t>
      </w:r>
    </w:p>
    <w:p>
      <w:pPr>
        <w:spacing w:after="0" w:line="58" w:lineRule="exact"/>
        <w:rPr>
          <w:rFonts w:ascii="Arial" w:cs="Arial" w:eastAsia="Arial" w:hAnsi="Arial"/>
          <w:sz w:val="17"/>
          <w:szCs w:val="17"/>
          <w:color w:val="auto"/>
        </w:rPr>
      </w:pPr>
    </w:p>
    <w:p>
      <w:pPr>
        <w:ind w:left="1660" w:right="420" w:hanging="418"/>
        <w:spacing w:after="0" w:line="270" w:lineRule="auto"/>
        <w:tabs>
          <w:tab w:leader="none" w:pos="1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Company-paid COBRA coverage for 18 months, 12 months, or 9 months following termination in the case of a Tier 1 Covered Employee, a Tier 2 Covered Employee, or a Tier 3 Covered Employee, respectively.</w:t>
      </w:r>
    </w:p>
    <w:p>
      <w:pPr>
        <w:spacing w:after="0" w:line="58" w:lineRule="exact"/>
        <w:rPr>
          <w:rFonts w:ascii="Arial" w:cs="Arial" w:eastAsia="Arial" w:hAnsi="Arial"/>
          <w:sz w:val="17"/>
          <w:szCs w:val="17"/>
          <w:color w:val="auto"/>
        </w:rPr>
      </w:pPr>
    </w:p>
    <w:p>
      <w:pPr>
        <w:ind w:left="1660" w:right="60" w:hanging="418"/>
        <w:spacing w:after="0" w:line="247" w:lineRule="auto"/>
        <w:tabs>
          <w:tab w:leader="none" w:pos="1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100% accelerated vesting of the Covered Employee’s time-based equity compensation awards; provided, that any performance-based equity compensation awards will vest assuming “target” level of performance, unless the terms of the applicable equity compensation award agreement provide otherwise, in which case the applicable equity compensation award agreement will govern.</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For purposes of the Severance Plan:</w:t>
      </w:r>
    </w:p>
    <w:p>
      <w:pPr>
        <w:spacing w:after="0" w:line="98" w:lineRule="exact"/>
        <w:rPr>
          <w:sz w:val="20"/>
          <w:szCs w:val="20"/>
          <w:color w:val="auto"/>
        </w:rPr>
      </w:pPr>
    </w:p>
    <w:p>
      <w:pPr>
        <w:ind w:left="420" w:firstLine="521"/>
        <w:spacing w:after="0" w:line="238" w:lineRule="auto"/>
        <w:rPr>
          <w:sz w:val="20"/>
          <w:szCs w:val="20"/>
          <w:color w:val="auto"/>
        </w:rPr>
      </w:pPr>
      <w:r>
        <w:rPr>
          <w:rFonts w:ascii="Arial" w:cs="Arial" w:eastAsia="Arial" w:hAnsi="Arial"/>
          <w:sz w:val="17"/>
          <w:szCs w:val="17"/>
          <w:color w:val="auto"/>
        </w:rPr>
        <w:t>“Cause” means, unless otherwise defined in a Covered Employee’s participation agreement, any of the following: (i) the Covered Employee’s commission of an act of fraud, embezzlement or dishonesty, or the commission of some other illegal act by the Covered Employee, that has a demonstrable adverse impact on the Company or any successor or affiliate thereof; (ii) the Covered Employee’s conviction of, or plea of “guilty” or “no contest” to, a felony or any crime involving fraud, dishonesty or moral turpitude under the laws of the United States or any state thereof; (iii) any intentional, unauthorized use or disclosure by the Covered Employee of confidential information or trade secrets of the Company or any successor or affiliate thereof; (iv) the Covered Employee’s gross negligence, insubordination or material violation of any duty of loyalty to the Company or any successor or affiliate thereof, or any other demonstrable material misconduct on the Covered Employee’s part; (v) the Covered Employee’s ongoing and repeated failure or refusal to perform or neglect of the Covered Employee’s duties as required by any offer or employment letter with the Company or the Covered Employee’s ongoing and repeated failure or refusal to comply with the lawful instructions given to him or her by the CEO or, with respect to the CEO, the board of directors, which failure, refusal or neglect continues for 15 days following receipt of written notice from the board of directors stating with specificity the nature of such failure, refusal or neglect; or (vi) the Covered Employee’s willful, material breach of any Company policy or any material provision of any offer or</w:t>
      </w:r>
    </w:p>
    <w:p>
      <w:pPr>
        <w:spacing w:after="0" w:line="11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180</w:t>
      </w:r>
    </w:p>
    <w:p>
      <w:pPr>
        <w:sectPr>
          <w:pgSz w:w="11900" w:h="16838" w:orient="portrait"/>
          <w:cols w:equalWidth="0" w:num="1">
            <w:col w:w="10820"/>
          </w:cols>
          <w:pgMar w:left="320" w:top="439" w:right="7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80"/>
        <w:spacing w:after="0" w:line="244" w:lineRule="auto"/>
        <w:rPr>
          <w:sz w:val="20"/>
          <w:szCs w:val="20"/>
          <w:color w:val="auto"/>
        </w:rPr>
      </w:pPr>
      <w:r>
        <w:rPr>
          <w:rFonts w:ascii="Arial" w:cs="Arial" w:eastAsia="Arial" w:hAnsi="Arial"/>
          <w:sz w:val="17"/>
          <w:szCs w:val="17"/>
          <w:color w:val="auto"/>
        </w:rPr>
        <w:t>employment letter or any confidential information agreement, proprietary information and inventions agreement. Prior to the determination that “Cause” under clauses (iv), (v) or (vi) has occurred, the Company shall (A) provide to the Covered Employee in writing, in reasonable detail, the reasons for the determination that such “Cause” exists, (B) afford the Covered Employee a reasonable opportunity to remedy any such conditions, if capable of being cured, (C) provide the Covered Employee an opportunity to be heard prior to the final decision to terminate his or her employment hereunder for such “Cause” and (D) make any decision that such “Cause” exists in good faith.</w:t>
      </w:r>
    </w:p>
    <w:p>
      <w:pPr>
        <w:spacing w:after="0" w:line="169" w:lineRule="exact"/>
        <w:rPr>
          <w:sz w:val="20"/>
          <w:szCs w:val="20"/>
          <w:color w:val="auto"/>
        </w:rPr>
      </w:pPr>
    </w:p>
    <w:p>
      <w:pPr>
        <w:ind w:left="940"/>
        <w:spacing w:after="0"/>
        <w:rPr>
          <w:sz w:val="20"/>
          <w:szCs w:val="20"/>
          <w:color w:val="auto"/>
        </w:rPr>
      </w:pPr>
      <w:r>
        <w:rPr>
          <w:rFonts w:ascii="Arial" w:cs="Arial" w:eastAsia="Arial" w:hAnsi="Arial"/>
          <w:sz w:val="17"/>
          <w:szCs w:val="17"/>
          <w:color w:val="auto"/>
        </w:rPr>
        <w:t>“Change in Control” has the same meaning as set forth in the Company’s 2024 Incentive Award Plan, as described below.</w:t>
      </w:r>
    </w:p>
    <w:p>
      <w:pPr>
        <w:spacing w:after="0" w:line="201" w:lineRule="exact"/>
        <w:rPr>
          <w:sz w:val="20"/>
          <w:szCs w:val="20"/>
          <w:color w:val="auto"/>
        </w:rPr>
      </w:pPr>
    </w:p>
    <w:p>
      <w:pPr>
        <w:ind w:left="420" w:firstLine="521"/>
        <w:spacing w:after="0" w:line="238" w:lineRule="auto"/>
        <w:rPr>
          <w:sz w:val="20"/>
          <w:szCs w:val="20"/>
          <w:color w:val="auto"/>
        </w:rPr>
      </w:pPr>
      <w:r>
        <w:rPr>
          <w:rFonts w:ascii="Arial" w:cs="Arial" w:eastAsia="Arial" w:hAnsi="Arial"/>
          <w:sz w:val="17"/>
          <w:szCs w:val="17"/>
          <w:color w:val="auto"/>
        </w:rPr>
        <w:t>“Good Reason” means, unless otherwise defined in a Covered Employee’s Participation Agreement, the occurrence of any of the following events or conditions without a Covered Employee’s written consent: (i) a material diminution in the Covered Employee’s authority, duties or responsibilities; (ii) a material diminution in the Covered Employee’s base compensation, unless such a reduction is imposed across-the-board to all senior management of the Company; (iii) a material change in the geographic location at which the Covered Employee must perform his or her duties from the location that was designated as the Covered Employee’s primary location immediately prior to such change (and he or she and the Company agree that a change of more than thirty-five (35) miles shall be material for this purpose); or (iv) any other action or inaction that constitutes a material breach by the Company or any successor or affiliate of its obligations to the Covered Employee under any agreement between the Covered Employee and the Company or any of its affiliates. The Covered Employee must provide written notice to the Company of the occurrence of any of the foregoing events or conditions without his or her written consent within sixty (60) days of the occurrence of such event. The Company or any successor or affiliate shall have a period of thirty (30) days to cure such event or condition after receipt of written notice of such event. The Covered Employee’s termination of employment by reason of resignation from employment with the Company for Good Reason must occur within thirty (30) days following the expiration of the foregoing thirty (30)-day cure period.</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Health and Welfare Benefits; Perquisites</w:t>
      </w:r>
    </w:p>
    <w:p>
      <w:pPr>
        <w:spacing w:after="0" w:line="201" w:lineRule="exact"/>
        <w:rPr>
          <w:sz w:val="20"/>
          <w:szCs w:val="20"/>
          <w:color w:val="auto"/>
        </w:rPr>
      </w:pPr>
    </w:p>
    <w:p>
      <w:pPr>
        <w:ind w:left="420" w:right="20" w:firstLine="521"/>
        <w:spacing w:after="0" w:line="247" w:lineRule="auto"/>
        <w:rPr>
          <w:sz w:val="20"/>
          <w:szCs w:val="20"/>
          <w:color w:val="auto"/>
        </w:rPr>
      </w:pPr>
      <w:r>
        <w:rPr>
          <w:rFonts w:ascii="Arial" w:cs="Arial" w:eastAsia="Arial" w:hAnsi="Arial"/>
          <w:sz w:val="17"/>
          <w:szCs w:val="17"/>
          <w:color w:val="auto"/>
        </w:rPr>
        <w:t>All of our current named executive officers are eligible to participate in our employee benefit plans, including our medical, dental, vision, disability, and life insurance plans, in each case on the same basis as all of our other employees. We generally do not provide perquisites or personal benefits to our named executive officers, except in limited circumstances. Our board of directors may elect to adopt qualified or non-qualified benefit plans in the future if it determines that doing so is in our best interests.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401(k) Plan</w:t>
      </w:r>
    </w:p>
    <w:p>
      <w:pPr>
        <w:spacing w:after="0" w:line="201" w:lineRule="exact"/>
        <w:rPr>
          <w:sz w:val="20"/>
          <w:szCs w:val="20"/>
          <w:color w:val="auto"/>
        </w:rPr>
      </w:pPr>
    </w:p>
    <w:p>
      <w:pPr>
        <w:ind w:left="420" w:right="120" w:firstLine="521"/>
        <w:spacing w:after="0" w:line="239" w:lineRule="auto"/>
        <w:rPr>
          <w:sz w:val="20"/>
          <w:szCs w:val="20"/>
          <w:color w:val="auto"/>
        </w:rPr>
      </w:pPr>
      <w:r>
        <w:rPr>
          <w:rFonts w:ascii="Arial" w:cs="Arial" w:eastAsia="Arial" w:hAnsi="Arial"/>
          <w:sz w:val="17"/>
          <w:szCs w:val="17"/>
          <w:color w:val="auto"/>
        </w:rPr>
        <w:t>Our named executive officers are eligible to participate in a defined contribution retirement plan that provides eligible employees with an opportunity to save for retirement on a tax advantaged basis. Eligible employees may defer eligible compensation on a pre-tax or after-tax (Roth) basis, up to the statutorily prescribed annual limits on contributions under the Code. Contributions are allocated to each participant’s individual account and are then invested in selected investment alternatives according to the participants’ directions. The 401(k) plan is intended to be qualified under Section 401(a) of the Code with the 401(k) plan’s related trust intended to be tax exempt under Section 501(a) of the Code. As a tax-qualified retirement plan, contributions to the 401(k) plan (except for Roth contributions) and earnings on those contributions are not taxable to the employees until distributed from the 401(k) plan. Under the 401(k) plan, we provide matching contributions equal to 25% of the first 4% of eligible compensation deferred by our employees, not to exceed 1% of an employee’s eligible compensation. Our board of directors may elect to adopt qualified or nonqualified retirement plans in the future, if it determines that doing so is in our best interests.</w:t>
      </w:r>
    </w:p>
    <w:p>
      <w:pPr>
        <w:spacing w:after="0" w:line="11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181</w:t>
      </w:r>
    </w:p>
    <w:p>
      <w:pPr>
        <w:sectPr>
          <w:pgSz w:w="11900" w:h="16838" w:orient="portrait"/>
          <w:cols w:equalWidth="0" w:num="1">
            <w:col w:w="10840"/>
          </w:cols>
          <w:pgMar w:left="320" w:top="439" w:right="7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Clawback Policy</w:t>
      </w:r>
    </w:p>
    <w:p>
      <w:pPr>
        <w:spacing w:after="0" w:line="201" w:lineRule="exact"/>
        <w:rPr>
          <w:sz w:val="20"/>
          <w:szCs w:val="20"/>
          <w:color w:val="auto"/>
        </w:rPr>
      </w:pPr>
    </w:p>
    <w:p>
      <w:pPr>
        <w:ind w:left="420" w:right="180" w:firstLine="521"/>
        <w:spacing w:after="0" w:line="270" w:lineRule="auto"/>
        <w:rPr>
          <w:sz w:val="20"/>
          <w:szCs w:val="20"/>
          <w:color w:val="auto"/>
        </w:rPr>
      </w:pPr>
      <w:r>
        <w:rPr>
          <w:rFonts w:ascii="Arial" w:cs="Arial" w:eastAsia="Arial" w:hAnsi="Arial"/>
          <w:sz w:val="17"/>
          <w:szCs w:val="17"/>
          <w:color w:val="auto"/>
        </w:rPr>
        <w:t>In connection with this offering, we have adopted a compensation recovery policy that is compliant with the Nasdaq Listing Rules, as required by the Dodd-Frank Act, to be effective upon the consummation of this offering.</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Equity Incentive Plans</w:t>
      </w:r>
    </w:p>
    <w:p>
      <w:pPr>
        <w:spacing w:after="0" w:line="201" w:lineRule="exact"/>
        <w:rPr>
          <w:sz w:val="20"/>
          <w:szCs w:val="20"/>
          <w:color w:val="auto"/>
        </w:rPr>
      </w:pPr>
    </w:p>
    <w:p>
      <w:pPr>
        <w:ind w:left="420" w:right="220" w:firstLine="521"/>
        <w:spacing w:after="0" w:line="252" w:lineRule="auto"/>
        <w:rPr>
          <w:sz w:val="20"/>
          <w:szCs w:val="20"/>
          <w:color w:val="auto"/>
        </w:rPr>
      </w:pPr>
      <w:r>
        <w:rPr>
          <w:rFonts w:ascii="Arial" w:cs="Arial" w:eastAsia="Arial" w:hAnsi="Arial"/>
          <w:sz w:val="17"/>
          <w:szCs w:val="17"/>
          <w:color w:val="auto"/>
        </w:rPr>
        <w:t>The principal features of our equity incentive plans are summarized below. These summaries are qualified in their entirety by reference to the actual text of the applicable plan, each of which is or will be filed as an exhibit to the registration statement of which this prospectus is a part.</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2024 Incentive Award Plan</w:t>
      </w:r>
    </w:p>
    <w:p>
      <w:pPr>
        <w:spacing w:after="0" w:line="98" w:lineRule="exact"/>
        <w:rPr>
          <w:sz w:val="20"/>
          <w:szCs w:val="20"/>
          <w:color w:val="auto"/>
        </w:rPr>
      </w:pPr>
    </w:p>
    <w:p>
      <w:pPr>
        <w:ind w:left="420" w:right="60" w:firstLine="521"/>
        <w:spacing w:after="0" w:line="247" w:lineRule="auto"/>
        <w:rPr>
          <w:sz w:val="20"/>
          <w:szCs w:val="20"/>
          <w:color w:val="auto"/>
        </w:rPr>
      </w:pPr>
      <w:r>
        <w:rPr>
          <w:rFonts w:ascii="Arial" w:cs="Arial" w:eastAsia="Arial" w:hAnsi="Arial"/>
          <w:sz w:val="17"/>
          <w:szCs w:val="17"/>
          <w:color w:val="auto"/>
        </w:rPr>
        <w:t>In connection with this offering, our board of directors has adopted and our stockholders have approved the Boundless Bio, Inc. 2024 Incentive Award Plan (2024 Plan), which will become effective in connection with this offering. Under the 2024 Plan, we may grant cash and equity incentive awards to eligible service providers in order to attract, motivate, and retain the talent for which we compete. The material terms of the 2024 Plan are summarized below.</w:t>
      </w:r>
    </w:p>
    <w:p>
      <w:pPr>
        <w:spacing w:after="0" w:line="166" w:lineRule="exact"/>
        <w:rPr>
          <w:sz w:val="20"/>
          <w:szCs w:val="20"/>
          <w:color w:val="auto"/>
        </w:rPr>
      </w:pPr>
    </w:p>
    <w:p>
      <w:pPr>
        <w:ind w:left="420" w:right="40" w:firstLine="521"/>
        <w:spacing w:after="0" w:line="239" w:lineRule="auto"/>
        <w:rPr>
          <w:sz w:val="20"/>
          <w:szCs w:val="20"/>
          <w:color w:val="auto"/>
        </w:rPr>
      </w:pPr>
      <w:r>
        <w:rPr>
          <w:rFonts w:ascii="Arial" w:cs="Arial" w:eastAsia="Arial" w:hAnsi="Arial"/>
          <w:sz w:val="17"/>
          <w:szCs w:val="17"/>
          <w:i w:val="1"/>
          <w:iCs w:val="1"/>
          <w:color w:val="auto"/>
        </w:rPr>
        <w:t xml:space="preserve">Eligibility and administration. </w:t>
      </w:r>
      <w:r>
        <w:rPr>
          <w:rFonts w:ascii="Arial" w:cs="Arial" w:eastAsia="Arial" w:hAnsi="Arial"/>
          <w:sz w:val="17"/>
          <w:szCs w:val="17"/>
          <w:color w:val="auto"/>
        </w:rPr>
        <w:t>Our employees, consultants, and directors, and employees and consultants of our subsidiaries,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eligible to receive awards under the 2024 Plan. Following this offering, the 2024 Plan will generally be administered by our board of directors with respect to awards to non-employee directors and by our compensation committee with respect to other participants, each of which may delegate its duties and responsibilities to committees of our directors and/or officers (referred to collectively as the plan administrator below), subject to certain limitations that may be imposed under the 2024 Plan, Section 16 of the Exchange Act and/or stock exchange rules, as applicable. The plan administrator will have the authority to make all determinations and interpretations under, prescribe all forms for use with, and adopt rules for the administration of, the 2024 Plan, subject to its express terms and conditions. The plan administrator will also set the terms and conditions of all awards under the 2024 Plan, including any vesting and vesting acceleration conditions.</w:t>
      </w:r>
    </w:p>
    <w:p>
      <w:pPr>
        <w:spacing w:after="0" w:line="177" w:lineRule="exact"/>
        <w:rPr>
          <w:sz w:val="20"/>
          <w:szCs w:val="20"/>
          <w:color w:val="auto"/>
        </w:rPr>
      </w:pPr>
    </w:p>
    <w:p>
      <w:pPr>
        <w:ind w:left="420" w:firstLine="521"/>
        <w:spacing w:after="0" w:line="238" w:lineRule="auto"/>
        <w:rPr>
          <w:sz w:val="20"/>
          <w:szCs w:val="20"/>
          <w:color w:val="auto"/>
        </w:rPr>
      </w:pPr>
      <w:r>
        <w:rPr>
          <w:rFonts w:ascii="Arial" w:cs="Arial" w:eastAsia="Arial" w:hAnsi="Arial"/>
          <w:sz w:val="17"/>
          <w:szCs w:val="17"/>
          <w:i w:val="1"/>
          <w:iCs w:val="1"/>
          <w:color w:val="auto"/>
        </w:rPr>
        <w:t xml:space="preserve">Limitation on awards and shares available. </w:t>
      </w:r>
      <w:r>
        <w:rPr>
          <w:rFonts w:ascii="Arial" w:cs="Arial" w:eastAsia="Arial" w:hAnsi="Arial"/>
          <w:sz w:val="17"/>
          <w:szCs w:val="17"/>
          <w:color w:val="auto"/>
        </w:rPr>
        <w:t>The number of shares initially available for issuance under awards granted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2024 Plan will be the sum of (i) a number of shares equal to 12% of the shares of our common stock to be outstanding after this offering (on an as-converted basis and after giving effect to the number of shares of common stock to be sold in this offering and assuming the exercise in full of the underwriters’ options to purchase additional shares), plus (ii) any shares of our common stock which, as of the effective date of the 2024 Plan, remain available for issuance under the 2018 Plan, plus (iii) any shares subject to outstanding awards under the 2018 Plan as of the effective date of the 2024 Plan that become available for issuance under the 2024 Plan thereafter in accordance with its terms. The number of shares initially available for issuance will be increased on January 1 of each calendar year beginning on and including January 1, 2025 and ending on and including January 1, 2034, by an amount equal to the lesser of (a) 5% of the shares of common stock outstanding on the final day of the immediately preceding calendar year, or (b) such smaller number of shares as determined by our board of directors. No more than 200,000,000 shares of common stock may be issued upon the exercise of incentive stock options under the 2024 Plan. Shares issued under the 2024 Plan may be authorized but unissued shares, shares purchased on the open market or treasury shares.</w:t>
      </w:r>
    </w:p>
    <w:p>
      <w:pPr>
        <w:spacing w:after="0" w:line="178" w:lineRule="exact"/>
        <w:rPr>
          <w:sz w:val="20"/>
          <w:szCs w:val="20"/>
          <w:color w:val="auto"/>
        </w:rPr>
      </w:pPr>
    </w:p>
    <w:p>
      <w:pPr>
        <w:ind w:left="420" w:right="120" w:firstLine="521"/>
        <w:spacing w:after="0" w:line="252" w:lineRule="auto"/>
        <w:rPr>
          <w:sz w:val="20"/>
          <w:szCs w:val="20"/>
          <w:color w:val="auto"/>
        </w:rPr>
      </w:pPr>
      <w:r>
        <w:rPr>
          <w:rFonts w:ascii="Arial" w:cs="Arial" w:eastAsia="Arial" w:hAnsi="Arial"/>
          <w:sz w:val="17"/>
          <w:szCs w:val="17"/>
          <w:color w:val="auto"/>
        </w:rPr>
        <w:t>If an award under the 2024 Plan or the 2018 Plan expires, lapses, or is terminated, exchanged for, or settled in cash, surrendered, repurchased, cancelled without having been fully exercised or forfeited, in any case, in a manner that results in us acquiring shares covered by the award at a price</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182</w:t>
      </w:r>
    </w:p>
    <w:p>
      <w:pPr>
        <w:sectPr>
          <w:pgSz w:w="11900" w:h="16838" w:orient="portrait"/>
          <w:cols w:equalWidth="0" w:num="1">
            <w:col w:w="10840"/>
          </w:cols>
          <w:pgMar w:left="320" w:top="439" w:right="7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40"/>
        <w:spacing w:after="0" w:line="247" w:lineRule="auto"/>
        <w:rPr>
          <w:sz w:val="20"/>
          <w:szCs w:val="20"/>
          <w:color w:val="auto"/>
        </w:rPr>
      </w:pPr>
      <w:r>
        <w:rPr>
          <w:rFonts w:ascii="Arial" w:cs="Arial" w:eastAsia="Arial" w:hAnsi="Arial"/>
          <w:sz w:val="17"/>
          <w:szCs w:val="17"/>
          <w:color w:val="auto"/>
        </w:rPr>
        <w:t>not greater than the price paid by the participant for such shares or not issuing any shares covered by the award, any shares subject to such award will, as applicable, become or again be available for new grants under the 2024 Plan. Awards granted under the 2024 Plan upon the assumption of, or in substitution for, awards authorized or outstanding under a qualifying equity plan maintained by an entity with which we enter into a merger or similar corporate transaction will not reduce the shares available for grant under the 2024 Plan.</w:t>
      </w:r>
    </w:p>
    <w:p>
      <w:pPr>
        <w:spacing w:after="0" w:line="166" w:lineRule="exact"/>
        <w:rPr>
          <w:sz w:val="20"/>
          <w:szCs w:val="20"/>
          <w:color w:val="auto"/>
        </w:rPr>
      </w:pPr>
    </w:p>
    <w:p>
      <w:pPr>
        <w:ind w:left="420" w:firstLine="521"/>
        <w:spacing w:after="0"/>
        <w:rPr>
          <w:sz w:val="20"/>
          <w:szCs w:val="20"/>
          <w:color w:val="auto"/>
        </w:rPr>
      </w:pPr>
      <w:r>
        <w:rPr>
          <w:rFonts w:ascii="Arial" w:cs="Arial" w:eastAsia="Arial" w:hAnsi="Arial"/>
          <w:sz w:val="17"/>
          <w:szCs w:val="17"/>
          <w:i w:val="1"/>
          <w:iCs w:val="1"/>
          <w:color w:val="auto"/>
        </w:rPr>
        <w:t xml:space="preserve">Awards. </w:t>
      </w:r>
      <w:r>
        <w:rPr>
          <w:rFonts w:ascii="Arial" w:cs="Arial" w:eastAsia="Arial" w:hAnsi="Arial"/>
          <w:sz w:val="17"/>
          <w:szCs w:val="17"/>
          <w:color w:val="auto"/>
        </w:rPr>
        <w:t>The 2024 Plan provides for the grant of stock options, including incentive stock options, or ISOs within the meaning of</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422 of the Code, and nonqualified stock options, or NSOs; restricted stock; dividend equivalents; restricted stock units, or RSUs; stock appreciation rights, or SARs; and other stock or cash-based awards. Certain awards under the 2024 Plan may constitute or provide for a deferral of compensation, subject to Section 409A of the Code, which may impose additional requirements on the terms and conditions of such awards. All awards under the 2024 Plan will be set forth in award agreements, which will detail the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w:t>
      </w:r>
    </w:p>
    <w:p>
      <w:pPr>
        <w:spacing w:after="0" w:line="84" w:lineRule="exact"/>
        <w:rPr>
          <w:sz w:val="20"/>
          <w:szCs w:val="20"/>
          <w:color w:val="auto"/>
        </w:rPr>
      </w:pPr>
    </w:p>
    <w:p>
      <w:pPr>
        <w:ind w:left="1540" w:right="60" w:hanging="298"/>
        <w:spacing w:after="0" w:line="239" w:lineRule="auto"/>
        <w:tabs>
          <w:tab w:leader="none" w:pos="1540" w:val="left"/>
        </w:tabs>
        <w:numPr>
          <w:ilvl w:val="0"/>
          <w:numId w:val="81"/>
        </w:numPr>
        <w:rPr>
          <w:rFonts w:ascii="Arial" w:cs="Arial" w:eastAsia="Arial" w:hAnsi="Arial"/>
          <w:sz w:val="17"/>
          <w:szCs w:val="17"/>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Stock options provide for the purchase of shares of our common stock in the future at an exercise price set</w:t>
      </w:r>
      <w:r>
        <w:rPr>
          <w:rFonts w:ascii="Arial" w:cs="Arial" w:eastAsia="Arial" w:hAnsi="Arial"/>
          <w:sz w:val="17"/>
          <w:szCs w:val="17"/>
          <w:i w:val="1"/>
          <w:iCs w:val="1"/>
          <w:color w:val="auto"/>
        </w:rPr>
        <w:t xml:space="preserve"> </w:t>
      </w:r>
      <w:r>
        <w:rPr>
          <w:rFonts w:ascii="Arial" w:cs="Arial" w:eastAsia="Arial" w:hAnsi="Arial"/>
          <w:sz w:val="17"/>
          <w:szCs w:val="17"/>
          <w:color w:val="auto"/>
        </w:rPr>
        <w:t>on the grant date. ISOs, by contrast to NSOs, may provide tax deferral beyond exercise and favorable capital gains tax treatment to their holders if certain holding period and other requirements of the Code are satisfied. The exercise price of a stock option will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 Vesting conditions determined by the plan administrator may apply to stock options and may include continued service, performance, and/or other conditions. ISOs generally may be granted only to our employees and employees of our parent or subsidiary corporations, if any.</w:t>
      </w:r>
    </w:p>
    <w:p>
      <w:pPr>
        <w:spacing w:after="0" w:line="87" w:lineRule="exact"/>
        <w:rPr>
          <w:rFonts w:ascii="Arial" w:cs="Arial" w:eastAsia="Arial" w:hAnsi="Arial"/>
          <w:sz w:val="17"/>
          <w:szCs w:val="17"/>
          <w:color w:val="auto"/>
        </w:rPr>
      </w:pPr>
    </w:p>
    <w:p>
      <w:pPr>
        <w:ind w:left="1540" w:right="40" w:hanging="298"/>
        <w:spacing w:after="0" w:line="242" w:lineRule="auto"/>
        <w:tabs>
          <w:tab w:leader="none" w:pos="1540" w:val="left"/>
        </w:tabs>
        <w:numPr>
          <w:ilvl w:val="0"/>
          <w:numId w:val="81"/>
        </w:numPr>
        <w:rPr>
          <w:rFonts w:ascii="Arial" w:cs="Arial" w:eastAsia="Arial" w:hAnsi="Arial"/>
          <w:sz w:val="17"/>
          <w:szCs w:val="17"/>
          <w:color w:val="auto"/>
        </w:rPr>
      </w:pPr>
      <w:r>
        <w:rPr>
          <w:rFonts w:ascii="Arial" w:cs="Arial" w:eastAsia="Arial" w:hAnsi="Arial"/>
          <w:sz w:val="17"/>
          <w:szCs w:val="17"/>
          <w:i w:val="1"/>
          <w:iCs w:val="1"/>
          <w:color w:val="auto"/>
        </w:rPr>
        <w:t xml:space="preserve">SARs. </w:t>
      </w:r>
      <w:r>
        <w:rPr>
          <w:rFonts w:ascii="Arial" w:cs="Arial" w:eastAsia="Arial" w:hAnsi="Arial"/>
          <w:sz w:val="17"/>
          <w:szCs w:val="17"/>
          <w:color w:val="auto"/>
        </w:rPr>
        <w:t>SARs entitle their holder, upon exercise, to receive from us an amount equal to the appreciation of the shares</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 award between the grant date and the exercise date. The exercise price of a SAR will not be less than 100% of the fair market value of the underlying share on the date of grant (except with respect to certain substitute SARs granted in connection with a corporate transaction), and the term of a SAR may not be longer than ten years. Vesting conditions determined by the plan administrator may apply to SARs and may include continued service, performance and/or other conditions.</w:t>
      </w:r>
    </w:p>
    <w:p>
      <w:pPr>
        <w:spacing w:after="0" w:line="82" w:lineRule="exact"/>
        <w:rPr>
          <w:rFonts w:ascii="Arial" w:cs="Arial" w:eastAsia="Arial" w:hAnsi="Arial"/>
          <w:sz w:val="17"/>
          <w:szCs w:val="17"/>
          <w:color w:val="auto"/>
        </w:rPr>
      </w:pPr>
    </w:p>
    <w:p>
      <w:pPr>
        <w:ind w:left="1540" w:right="20" w:hanging="298"/>
        <w:spacing w:after="0" w:line="241" w:lineRule="auto"/>
        <w:tabs>
          <w:tab w:leader="none" w:pos="1540" w:val="left"/>
        </w:tabs>
        <w:numPr>
          <w:ilvl w:val="0"/>
          <w:numId w:val="81"/>
        </w:numPr>
        <w:rPr>
          <w:rFonts w:ascii="Arial" w:cs="Arial" w:eastAsia="Arial" w:hAnsi="Arial"/>
          <w:sz w:val="17"/>
          <w:szCs w:val="17"/>
          <w:color w:val="auto"/>
        </w:rPr>
      </w:pPr>
      <w:r>
        <w:rPr>
          <w:rFonts w:ascii="Arial" w:cs="Arial" w:eastAsia="Arial" w:hAnsi="Arial"/>
          <w:sz w:val="17"/>
          <w:szCs w:val="17"/>
          <w:i w:val="1"/>
          <w:iCs w:val="1"/>
          <w:color w:val="auto"/>
        </w:rPr>
        <w:t xml:space="preserve">Restricted stock and RSUs. </w:t>
      </w:r>
      <w:r>
        <w:rPr>
          <w:rFonts w:ascii="Arial" w:cs="Arial" w:eastAsia="Arial" w:hAnsi="Arial"/>
          <w:sz w:val="17"/>
          <w:szCs w:val="17"/>
          <w:color w:val="auto"/>
        </w:rPr>
        <w:t>Restricted stock is an award of nontransferable shares of our common stock that remain</w:t>
      </w:r>
      <w:r>
        <w:rPr>
          <w:rFonts w:ascii="Arial" w:cs="Arial" w:eastAsia="Arial" w:hAnsi="Arial"/>
          <w:sz w:val="17"/>
          <w:szCs w:val="17"/>
          <w:i w:val="1"/>
          <w:iCs w:val="1"/>
          <w:color w:val="auto"/>
        </w:rPr>
        <w:t xml:space="preserve"> </w:t>
      </w:r>
      <w:r>
        <w:rPr>
          <w:rFonts w:ascii="Arial" w:cs="Arial" w:eastAsia="Arial" w:hAnsi="Arial"/>
          <w:sz w:val="17"/>
          <w:szCs w:val="17"/>
          <w:color w:val="auto"/>
        </w:rPr>
        <w:t>forfeitable unless and until specified conditions are met, and which may be subject to a purchase price. RSUs are contractual promises to deliver shares of our common stock in the future, which may also remain forfeitable unless and until specified conditions are met. Delivery of the shares underlying RSUs may be deferred under the terms of the award or at the election of the participant, if the plan administrator permits such a deferral. Conditions applicable to restricted stock and RSUs may be based on continuing service, the attainment of performance goals and/or such other conditions as the plan administrator may determine.</w:t>
      </w:r>
    </w:p>
    <w:p>
      <w:pPr>
        <w:spacing w:after="0" w:line="82" w:lineRule="exact"/>
        <w:rPr>
          <w:rFonts w:ascii="Arial" w:cs="Arial" w:eastAsia="Arial" w:hAnsi="Arial"/>
          <w:sz w:val="17"/>
          <w:szCs w:val="17"/>
          <w:color w:val="auto"/>
        </w:rPr>
      </w:pPr>
    </w:p>
    <w:p>
      <w:pPr>
        <w:ind w:left="1540" w:right="200" w:hanging="298"/>
        <w:spacing w:after="0" w:line="252" w:lineRule="auto"/>
        <w:tabs>
          <w:tab w:leader="none" w:pos="1540" w:val="left"/>
        </w:tabs>
        <w:numPr>
          <w:ilvl w:val="0"/>
          <w:numId w:val="81"/>
        </w:numPr>
        <w:rPr>
          <w:rFonts w:ascii="Arial" w:cs="Arial" w:eastAsia="Arial" w:hAnsi="Arial"/>
          <w:sz w:val="17"/>
          <w:szCs w:val="17"/>
          <w:color w:val="auto"/>
        </w:rPr>
      </w:pPr>
      <w:r>
        <w:rPr>
          <w:rFonts w:ascii="Arial" w:cs="Arial" w:eastAsia="Arial" w:hAnsi="Arial"/>
          <w:sz w:val="17"/>
          <w:szCs w:val="17"/>
          <w:i w:val="1"/>
          <w:iCs w:val="1"/>
          <w:color w:val="auto"/>
        </w:rPr>
        <w:t xml:space="preserve">Other stock or cash-based awards. </w:t>
      </w:r>
      <w:r>
        <w:rPr>
          <w:rFonts w:ascii="Arial" w:cs="Arial" w:eastAsia="Arial" w:hAnsi="Arial"/>
          <w:sz w:val="17"/>
          <w:szCs w:val="17"/>
          <w:color w:val="auto"/>
        </w:rPr>
        <w:t>Other stock or cash-based awards are awards of cash, fully vested shares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and other awards valued wholly or partially by referring to, or otherwise based on, shares of our common stock. Other stock or cash-based awards may be granted to participants and may also be available as a payment form</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183</w:t>
      </w:r>
    </w:p>
    <w:p>
      <w:pPr>
        <w:sectPr>
          <w:pgSz w:w="11900" w:h="16838" w:orient="portrait"/>
          <w:cols w:equalWidth="0" w:num="1">
            <w:col w:w="10820"/>
          </w:cols>
          <w:pgMar w:left="320" w:top="439" w:right="7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1540" w:right="180"/>
        <w:spacing w:after="0" w:line="247" w:lineRule="auto"/>
        <w:rPr>
          <w:sz w:val="20"/>
          <w:szCs w:val="20"/>
          <w:color w:val="auto"/>
        </w:rPr>
      </w:pPr>
      <w:r>
        <w:rPr>
          <w:rFonts w:ascii="Arial" w:cs="Arial" w:eastAsia="Arial" w:hAnsi="Arial"/>
          <w:sz w:val="17"/>
          <w:szCs w:val="17"/>
          <w:color w:val="auto"/>
        </w:rPr>
        <w:t>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cash-based awards, which may include vesting conditions based on continued service, performance and/or other conditions.</w:t>
      </w:r>
    </w:p>
    <w:p>
      <w:pPr>
        <w:spacing w:after="0" w:line="77" w:lineRule="exact"/>
        <w:rPr>
          <w:sz w:val="20"/>
          <w:szCs w:val="20"/>
          <w:color w:val="auto"/>
        </w:rPr>
      </w:pPr>
    </w:p>
    <w:p>
      <w:pPr>
        <w:ind w:left="1540" w:right="440" w:hanging="298"/>
        <w:spacing w:after="0" w:line="247" w:lineRule="auto"/>
        <w:tabs>
          <w:tab w:leader="none" w:pos="1540"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t xml:space="preserve">Dividend equivalents. </w:t>
      </w:r>
      <w:r>
        <w:rPr>
          <w:rFonts w:ascii="Arial" w:cs="Arial" w:eastAsia="Arial" w:hAnsi="Arial"/>
          <w:sz w:val="17"/>
          <w:szCs w:val="17"/>
          <w:color w:val="auto"/>
        </w:rPr>
        <w:t>RSUs or other stock and cash-based awards may be accompanied by the right to receive the</w:t>
      </w:r>
      <w:r>
        <w:rPr>
          <w:rFonts w:ascii="Arial" w:cs="Arial" w:eastAsia="Arial" w:hAnsi="Arial"/>
          <w:sz w:val="17"/>
          <w:szCs w:val="17"/>
          <w:i w:val="1"/>
          <w:iCs w:val="1"/>
          <w:color w:val="auto"/>
        </w:rPr>
        <w:t xml:space="preserve"> </w:t>
      </w:r>
      <w:r>
        <w:rPr>
          <w:rFonts w:ascii="Arial" w:cs="Arial" w:eastAsia="Arial" w:hAnsi="Arial"/>
          <w:sz w:val="17"/>
          <w:szCs w:val="17"/>
          <w:color w:val="auto"/>
        </w:rPr>
        <w:t>equivalent value of dividends paid on shares of our common stock prior to the delivery of the underlying shares. Such dividend equivalents will be paid out only to the extent that any vesting conditions are subsequently satisfied, unless otherwise determined by the plan administrator. No dividend equivalents will be payable on stock options or SARs.</w:t>
      </w:r>
    </w:p>
    <w:p>
      <w:pPr>
        <w:spacing w:after="0" w:line="166" w:lineRule="exact"/>
        <w:rPr>
          <w:sz w:val="20"/>
          <w:szCs w:val="20"/>
          <w:color w:val="auto"/>
        </w:rPr>
      </w:pPr>
    </w:p>
    <w:p>
      <w:pPr>
        <w:ind w:left="420" w:right="20" w:firstLine="521"/>
        <w:spacing w:after="0" w:line="237" w:lineRule="auto"/>
        <w:rPr>
          <w:sz w:val="20"/>
          <w:szCs w:val="20"/>
          <w:color w:val="auto"/>
        </w:rPr>
      </w:pPr>
      <w:r>
        <w:rPr>
          <w:rFonts w:ascii="Arial" w:cs="Arial" w:eastAsia="Arial" w:hAnsi="Arial"/>
          <w:sz w:val="17"/>
          <w:szCs w:val="17"/>
          <w:i w:val="1"/>
          <w:iCs w:val="1"/>
          <w:color w:val="auto"/>
        </w:rPr>
        <w:t>Performance awards</w:t>
      </w:r>
      <w:r>
        <w:rPr>
          <w:rFonts w:ascii="Arial" w:cs="Arial" w:eastAsia="Arial" w:hAnsi="Arial"/>
          <w:sz w:val="17"/>
          <w:szCs w:val="17"/>
          <w:color w:val="auto"/>
        </w:rPr>
        <w:t>. Performance awards include any of the foregoing awards that are granted subject to vesting and/or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the attainment of specified performance goals or other criteria the plan administrator may determine, which may or may not be objectively determinable. Performance criteria upon which performance goals are established by the plan administrator may include: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capital management (including diversity and inclusion);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our performance or the performance of a subsidiary, division, business segment, or business unit, or based upon performance relative to performance of other companies or upon comparisons of any of the indicators of performance relative to performance of other companies.</w:t>
      </w:r>
    </w:p>
    <w:p>
      <w:pPr>
        <w:spacing w:after="0" w:line="175" w:lineRule="exact"/>
        <w:rPr>
          <w:sz w:val="20"/>
          <w:szCs w:val="20"/>
          <w:color w:val="auto"/>
        </w:rPr>
      </w:pPr>
    </w:p>
    <w:p>
      <w:pPr>
        <w:ind w:left="420" w:firstLine="521"/>
        <w:spacing w:after="0"/>
        <w:rPr>
          <w:sz w:val="20"/>
          <w:szCs w:val="20"/>
          <w:color w:val="auto"/>
        </w:rPr>
      </w:pPr>
      <w:r>
        <w:rPr>
          <w:rFonts w:ascii="Arial" w:cs="Arial" w:eastAsia="Arial" w:hAnsi="Arial"/>
          <w:sz w:val="17"/>
          <w:szCs w:val="17"/>
          <w:i w:val="1"/>
          <w:iCs w:val="1"/>
          <w:color w:val="auto"/>
        </w:rPr>
        <w:t>Director compensation</w:t>
      </w:r>
      <w:r>
        <w:rPr>
          <w:rFonts w:ascii="Arial" w:cs="Arial" w:eastAsia="Arial" w:hAnsi="Arial"/>
          <w:sz w:val="17"/>
          <w:szCs w:val="17"/>
          <w:color w:val="auto"/>
        </w:rPr>
        <w:t>. The 2024 Plan provides that the plan administrator may establish compensation for non-employee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from time to time subject to the 2024 Plan’s limitations. In connection with this offering, we intend to adopt and ask our stockholders to approve the initial terms of our non-employee director compensation program, which is described in the subsection titled “Non-Employee Director Compensation” below. Our board of directors or its authorized committee may modify the non-employee director compensation program from time to time in its discretion and pursuant to the exercise of its business judgment, taking into account such factors, circumstances and considerations as it deems relevant from time to time, provided that the sum of any cash compensation or other compensation and the grant date fair value (as determined in accordance with FASB ASC 718, or any successor thereto) of any equity awards granted as compensation for services as a</w:t>
      </w:r>
    </w:p>
    <w:p>
      <w:pPr>
        <w:spacing w:after="0" w:line="11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184</w:t>
      </w:r>
    </w:p>
    <w:p>
      <w:pPr>
        <w:sectPr>
          <w:pgSz w:w="11900" w:h="16838" w:orient="portrait"/>
          <w:cols w:equalWidth="0" w:num="1">
            <w:col w:w="10820"/>
          </w:cols>
          <w:pgMar w:left="320" w:top="439" w:right="7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40"/>
        <w:spacing w:after="0" w:line="241" w:lineRule="auto"/>
        <w:rPr>
          <w:sz w:val="20"/>
          <w:szCs w:val="20"/>
          <w:color w:val="auto"/>
        </w:rPr>
      </w:pPr>
      <w:r>
        <w:rPr>
          <w:rFonts w:ascii="Arial" w:cs="Arial" w:eastAsia="Arial" w:hAnsi="Arial"/>
          <w:sz w:val="17"/>
          <w:szCs w:val="17"/>
          <w:color w:val="auto"/>
        </w:rPr>
        <w:t>non-employee director during any calendar year may not exceed $1,000,000, increased to $1,500,000 in the calendar year of a non-employee director’s initial service as a non-employee director or during which a non-employee director serves as chair of our board of directors or lead independent director (which limits will not apply to the compensation for any non-employee director who serves in any capacity in addition to that of a non-employee director for which he or she receives additional compensation or any compensation paid to any non-employee director prior to the calendar year following the calendar year in which this offering occurs). The plan administrator may make exceptions to this limit for individual non-employee directors in such circumstances as the plan administrator may determine in its discretion.</w:t>
      </w:r>
    </w:p>
    <w:p>
      <w:pPr>
        <w:spacing w:after="0" w:line="172" w:lineRule="exact"/>
        <w:rPr>
          <w:sz w:val="20"/>
          <w:szCs w:val="20"/>
          <w:color w:val="auto"/>
        </w:rPr>
      </w:pPr>
    </w:p>
    <w:p>
      <w:pPr>
        <w:ind w:left="420" w:right="60" w:firstLine="521"/>
        <w:spacing w:after="0" w:line="238" w:lineRule="auto"/>
        <w:rPr>
          <w:sz w:val="20"/>
          <w:szCs w:val="20"/>
          <w:color w:val="auto"/>
        </w:rPr>
      </w:pPr>
      <w:r>
        <w:rPr>
          <w:rFonts w:ascii="Arial" w:cs="Arial" w:eastAsia="Arial" w:hAnsi="Arial"/>
          <w:sz w:val="17"/>
          <w:szCs w:val="17"/>
          <w:i w:val="1"/>
          <w:iCs w:val="1"/>
          <w:color w:val="auto"/>
        </w:rPr>
        <w:t>Certain transactions</w:t>
      </w:r>
      <w:r>
        <w:rPr>
          <w:rFonts w:ascii="Arial" w:cs="Arial" w:eastAsia="Arial" w:hAnsi="Arial"/>
          <w:sz w:val="17"/>
          <w:szCs w:val="17"/>
          <w:color w:val="auto"/>
        </w:rPr>
        <w:t>. In connection with certain transactions and events affecting our common stock, including a change in control</w:t>
      </w:r>
      <w:r>
        <w:rPr>
          <w:rFonts w:ascii="Arial" w:cs="Arial" w:eastAsia="Arial" w:hAnsi="Arial"/>
          <w:sz w:val="17"/>
          <w:szCs w:val="17"/>
          <w:i w:val="1"/>
          <w:iCs w:val="1"/>
          <w:color w:val="auto"/>
        </w:rPr>
        <w:t xml:space="preserve"> </w:t>
      </w:r>
      <w:r>
        <w:rPr>
          <w:rFonts w:ascii="Arial" w:cs="Arial" w:eastAsia="Arial" w:hAnsi="Arial"/>
          <w:sz w:val="17"/>
          <w:szCs w:val="17"/>
          <w:color w:val="auto"/>
        </w:rPr>
        <w:t>(as defined below), or change in any applicable laws or accounting principles, the plan administrator has broad discretion to act under the 2024 Plan to prevent the dilution or enlargement of intended benefits, facilitate such transaction or event, or give effect to such change in applicable laws or accounting principles. This includes canceling awards in exchange for either an amount in cash or other property with a value equal to the amount that would have been obtained upon exercise or settlement of the vested portion of such award or realization of the participant’s rights under the vested portion of such award, accelerating the vesting of awards, providing for the assumption or substitution of awards by a successor entity, adjusting the number and type of shares available, replacing awards with other rights or property or terminating awards under the 2024 Plan. In the event of a change in control where the acquirer does not assume awards granted under the 2024 Plan, awards issued under the 2024 Plan will be subject to accelerated vesting such that 100% of the awards will become vested and exercisable or payable, as applicable. In addition, in the event of certain non-reciprocal transactions with our stockholders (an equity restructuring) the plan administrator will make equitable adjustments to the 2024 Plan and outstanding awards as it deems appropriate to reflect the equity restructuring.</w:t>
      </w:r>
    </w:p>
    <w:p>
      <w:pPr>
        <w:spacing w:after="0" w:line="178" w:lineRule="exact"/>
        <w:rPr>
          <w:sz w:val="20"/>
          <w:szCs w:val="20"/>
          <w:color w:val="auto"/>
        </w:rPr>
      </w:pPr>
    </w:p>
    <w:p>
      <w:pPr>
        <w:ind w:left="940"/>
        <w:spacing w:after="0"/>
        <w:rPr>
          <w:sz w:val="20"/>
          <w:szCs w:val="20"/>
          <w:color w:val="auto"/>
        </w:rPr>
      </w:pPr>
      <w:r>
        <w:rPr>
          <w:rFonts w:ascii="Arial" w:cs="Arial" w:eastAsia="Arial" w:hAnsi="Arial"/>
          <w:sz w:val="17"/>
          <w:szCs w:val="17"/>
          <w:color w:val="auto"/>
        </w:rPr>
        <w:t>For purposes of the 2024 Plan, a “change in control” means and includes each of the following:</w:t>
      </w:r>
    </w:p>
    <w:p>
      <w:pPr>
        <w:spacing w:after="0" w:line="111" w:lineRule="exact"/>
        <w:rPr>
          <w:sz w:val="20"/>
          <w:szCs w:val="20"/>
          <w:color w:val="auto"/>
        </w:rPr>
      </w:pPr>
    </w:p>
    <w:p>
      <w:pPr>
        <w:ind w:left="1540" w:hanging="298"/>
        <w:spacing w:after="0" w:line="242" w:lineRule="auto"/>
        <w:tabs>
          <w:tab w:leader="none" w:pos="15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 transaction or series of transactions whereby any “person” or related “group” of “persons” (as such terms are used in Sections 13(d) and 14(d)(2) of the Exchange Act) (other than our company or our subsidiaries or any employee benefit plan maintained by us or any of our subsidiaries or a “person” that, prior to such transaction, directly or indirectly controls, is controlled by, or is under common control with, us) directly or indirectly acquires beneficial ownership (within the meaning of Rule 13d-3 under the Exchange Act) of our securities possessing more than 50% of the total combined voting power of our securities outstanding immediately after such acquisition; or</w:t>
      </w:r>
    </w:p>
    <w:p>
      <w:pPr>
        <w:spacing w:after="0" w:line="82" w:lineRule="exact"/>
        <w:rPr>
          <w:rFonts w:ascii="Arial" w:cs="Arial" w:eastAsia="Arial" w:hAnsi="Arial"/>
          <w:sz w:val="17"/>
          <w:szCs w:val="17"/>
          <w:color w:val="auto"/>
        </w:rPr>
      </w:pPr>
    </w:p>
    <w:p>
      <w:pPr>
        <w:ind w:left="1540" w:right="20" w:hanging="298"/>
        <w:spacing w:after="0" w:line="242" w:lineRule="auto"/>
        <w:tabs>
          <w:tab w:leader="none" w:pos="15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during any period of two consecutive years, individuals who, at the beginning of such period, constitute our board of directors together with any new directors (other than a director designated by a person who has entered into an agreement with us to effect a change in control transaction) whose election by our board of directors or nomination for election by our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82" w:lineRule="exact"/>
        <w:rPr>
          <w:rFonts w:ascii="Arial" w:cs="Arial" w:eastAsia="Arial" w:hAnsi="Arial"/>
          <w:sz w:val="17"/>
          <w:szCs w:val="17"/>
          <w:color w:val="auto"/>
        </w:rPr>
      </w:pPr>
    </w:p>
    <w:p>
      <w:pPr>
        <w:ind w:left="1540" w:right="360" w:hanging="298"/>
        <w:spacing w:after="0" w:line="252" w:lineRule="auto"/>
        <w:tabs>
          <w:tab w:leader="none" w:pos="15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consummation by us (whether directly or indirectly) of (i) a merger, consolidation, reorganization, or business combination or (ii) a sale or other disposition of all or substantially all of our assets in any single transaction or series of related transactions or (iii) the acquisition of assets or stock of another entity, in each case other than a transaction:</w:t>
      </w:r>
    </w:p>
    <w:p>
      <w:pPr>
        <w:spacing w:after="0" w:line="74" w:lineRule="exact"/>
        <w:rPr>
          <w:rFonts w:ascii="Arial" w:cs="Arial" w:eastAsia="Arial" w:hAnsi="Arial"/>
          <w:sz w:val="17"/>
          <w:szCs w:val="17"/>
          <w:color w:val="auto"/>
        </w:rPr>
      </w:pPr>
    </w:p>
    <w:p>
      <w:pPr>
        <w:ind w:left="2060" w:right="220" w:hanging="410"/>
        <w:spacing w:after="0" w:line="270" w:lineRule="auto"/>
        <w:tabs>
          <w:tab w:leader="none" w:pos="2060" w:val="left"/>
        </w:tabs>
        <w:numPr>
          <w:ilvl w:val="1"/>
          <w:numId w:val="83"/>
        </w:numPr>
        <w:rPr>
          <w:rFonts w:ascii="Arial" w:cs="Arial" w:eastAsia="Arial" w:hAnsi="Arial"/>
          <w:sz w:val="17"/>
          <w:szCs w:val="17"/>
          <w:color w:val="auto"/>
        </w:rPr>
      </w:pPr>
      <w:r>
        <w:rPr>
          <w:rFonts w:ascii="Arial" w:cs="Arial" w:eastAsia="Arial" w:hAnsi="Arial"/>
          <w:sz w:val="17"/>
          <w:szCs w:val="17"/>
          <w:color w:val="auto"/>
        </w:rPr>
        <w:t>which results in our voting securities outstanding immediately before the transaction continuing to represent either by remaining outstanding or by being converted into</w:t>
      </w:r>
    </w:p>
    <w:p>
      <w:pPr>
        <w:spacing w:after="0" w:line="8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185</w:t>
      </w:r>
    </w:p>
    <w:p>
      <w:pPr>
        <w:sectPr>
          <w:pgSz w:w="11900" w:h="16838" w:orient="portrait"/>
          <w:cols w:equalWidth="0" w:num="1">
            <w:col w:w="10840"/>
          </w:cols>
          <w:pgMar w:left="320" w:top="439" w:right="7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2080" w:right="140"/>
        <w:spacing w:after="0" w:line="247" w:lineRule="auto"/>
        <w:rPr>
          <w:sz w:val="20"/>
          <w:szCs w:val="20"/>
          <w:color w:val="auto"/>
        </w:rPr>
      </w:pPr>
      <w:r>
        <w:rPr>
          <w:rFonts w:ascii="Arial" w:cs="Arial" w:eastAsia="Arial" w:hAnsi="Arial"/>
          <w:sz w:val="17"/>
          <w:szCs w:val="17"/>
          <w:color w:val="auto"/>
        </w:rPr>
        <w:t>voting securities of the company or the person that, as a result of the transaction, controls, directly or indirectly, the company or owns, directly or indirectly, all or substantially all of our assets or otherwise succeeds to our business, directly or indirectly, at least a majority of the combined voting power of the successor entity’s outstanding voting securities immediately after the transaction, and</w:t>
      </w:r>
    </w:p>
    <w:p>
      <w:pPr>
        <w:spacing w:after="0" w:line="77" w:lineRule="exact"/>
        <w:rPr>
          <w:sz w:val="20"/>
          <w:szCs w:val="20"/>
          <w:color w:val="auto"/>
        </w:rPr>
      </w:pPr>
    </w:p>
    <w:p>
      <w:pPr>
        <w:ind w:left="2060" w:right="20" w:hanging="410"/>
        <w:spacing w:after="0" w:line="247" w:lineRule="auto"/>
        <w:tabs>
          <w:tab w:leader="none" w:pos="2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after which no person or group beneficially owns voting securities representing 50% or more of the combined voting power of the successor entity; provided, however, that no person or group will be treated as beneficially owning 50% or more of the combined voting power of the successor entity solely as a result of the voting power held in our company prior to the consummation of the transaction.</w:t>
      </w:r>
    </w:p>
    <w:p>
      <w:pPr>
        <w:spacing w:after="0" w:line="166" w:lineRule="exact"/>
        <w:rPr>
          <w:sz w:val="20"/>
          <w:szCs w:val="20"/>
          <w:color w:val="auto"/>
        </w:rPr>
      </w:pPr>
    </w:p>
    <w:p>
      <w:pPr>
        <w:ind w:left="420" w:right="100" w:firstLine="521"/>
        <w:spacing w:after="0" w:line="239" w:lineRule="auto"/>
        <w:rPr>
          <w:sz w:val="20"/>
          <w:szCs w:val="20"/>
          <w:color w:val="auto"/>
        </w:rPr>
      </w:pPr>
      <w:r>
        <w:rPr>
          <w:rFonts w:ascii="Arial" w:cs="Arial" w:eastAsia="Arial" w:hAnsi="Arial"/>
          <w:sz w:val="17"/>
          <w:szCs w:val="17"/>
          <w:i w:val="1"/>
          <w:iCs w:val="1"/>
          <w:color w:val="auto"/>
        </w:rPr>
        <w:t xml:space="preserve">Foreign participants, clawback provisions, transferability, and participant payments. </w:t>
      </w:r>
      <w:r>
        <w:rPr>
          <w:rFonts w:ascii="Arial" w:cs="Arial" w:eastAsia="Arial" w:hAnsi="Arial"/>
          <w:sz w:val="17"/>
          <w:szCs w:val="17"/>
          <w:color w:val="auto"/>
        </w:rPr>
        <w:t>With respect to foreign participants,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may modify award terms, establish subplans and/or adjust other terms and conditions of awards, subject to the share limits described above. All awards will be subject to the provisions of any clawback policy implemented by us and to the extent set forth in such clawback policy or in the applicable award agreement. With limited exceptions for estate planning, domestic relations orders, certain beneficiary designations, and the laws of descent and distribution, awards under the 2024 Plan are generally nontransferable prior to vesting and are exercisable only by the participant. With regard to tax withholding obligations arising in connection with awards under the 2024 Plan and exercise price obligations arising in connection with the exercise of stock options under the 2024 Plan, the plan administrator may, in its discretion, accept cash, wire transfer, or check, shares of our common stock that meet specified conditions (a market sell order) or such other consideration as it deems suitable or any combination of the foregoing.</w:t>
      </w:r>
    </w:p>
    <w:p>
      <w:pPr>
        <w:spacing w:after="0" w:line="177" w:lineRule="exact"/>
        <w:rPr>
          <w:sz w:val="20"/>
          <w:szCs w:val="20"/>
          <w:color w:val="auto"/>
        </w:rPr>
      </w:pPr>
    </w:p>
    <w:p>
      <w:pPr>
        <w:ind w:left="420" w:firstLine="521"/>
        <w:spacing w:after="0" w:line="241" w:lineRule="auto"/>
        <w:rPr>
          <w:sz w:val="20"/>
          <w:szCs w:val="20"/>
          <w:color w:val="auto"/>
        </w:rPr>
      </w:pPr>
      <w:r>
        <w:rPr>
          <w:rFonts w:ascii="Arial" w:cs="Arial" w:eastAsia="Arial" w:hAnsi="Arial"/>
          <w:sz w:val="17"/>
          <w:szCs w:val="17"/>
          <w:i w:val="1"/>
          <w:iCs w:val="1"/>
          <w:color w:val="auto"/>
        </w:rPr>
        <w:t xml:space="preserve">Plan amendment and termination. </w:t>
      </w:r>
      <w:r>
        <w:rPr>
          <w:rFonts w:ascii="Arial" w:cs="Arial" w:eastAsia="Arial" w:hAnsi="Arial"/>
          <w:sz w:val="17"/>
          <w:szCs w:val="17"/>
          <w:color w:val="auto"/>
        </w:rPr>
        <w:t>Our board of directors may amend, suspend, or terminate the 2024 Plan at any time; however,</w:t>
      </w:r>
      <w:r>
        <w:rPr>
          <w:rFonts w:ascii="Arial" w:cs="Arial" w:eastAsia="Arial" w:hAnsi="Arial"/>
          <w:sz w:val="17"/>
          <w:szCs w:val="17"/>
          <w:i w:val="1"/>
          <w:iCs w:val="1"/>
          <w:color w:val="auto"/>
        </w:rPr>
        <w:t xml:space="preserve"> </w:t>
      </w:r>
      <w:r>
        <w:rPr>
          <w:rFonts w:ascii="Arial" w:cs="Arial" w:eastAsia="Arial" w:hAnsi="Arial"/>
          <w:sz w:val="17"/>
          <w:szCs w:val="17"/>
          <w:color w:val="auto"/>
        </w:rPr>
        <w:t>except in connection with certain changes in our capital structure, stockholder approval will be required for any amendment that increases the number of shares available under the 2024 Plan. The plan administrator will have the authority, without the approval of our stockholders, to amend any outstanding stock option or SAR to reduce its exercise price per share or cancel outstanding stock options or SARs (including those that have an exercise price in excess of fair market value) in exchange for cash, other award or stock option or SARs with an exercise price per share that is less than the exercise price per share of the original stock option or SARs. No award may be granted pursuant to the 2024 Plan after the tenth anniversary of the date on which our board of directors adopts the 2024 Plan.</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2018 Equity Incentive Plan</w:t>
      </w:r>
    </w:p>
    <w:p>
      <w:pPr>
        <w:spacing w:after="0" w:line="201" w:lineRule="exact"/>
        <w:rPr>
          <w:sz w:val="20"/>
          <w:szCs w:val="20"/>
          <w:color w:val="auto"/>
        </w:rPr>
      </w:pPr>
    </w:p>
    <w:p>
      <w:pPr>
        <w:ind w:left="940"/>
        <w:spacing w:after="0"/>
        <w:rPr>
          <w:sz w:val="20"/>
          <w:szCs w:val="20"/>
          <w:color w:val="auto"/>
        </w:rPr>
      </w:pPr>
      <w:r>
        <w:rPr>
          <w:rFonts w:ascii="Arial" w:cs="Arial" w:eastAsia="Arial" w:hAnsi="Arial"/>
          <w:sz w:val="17"/>
          <w:szCs w:val="17"/>
          <w:color w:val="auto"/>
        </w:rPr>
        <w:t>Our board of directors and our stockholders have adopted and approved the 2018 Equity Incentive Plan.</w:t>
      </w:r>
    </w:p>
    <w:p>
      <w:pPr>
        <w:spacing w:after="0" w:line="201" w:lineRule="exact"/>
        <w:rPr>
          <w:sz w:val="20"/>
          <w:szCs w:val="20"/>
          <w:color w:val="auto"/>
        </w:rPr>
      </w:pPr>
    </w:p>
    <w:p>
      <w:pPr>
        <w:ind w:left="420" w:right="460" w:firstLine="521"/>
        <w:spacing w:after="0" w:line="252" w:lineRule="auto"/>
        <w:rPr>
          <w:sz w:val="20"/>
          <w:szCs w:val="20"/>
          <w:color w:val="auto"/>
        </w:rPr>
      </w:pPr>
      <w:r>
        <w:rPr>
          <w:rFonts w:ascii="Arial" w:cs="Arial" w:eastAsia="Arial" w:hAnsi="Arial"/>
          <w:sz w:val="17"/>
          <w:szCs w:val="17"/>
          <w:color w:val="auto"/>
        </w:rPr>
        <w:t>A total of 4,226,659 shares of our common stock are reserved for issuance under the 2018 Plan. As of December 31, 2023, 2,813,937 shares of our common stock were subject to outstanding awards granted under the 2018 Plan, and 861,155 shares of our common stock remained available for future issuance under the 2018 Plan.</w:t>
      </w:r>
    </w:p>
    <w:p>
      <w:pPr>
        <w:spacing w:after="0" w:line="164" w:lineRule="exact"/>
        <w:rPr>
          <w:sz w:val="20"/>
          <w:szCs w:val="20"/>
          <w:color w:val="auto"/>
        </w:rPr>
      </w:pPr>
    </w:p>
    <w:p>
      <w:pPr>
        <w:ind w:left="420" w:right="20" w:firstLine="521"/>
        <w:spacing w:after="0" w:line="247" w:lineRule="auto"/>
        <w:rPr>
          <w:sz w:val="20"/>
          <w:szCs w:val="20"/>
          <w:color w:val="auto"/>
        </w:rPr>
      </w:pPr>
      <w:r>
        <w:rPr>
          <w:rFonts w:ascii="Arial" w:cs="Arial" w:eastAsia="Arial" w:hAnsi="Arial"/>
          <w:sz w:val="17"/>
          <w:szCs w:val="17"/>
          <w:color w:val="auto"/>
        </w:rPr>
        <w:t>After the effective date of the 2024 Plan, no additional awards will be granted under the 2018 Plan. However, the 2018 Plan will continue to govern the terms and conditions of the outstanding awards granted under it. Shares of our common stock subject to awards granted under the 2018 Plan that expire, lapse or are terminated, exchanged for cash, surrendered, repurchased, or forfeited following the effective date of the 2018 Plan will be available for issuance under the 2024 Plan in accordance with its terms.</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186</w:t>
      </w:r>
    </w:p>
    <w:p>
      <w:pPr>
        <w:sectPr>
          <w:pgSz w:w="11900" w:h="16838" w:orient="portrait"/>
          <w:cols w:equalWidth="0" w:num="1">
            <w:col w:w="10820"/>
          </w:cols>
          <w:pgMar w:left="320" w:top="439" w:right="7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20" w:firstLine="521"/>
        <w:spacing w:after="0" w:line="242"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Our board of directors administers the 2018 Plan unless it delegates authority for administration of the plan.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terms and conditions of the 2018 Plan, the administrator has the authority to select the persons to whom awards are to be made, to determine the type or types of awards to be granted to each person, determine the number of awards to grant, determine the number of shares to be subject to such awards, and the terms and conditions of such awards, and make all other determinations and decisions and to take all other actions necessary or advisable for the administration of the 2018 Plan. The plan administrator is also authorized to establish, adopt, amend, or revise rules relating to administration of the 2018 Plan, subject to certain restrictions.</w:t>
      </w:r>
    </w:p>
    <w:p>
      <w:pPr>
        <w:spacing w:after="0" w:line="172" w:lineRule="exact"/>
        <w:rPr>
          <w:sz w:val="20"/>
          <w:szCs w:val="20"/>
          <w:color w:val="auto"/>
        </w:rPr>
      </w:pPr>
    </w:p>
    <w:p>
      <w:pPr>
        <w:ind w:left="420" w:right="260" w:firstLine="521"/>
        <w:spacing w:after="0" w:line="270"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Awards under the 2018 Plan may be granted to individuals who are then our employees, consultants, and members of</w:t>
      </w:r>
      <w:r>
        <w:rPr>
          <w:rFonts w:ascii="Arial" w:cs="Arial" w:eastAsia="Arial" w:hAnsi="Arial"/>
          <w:sz w:val="17"/>
          <w:szCs w:val="17"/>
          <w:i w:val="1"/>
          <w:iCs w:val="1"/>
          <w:color w:val="auto"/>
        </w:rPr>
        <w:t xml:space="preserve"> </w:t>
      </w:r>
      <w:r>
        <w:rPr>
          <w:rFonts w:ascii="Arial" w:cs="Arial" w:eastAsia="Arial" w:hAnsi="Arial"/>
          <w:sz w:val="17"/>
          <w:szCs w:val="17"/>
          <w:color w:val="auto"/>
        </w:rPr>
        <w:t>our board of directors and our subsidiaries. Only employees may be granted ISOs.</w:t>
      </w:r>
    </w:p>
    <w:p>
      <w:pPr>
        <w:spacing w:after="0" w:line="148" w:lineRule="exact"/>
        <w:rPr>
          <w:sz w:val="20"/>
          <w:szCs w:val="20"/>
          <w:color w:val="auto"/>
        </w:rPr>
      </w:pPr>
    </w:p>
    <w:p>
      <w:pPr>
        <w:ind w:left="420" w:right="60" w:firstLine="521"/>
        <w:spacing w:after="0" w:line="244" w:lineRule="auto"/>
        <w:rPr>
          <w:sz w:val="20"/>
          <w:szCs w:val="20"/>
          <w:color w:val="auto"/>
        </w:rPr>
      </w:pPr>
      <w:r>
        <w:rPr>
          <w:rFonts w:ascii="Arial" w:cs="Arial" w:eastAsia="Arial" w:hAnsi="Arial"/>
          <w:sz w:val="17"/>
          <w:szCs w:val="17"/>
          <w:i w:val="1"/>
          <w:iCs w:val="1"/>
          <w:color w:val="auto"/>
        </w:rPr>
        <w:t xml:space="preserve">Awards. </w:t>
      </w:r>
      <w:r>
        <w:rPr>
          <w:rFonts w:ascii="Arial" w:cs="Arial" w:eastAsia="Arial" w:hAnsi="Arial"/>
          <w:sz w:val="17"/>
          <w:szCs w:val="17"/>
          <w:color w:val="auto"/>
        </w:rPr>
        <w:t>The 2018 Plan provides that our administrator may grant or issue stock options (including NSOs and ISOs),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RSUs, other stock-based awards, or any combination thereof. The administrator considers each award grant subjectively, considering factors such as the individual performance of the recipient and the anticipated contribution of the recipient to the attainment of our long-term goals. Each award is set forth in a separate agreement with the person receiving the award and indicates the type, terms, and conditions of the award.</w:t>
      </w:r>
    </w:p>
    <w:p>
      <w:pPr>
        <w:spacing w:after="0" w:line="169" w:lineRule="exact"/>
        <w:rPr>
          <w:sz w:val="20"/>
          <w:szCs w:val="20"/>
          <w:color w:val="auto"/>
        </w:rPr>
      </w:pPr>
    </w:p>
    <w:p>
      <w:pPr>
        <w:ind w:left="420" w:right="60" w:firstLine="521"/>
        <w:spacing w:after="0" w:line="239" w:lineRule="auto"/>
        <w:rPr>
          <w:sz w:val="20"/>
          <w:szCs w:val="20"/>
          <w:color w:val="auto"/>
        </w:rPr>
      </w:pPr>
      <w:r>
        <w:rPr>
          <w:rFonts w:ascii="Arial" w:cs="Arial" w:eastAsia="Arial" w:hAnsi="Arial"/>
          <w:sz w:val="17"/>
          <w:szCs w:val="17"/>
          <w:i w:val="1"/>
          <w:iCs w:val="1"/>
          <w:color w:val="auto"/>
        </w:rPr>
        <w:t xml:space="preserve">Certain Transactions. </w:t>
      </w:r>
      <w:r>
        <w:rPr>
          <w:rFonts w:ascii="Arial" w:cs="Arial" w:eastAsia="Arial" w:hAnsi="Arial"/>
          <w:sz w:val="17"/>
          <w:szCs w:val="17"/>
          <w:color w:val="auto"/>
        </w:rPr>
        <w:t>The plan administrator has broad discretion to equitably adjust the provisions of the 2018 Plan and the terms</w:t>
      </w:r>
      <w:r>
        <w:rPr>
          <w:rFonts w:ascii="Arial" w:cs="Arial" w:eastAsia="Arial" w:hAnsi="Arial"/>
          <w:sz w:val="17"/>
          <w:szCs w:val="17"/>
          <w:i w:val="1"/>
          <w:iCs w:val="1"/>
          <w:color w:val="auto"/>
        </w:rPr>
        <w:t xml:space="preserve"> </w:t>
      </w:r>
      <w:r>
        <w:rPr>
          <w:rFonts w:ascii="Arial" w:cs="Arial" w:eastAsia="Arial" w:hAnsi="Arial"/>
          <w:sz w:val="17"/>
          <w:szCs w:val="17"/>
          <w:color w:val="auto"/>
        </w:rPr>
        <w:t>and conditions of existing and future awards, including with respect to aggregate number and type of shares subject to the 2018 Plan and awards granted pursuant to the 2018 Plan, to prevent the dilution or enlargement of intended benefits and/or facilitate necessary or desirable changes in the event of certain transactions and events affecting our common stock, such as stock dividends, stock splits, mergers, acquisitions, consolidations, and other corporate transactions. The plan administrator may also provide for the acceleration, cash-out, termination, assumption, substitution, or conversion of awards in the event of a change in control or certain other unusual or nonrecurring events or transactions. In addition, in the event of certain non-reciprocal transactions with our stockholders, or an “equity restructuring,” the plan administrator will make equitable adjustments to the 2018 Plan and outstanding awards as it deems appropriate to reflect the equity restructuring.</w:t>
      </w:r>
    </w:p>
    <w:p>
      <w:pPr>
        <w:spacing w:after="0" w:line="177" w:lineRule="exact"/>
        <w:rPr>
          <w:sz w:val="20"/>
          <w:szCs w:val="20"/>
          <w:color w:val="auto"/>
        </w:rPr>
      </w:pPr>
    </w:p>
    <w:p>
      <w:pPr>
        <w:ind w:left="420" w:firstLine="521"/>
        <w:spacing w:after="0" w:line="238" w:lineRule="auto"/>
        <w:rPr>
          <w:sz w:val="20"/>
          <w:szCs w:val="20"/>
          <w:color w:val="auto"/>
        </w:rPr>
      </w:pPr>
      <w:r>
        <w:rPr>
          <w:rFonts w:ascii="Arial" w:cs="Arial" w:eastAsia="Arial" w:hAnsi="Arial"/>
          <w:sz w:val="17"/>
          <w:szCs w:val="17"/>
          <w:color w:val="auto"/>
        </w:rPr>
        <w:t>In the event of a change of control where the acquirer does not assume awards granted under the 2018 Plan, awards issued under the 2018 Plan held by persons who have not experienced a termination of service will be subject to accelerated vesting such that 100% of the awards will become vested and exercisable or payable, as applicable, immediately prior to the change in control. Under the 2018 Plan, a change of control is generally defined as: (i) a merger or consolidation of our company with or into any other corporation or other entity or person; (ii) a sale, lease, exchange, or other transfer in one transaction or a series of related transactions of all or substantially all of our company’s assets; or (iii) any other transaction, including the sale by us of new shares of our capital stock or a transfer of existing shares of our capital stock, the result of which is that a third party that is not an affiliate of us or our stockholders (or a group of third parties not affiliated with us or our stockholders) immediately prior to such transaction acquires or holds capital stock representing a majority of our outstanding voting power immediately following such transaction; provided that the following events shall not constitute a “change in control” under the 2018 Plan: (a) a transaction (other than a sale of all or substantially all of our assets) in which the holders of our voting securities immediately prior to the merger or consolidation hold, directly or indirectly, at least a majority of the voting securities in the successor corporation or its parent immediately after the merger or consolidation; (b) a sale, lease, exchange, or other transaction in one transaction or a series of related transactions of all or substantially all of our assets to an affiliate of ours; (c) an initial public offering of any of our securities; (d) a reincorporation solely to change our jurisdiction; or (e) a transaction undertaken for the primary</w:t>
      </w:r>
    </w:p>
    <w:p>
      <w:pPr>
        <w:spacing w:after="0" w:line="11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187</w:t>
      </w:r>
    </w:p>
    <w:p>
      <w:pPr>
        <w:sectPr>
          <w:pgSz w:w="11900" w:h="16838" w:orient="portrait"/>
          <w:cols w:equalWidth="0" w:num="1">
            <w:col w:w="10820"/>
          </w:cols>
          <w:pgMar w:left="320" w:top="439" w:right="7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420"/>
        <w:spacing w:after="0" w:line="270" w:lineRule="auto"/>
        <w:rPr>
          <w:sz w:val="20"/>
          <w:szCs w:val="20"/>
          <w:color w:val="auto"/>
        </w:rPr>
      </w:pPr>
      <w:r>
        <w:rPr>
          <w:rFonts w:ascii="Arial" w:cs="Arial" w:eastAsia="Arial" w:hAnsi="Arial"/>
          <w:sz w:val="17"/>
          <w:szCs w:val="17"/>
          <w:color w:val="auto"/>
        </w:rPr>
        <w:t>purpose of creating a holding company that will be owned in substantially the same proportion by the persons who held our securities immediately before such transaction.</w:t>
      </w:r>
    </w:p>
    <w:p>
      <w:pPr>
        <w:spacing w:after="0" w:line="148" w:lineRule="exact"/>
        <w:rPr>
          <w:sz w:val="20"/>
          <w:szCs w:val="20"/>
          <w:color w:val="auto"/>
        </w:rPr>
      </w:pPr>
    </w:p>
    <w:p>
      <w:pPr>
        <w:ind w:left="420" w:right="40" w:firstLine="521"/>
        <w:spacing w:after="0" w:line="244" w:lineRule="auto"/>
        <w:rPr>
          <w:sz w:val="20"/>
          <w:szCs w:val="20"/>
          <w:color w:val="auto"/>
        </w:rPr>
      </w:pPr>
      <w:r>
        <w:rPr>
          <w:rFonts w:ascii="Arial" w:cs="Arial" w:eastAsia="Arial" w:hAnsi="Arial"/>
          <w:sz w:val="17"/>
          <w:szCs w:val="17"/>
          <w:i w:val="1"/>
          <w:iCs w:val="1"/>
          <w:color w:val="auto"/>
        </w:rPr>
        <w:t>Plan Amendment and Termination</w:t>
      </w:r>
      <w:r>
        <w:rPr>
          <w:rFonts w:ascii="Arial" w:cs="Arial" w:eastAsia="Arial" w:hAnsi="Arial"/>
          <w:sz w:val="17"/>
          <w:szCs w:val="17"/>
          <w:color w:val="auto"/>
        </w:rPr>
        <w:t>. Our board of directors may terminate, amend, or modify the 2018 Plan. Additionally,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will have the authority, without the approval of our stockholders, to amend any outstanding stock option or SAR to reduce its exercise price per share. However, stockholder approval of any amendment to the 2018 Plan must be obtained to the extent necessary and desirable to comply with any applicable law, regulation, or stock exchange rule, or for any amendment to the 2018 Plan that increases the number of shares available under the 2018 Plan.</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2024 Employee Stock Purchase Plan</w:t>
      </w:r>
    </w:p>
    <w:p>
      <w:pPr>
        <w:spacing w:after="0" w:line="98" w:lineRule="exact"/>
        <w:rPr>
          <w:sz w:val="20"/>
          <w:szCs w:val="20"/>
          <w:color w:val="auto"/>
        </w:rPr>
      </w:pPr>
    </w:p>
    <w:p>
      <w:pPr>
        <w:jc w:val="both"/>
        <w:ind w:left="420" w:right="260" w:firstLine="521"/>
        <w:spacing w:after="0" w:line="252" w:lineRule="auto"/>
        <w:rPr>
          <w:sz w:val="20"/>
          <w:szCs w:val="20"/>
          <w:color w:val="auto"/>
        </w:rPr>
      </w:pPr>
      <w:r>
        <w:rPr>
          <w:rFonts w:ascii="Arial" w:cs="Arial" w:eastAsia="Arial" w:hAnsi="Arial"/>
          <w:sz w:val="17"/>
          <w:szCs w:val="17"/>
          <w:color w:val="auto"/>
        </w:rPr>
        <w:t>In connection with this offering, our board of directors has adopted and our stockholders have approved the Boundless Bio, Inc. 2024 Employee Stock Purchase Plan (the ESPP), which will become effective in connection with this offering. The material terms of the ESPP are summarized below.</w:t>
      </w:r>
    </w:p>
    <w:p>
      <w:pPr>
        <w:spacing w:after="0" w:line="164" w:lineRule="exact"/>
        <w:rPr>
          <w:sz w:val="20"/>
          <w:szCs w:val="20"/>
          <w:color w:val="auto"/>
        </w:rPr>
      </w:pPr>
    </w:p>
    <w:p>
      <w:pPr>
        <w:ind w:left="420" w:firstLine="521"/>
        <w:spacing w:after="0" w:line="241" w:lineRule="auto"/>
        <w:rPr>
          <w:sz w:val="20"/>
          <w:szCs w:val="20"/>
          <w:color w:val="auto"/>
        </w:rPr>
      </w:pPr>
      <w:r>
        <w:rPr>
          <w:rFonts w:ascii="Arial" w:cs="Arial" w:eastAsia="Arial" w:hAnsi="Arial"/>
          <w:sz w:val="17"/>
          <w:szCs w:val="17"/>
          <w:color w:val="auto"/>
        </w:rPr>
        <w:t>The ESPP is comprised of two distinct components in order to provide increased flexibility to grant options to purchase shares under the ESPP to U.S. and to non-U.S. employees. Specifically, the ESPP authorizes (i) the grant of options to U.S. employees that are intended to qualify for favorable U.S. federal tax treatment under Section 423 of the Code, (the Section 423 Component), and (ii) the grant of options that are not intended to be tax-qualified under Section 423 of the Code to facilitate participation for employees located outside of the U.S. who do not benefit from favorable U.S. federal tax treatment and to provide flexibility to comply with non-U.S. law and other considerations (the Non-Section 423 Component). Where permitted under local law and custom, we expect that the Non-Section 423 Component will generally be operated and administered on terms and conditions similar to the Section 423 Component.</w:t>
      </w:r>
    </w:p>
    <w:p>
      <w:pPr>
        <w:spacing w:after="0" w:line="172" w:lineRule="exact"/>
        <w:rPr>
          <w:sz w:val="20"/>
          <w:szCs w:val="20"/>
          <w:color w:val="auto"/>
        </w:rPr>
      </w:pPr>
    </w:p>
    <w:p>
      <w:pPr>
        <w:ind w:left="420" w:right="20" w:firstLine="521"/>
        <w:spacing w:after="0" w:line="239" w:lineRule="auto"/>
        <w:rPr>
          <w:sz w:val="20"/>
          <w:szCs w:val="20"/>
          <w:color w:val="auto"/>
        </w:rPr>
      </w:pPr>
      <w:r>
        <w:rPr>
          <w:rFonts w:ascii="Arial" w:cs="Arial" w:eastAsia="Arial" w:hAnsi="Arial"/>
          <w:sz w:val="17"/>
          <w:szCs w:val="17"/>
          <w:i w:val="1"/>
          <w:iCs w:val="1"/>
          <w:color w:val="auto"/>
        </w:rPr>
        <w:t xml:space="preserve">Shares available for awards; administration. </w:t>
      </w:r>
      <w:r>
        <w:rPr>
          <w:rFonts w:ascii="Arial" w:cs="Arial" w:eastAsia="Arial" w:hAnsi="Arial"/>
          <w:sz w:val="17"/>
          <w:szCs w:val="17"/>
          <w:color w:val="auto"/>
        </w:rPr>
        <w:t>The number of shares initially available for issuance pursuant to the ESPP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equal to a number of shares equal to 1% of the shares of our common stock to be outstanding after this offering (on an as-converted basis and after giving effect to the number of shares of common stock to be sold in this offering and assuming the exercise in full of the underwriters’ options to purchase additional shares). In addition, the number of shares available for issuance under the ESPP will be annually increased on January 1 of each calendar year beginning on and including January 1, 2025 and ending on and including January 1, 2034, by an amount equal to the lesser of (i) 1% of the shares outstanding on the final day of the immediately preceding calendar year, or (ii) such smaller number of shares as is determined by the plan administrator, provided that no more than 100,000,000 shares of our common stock may be issued under the Section 423 Component. Our board of directors or a committee of our board of directors will administer and will have authority to interpret the terms of the ESPP and determine eligibility of participants. We expect that the compensation committee will be the initial administrator of the ESPP (referred to as the plan administrator below).</w:t>
      </w:r>
    </w:p>
    <w:p>
      <w:pPr>
        <w:spacing w:after="0" w:line="174" w:lineRule="exact"/>
        <w:rPr>
          <w:sz w:val="20"/>
          <w:szCs w:val="20"/>
          <w:color w:val="auto"/>
        </w:rPr>
      </w:pPr>
    </w:p>
    <w:p>
      <w:pPr>
        <w:ind w:left="420" w:right="60" w:firstLine="521"/>
        <w:spacing w:after="0" w:line="252"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We expect that all of our employees will be eligible to participate in the ESPP. However, an employee may not be granted</w:t>
      </w:r>
      <w:r>
        <w:rPr>
          <w:rFonts w:ascii="Arial" w:cs="Arial" w:eastAsia="Arial" w:hAnsi="Arial"/>
          <w:sz w:val="17"/>
          <w:szCs w:val="17"/>
          <w:i w:val="1"/>
          <w:iCs w:val="1"/>
          <w:color w:val="auto"/>
        </w:rPr>
        <w:t xml:space="preserve"> </w:t>
      </w:r>
      <w:r>
        <w:rPr>
          <w:rFonts w:ascii="Arial" w:cs="Arial" w:eastAsia="Arial" w:hAnsi="Arial"/>
          <w:sz w:val="17"/>
          <w:szCs w:val="17"/>
          <w:color w:val="auto"/>
        </w:rPr>
        <w:t>rights to purchase stock under the ESPP if the employee, immediately after the grant, would own (directly or through attribution) stock possessing 5% or more of the total combined voting power or value of all classes of our stock.</w:t>
      </w:r>
    </w:p>
    <w:p>
      <w:pPr>
        <w:spacing w:after="0" w:line="164" w:lineRule="exact"/>
        <w:rPr>
          <w:sz w:val="20"/>
          <w:szCs w:val="20"/>
          <w:color w:val="auto"/>
        </w:rPr>
      </w:pPr>
    </w:p>
    <w:p>
      <w:pPr>
        <w:ind w:left="420" w:right="60" w:firstLine="521"/>
        <w:spacing w:after="0" w:line="244" w:lineRule="auto"/>
        <w:rPr>
          <w:sz w:val="20"/>
          <w:szCs w:val="20"/>
          <w:color w:val="auto"/>
        </w:rPr>
      </w:pPr>
      <w:r>
        <w:rPr>
          <w:rFonts w:ascii="Arial" w:cs="Arial" w:eastAsia="Arial" w:hAnsi="Arial"/>
          <w:sz w:val="17"/>
          <w:szCs w:val="17"/>
          <w:i w:val="1"/>
          <w:iCs w:val="1"/>
          <w:color w:val="auto"/>
        </w:rPr>
        <w:t xml:space="preserve">Grant of rights. </w:t>
      </w:r>
      <w:r>
        <w:rPr>
          <w:rFonts w:ascii="Arial" w:cs="Arial" w:eastAsia="Arial" w:hAnsi="Arial"/>
          <w:sz w:val="17"/>
          <w:szCs w:val="17"/>
          <w:color w:val="auto"/>
        </w:rPr>
        <w:t>Stock will be offered under the ESPP during offering periods. The length of the offering periods under the ESPP will</w:t>
      </w:r>
      <w:r>
        <w:rPr>
          <w:rFonts w:ascii="Arial" w:cs="Arial" w:eastAsia="Arial" w:hAnsi="Arial"/>
          <w:sz w:val="17"/>
          <w:szCs w:val="17"/>
          <w:i w:val="1"/>
          <w:iCs w:val="1"/>
          <w:color w:val="auto"/>
        </w:rPr>
        <w:t xml:space="preserve"> </w:t>
      </w:r>
      <w:r>
        <w:rPr>
          <w:rFonts w:ascii="Arial" w:cs="Arial" w:eastAsia="Arial" w:hAnsi="Arial"/>
          <w:sz w:val="17"/>
          <w:szCs w:val="17"/>
          <w:color w:val="auto"/>
        </w:rPr>
        <w:t>be determined by the plan administrator and may be up to twenty-seven months long and may consist of one or more purchase periods. Employee payroll deductions will be used to purchase shares on each purchase date during an offering period. The purchase dates for each offering period will be the final trading day in each purchase period under an offering period. Offering periods under the ESPP will commence when determined by the plan administrator. The plan</w:t>
      </w:r>
    </w:p>
    <w:p>
      <w:pPr>
        <w:spacing w:after="0" w:line="105"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188</w:t>
      </w:r>
    </w:p>
    <w:p>
      <w:pPr>
        <w:sectPr>
          <w:pgSz w:w="11900" w:h="16838" w:orient="portrait"/>
          <w:cols w:equalWidth="0" w:num="1">
            <w:col w:w="10840"/>
          </w:cols>
          <w:pgMar w:left="320" w:top="439" w:right="7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200"/>
        <w:spacing w:after="0" w:line="247" w:lineRule="auto"/>
        <w:rPr>
          <w:sz w:val="20"/>
          <w:szCs w:val="20"/>
          <w:color w:val="auto"/>
        </w:rPr>
      </w:pPr>
      <w:r>
        <w:rPr>
          <w:rFonts w:ascii="Arial" w:cs="Arial" w:eastAsia="Arial" w:hAnsi="Arial"/>
          <w:sz w:val="17"/>
          <w:szCs w:val="17"/>
          <w:color w:val="auto"/>
        </w:rPr>
        <w:t>administrator may, in its discretion, modify the terms of future offering periods. In non-U.S. jurisdictions where participation in the ESPP through payroll deductions is prohibited, the plan administrator may provide that an eligible employee may elect to participate through contributions to the participant’s account under the ESPP in a form acceptable to the plan administrator in lieu of or in addition to payroll deductions.</w:t>
      </w:r>
    </w:p>
    <w:p>
      <w:pPr>
        <w:spacing w:after="0" w:line="166" w:lineRule="exact"/>
        <w:rPr>
          <w:sz w:val="20"/>
          <w:szCs w:val="20"/>
          <w:color w:val="auto"/>
        </w:rPr>
      </w:pPr>
    </w:p>
    <w:p>
      <w:pPr>
        <w:ind w:left="420" w:right="180" w:firstLine="521"/>
        <w:spacing w:after="0" w:line="244" w:lineRule="auto"/>
        <w:rPr>
          <w:sz w:val="20"/>
          <w:szCs w:val="20"/>
          <w:color w:val="auto"/>
        </w:rPr>
      </w:pPr>
      <w:r>
        <w:rPr>
          <w:rFonts w:ascii="Arial" w:cs="Arial" w:eastAsia="Arial" w:hAnsi="Arial"/>
          <w:sz w:val="17"/>
          <w:szCs w:val="17"/>
          <w:color w:val="auto"/>
        </w:rPr>
        <w:t>The ESPP permits participants to purchase common stock through payroll deductions of up to a specified percentage of their eligible compensation. The plan administrator will establish a maximum number of shares that may be purchased by a participant during any purchase period or offering period. In addition, no employee will be permitted to accrue the right to purchase stock under the Section 423 Component at a rate in excess of $ 25,000 worth of shares during any calendar year during which such a purchase right is outstanding (based on the fair market value per share of our common stock as of the first day of the offering period).</w:t>
      </w:r>
    </w:p>
    <w:p>
      <w:pPr>
        <w:spacing w:after="0" w:line="169" w:lineRule="exact"/>
        <w:rPr>
          <w:sz w:val="20"/>
          <w:szCs w:val="20"/>
          <w:color w:val="auto"/>
        </w:rPr>
      </w:pPr>
    </w:p>
    <w:p>
      <w:pPr>
        <w:ind w:left="420" w:right="40" w:firstLine="521"/>
        <w:spacing w:after="0" w:line="241" w:lineRule="auto"/>
        <w:rPr>
          <w:sz w:val="20"/>
          <w:szCs w:val="20"/>
          <w:color w:val="auto"/>
        </w:rPr>
      </w:pPr>
      <w:r>
        <w:rPr>
          <w:rFonts w:ascii="Arial" w:cs="Arial" w:eastAsia="Arial" w:hAnsi="Arial"/>
          <w:sz w:val="17"/>
          <w:szCs w:val="17"/>
          <w:color w:val="auto"/>
        </w:rPr>
        <w:t>On the first trading day of each offering period, each participant will automatically be granted an option to purchase shares of our common stock. The option will expire at the end of the applicable offering period and will be exercised on each applicable purchase date during an offering period to the extent of the payroll deductions accumulated during the applicable purchase period. The purchase price of the shares, in the absence of a contrary designation, will be 85% of the lower of the fair market value of our common stock on the first trading day of the offering period or on the purchase date. Participants may voluntarily end their participation in the ESPP at any time during a specified period prior to the end of the applicable offering period and will be paid their accrued payroll deductions that have not yet been used to purchase shares of common stock. Participation ends automatically upon a participant’s termination of employment.</w:t>
      </w:r>
    </w:p>
    <w:p>
      <w:pPr>
        <w:spacing w:after="0" w:line="172" w:lineRule="exact"/>
        <w:rPr>
          <w:sz w:val="20"/>
          <w:szCs w:val="20"/>
          <w:color w:val="auto"/>
        </w:rPr>
      </w:pPr>
    </w:p>
    <w:p>
      <w:pPr>
        <w:ind w:left="420" w:right="280" w:firstLine="521"/>
        <w:spacing w:after="0" w:line="270" w:lineRule="auto"/>
        <w:rPr>
          <w:sz w:val="20"/>
          <w:szCs w:val="20"/>
          <w:color w:val="auto"/>
        </w:rPr>
      </w:pPr>
      <w:r>
        <w:rPr>
          <w:rFonts w:ascii="Arial" w:cs="Arial" w:eastAsia="Arial" w:hAnsi="Arial"/>
          <w:sz w:val="17"/>
          <w:szCs w:val="17"/>
          <w:color w:val="auto"/>
        </w:rPr>
        <w:t>A participant may not transfer rights granted under the ESPP other than by will or the laws of descent and distribution, and such rights are generally exercisable only by the participant.</w:t>
      </w:r>
    </w:p>
    <w:p>
      <w:pPr>
        <w:spacing w:after="0" w:line="148" w:lineRule="exact"/>
        <w:rPr>
          <w:sz w:val="20"/>
          <w:szCs w:val="20"/>
          <w:color w:val="auto"/>
        </w:rPr>
      </w:pPr>
    </w:p>
    <w:p>
      <w:pPr>
        <w:ind w:left="420" w:firstLine="521"/>
        <w:spacing w:after="0"/>
        <w:rPr>
          <w:sz w:val="20"/>
          <w:szCs w:val="20"/>
          <w:color w:val="auto"/>
        </w:rPr>
      </w:pPr>
      <w:r>
        <w:rPr>
          <w:rFonts w:ascii="Arial" w:cs="Arial" w:eastAsia="Arial" w:hAnsi="Arial"/>
          <w:sz w:val="17"/>
          <w:szCs w:val="17"/>
          <w:i w:val="1"/>
          <w:iCs w:val="1"/>
          <w:color w:val="auto"/>
        </w:rPr>
        <w:t xml:space="preserve">Certain transactions. </w:t>
      </w:r>
      <w:r>
        <w:rPr>
          <w:rFonts w:ascii="Arial" w:cs="Arial" w:eastAsia="Arial" w:hAnsi="Arial"/>
          <w:sz w:val="17"/>
          <w:szCs w:val="17"/>
          <w:color w:val="auto"/>
        </w:rPr>
        <w:t>In the event of certain non-reciprocal transactions or events affecting our common stock,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will make equitable adjustments to the ESPP and outstanding rights. In the event of certain unusual or non-recurring events or transactions, including a change in control, the plan administrator may provide for (i) either the replacement of outstanding rights with other rights or property or termination of outstanding rights in exchange for cash, (ii) the assumption or substitution of outstanding rights by the successor or survivor corporation or parent or subsidiary thereof, if any, (iii) the adjustment in the number and type of shares of stock subject to outstanding rights, (iv) the use of participants’ accumulated payroll deductions to purchase stock on a new purchase date prior to the next scheduled purchase date and termination of any rights under ongoing offering periods, or (v) the termination of all outstanding rights.</w:t>
      </w:r>
    </w:p>
    <w:p>
      <w:pPr>
        <w:spacing w:after="0" w:line="174" w:lineRule="exact"/>
        <w:rPr>
          <w:sz w:val="20"/>
          <w:szCs w:val="20"/>
          <w:color w:val="auto"/>
        </w:rPr>
      </w:pPr>
    </w:p>
    <w:p>
      <w:pPr>
        <w:ind w:left="420" w:right="40" w:firstLine="521"/>
        <w:spacing w:after="0" w:line="252" w:lineRule="auto"/>
        <w:rPr>
          <w:sz w:val="20"/>
          <w:szCs w:val="20"/>
          <w:color w:val="auto"/>
        </w:rPr>
      </w:pPr>
      <w:r>
        <w:rPr>
          <w:rFonts w:ascii="Arial" w:cs="Arial" w:eastAsia="Arial" w:hAnsi="Arial"/>
          <w:sz w:val="17"/>
          <w:szCs w:val="17"/>
          <w:i w:val="1"/>
          <w:iCs w:val="1"/>
          <w:color w:val="auto"/>
        </w:rPr>
        <w:t xml:space="preserve">Plan amendment. </w:t>
      </w:r>
      <w:r>
        <w:rPr>
          <w:rFonts w:ascii="Arial" w:cs="Arial" w:eastAsia="Arial" w:hAnsi="Arial"/>
          <w:sz w:val="17"/>
          <w:szCs w:val="17"/>
          <w:color w:val="auto"/>
        </w:rPr>
        <w:t>The plan administrator may amend, suspend, or terminate the ESPP at any time. However, stockholder approval</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obtained for any amendment that increases the aggregate number or changes the type of shares that may be sold pursuant to rights under the ESPP or changes the corporations or classes of corporations whose employees are eligible to participate in the ESPP.</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Non-Employee Director Compensation</w:t>
      </w:r>
    </w:p>
    <w:p>
      <w:pPr>
        <w:spacing w:after="0" w:line="201" w:lineRule="exact"/>
        <w:rPr>
          <w:sz w:val="20"/>
          <w:szCs w:val="20"/>
          <w:color w:val="auto"/>
        </w:rPr>
      </w:pPr>
    </w:p>
    <w:p>
      <w:pPr>
        <w:jc w:val="both"/>
        <w:ind w:left="420" w:right="20" w:firstLine="521"/>
        <w:spacing w:after="0" w:line="252" w:lineRule="auto"/>
        <w:rPr>
          <w:sz w:val="20"/>
          <w:szCs w:val="20"/>
          <w:color w:val="auto"/>
        </w:rPr>
      </w:pPr>
      <w:r>
        <w:rPr>
          <w:rFonts w:ascii="Arial" w:cs="Arial" w:eastAsia="Arial" w:hAnsi="Arial"/>
          <w:sz w:val="17"/>
          <w:szCs w:val="17"/>
          <w:color w:val="auto"/>
        </w:rPr>
        <w:t>We provide a $25,000 cash retainer, paid in quarterly installments, to certain directors for their service on our board. We also have a policy of reimbursing all of our non-employee directors for their reasonable out-of-pocket expenses in connection with attending board of directors and committee meetings.</w:t>
      </w:r>
    </w:p>
    <w:p>
      <w:pPr>
        <w:spacing w:after="0" w:line="164" w:lineRule="exact"/>
        <w:rPr>
          <w:sz w:val="20"/>
          <w:szCs w:val="20"/>
          <w:color w:val="auto"/>
        </w:rPr>
      </w:pPr>
    </w:p>
    <w:p>
      <w:pPr>
        <w:ind w:left="420" w:right="200" w:firstLine="521"/>
        <w:spacing w:after="0" w:line="270" w:lineRule="auto"/>
        <w:rPr>
          <w:sz w:val="20"/>
          <w:szCs w:val="20"/>
          <w:color w:val="auto"/>
        </w:rPr>
      </w:pPr>
      <w:r>
        <w:rPr>
          <w:rFonts w:ascii="Arial" w:cs="Arial" w:eastAsia="Arial" w:hAnsi="Arial"/>
          <w:sz w:val="17"/>
          <w:szCs w:val="17"/>
          <w:color w:val="auto"/>
        </w:rPr>
        <w:t>In addition, we also from time to time provide equity compensation to certain directors for their service on our board. On June 13, 2023, we granted to Dr. Lim, Dr. Cravatt (who ceased serving as a</w:t>
      </w:r>
    </w:p>
    <w:p>
      <w:pPr>
        <w:spacing w:after="0" w:line="8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189</w:t>
      </w:r>
    </w:p>
    <w:p>
      <w:pPr>
        <w:sectPr>
          <w:pgSz w:w="11900" w:h="16838" w:orient="portrait"/>
          <w:cols w:equalWidth="0" w:num="1">
            <w:col w:w="10820"/>
          </w:cols>
          <w:pgMar w:left="320" w:top="439" w:right="7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line="244" w:lineRule="auto"/>
        <w:rPr>
          <w:sz w:val="20"/>
          <w:szCs w:val="20"/>
          <w:color w:val="auto"/>
        </w:rPr>
      </w:pPr>
      <w:r>
        <w:rPr>
          <w:rFonts w:ascii="Arial" w:cs="Arial" w:eastAsia="Arial" w:hAnsi="Arial"/>
          <w:sz w:val="17"/>
          <w:szCs w:val="17"/>
          <w:color w:val="auto"/>
        </w:rPr>
        <w:t>director in September 2023), and Ms. Lew options to purchase 17,435, 22,564, and 9,743 shares of our common stock, respectively. The options have an exercise price of $4.10 per share, the fair market value on the date of grant as determined by our board of directors based on an independent third-party valuation. The options vest over a period of three years in equal monthly installments beginning on the first monthly anniversary of the vesting commencement date of June 13, 2023, subject to the director’s continuous service with us as of each such vesting date.</w:t>
      </w:r>
    </w:p>
    <w:p>
      <w:pPr>
        <w:spacing w:after="0" w:line="169" w:lineRule="exact"/>
        <w:rPr>
          <w:sz w:val="20"/>
          <w:szCs w:val="20"/>
          <w:color w:val="auto"/>
        </w:rPr>
      </w:pPr>
    </w:p>
    <w:p>
      <w:pPr>
        <w:ind w:left="420" w:right="120" w:firstLine="521"/>
        <w:spacing w:after="0" w:line="252" w:lineRule="auto"/>
        <w:rPr>
          <w:sz w:val="20"/>
          <w:szCs w:val="20"/>
          <w:color w:val="auto"/>
        </w:rPr>
      </w:pPr>
      <w:r>
        <w:rPr>
          <w:rFonts w:ascii="Arial" w:cs="Arial" w:eastAsia="Arial" w:hAnsi="Arial"/>
          <w:sz w:val="17"/>
          <w:szCs w:val="17"/>
          <w:color w:val="auto"/>
        </w:rPr>
        <w:t>On June 13, 2023, we approved a repricing of outstanding stock options held by Dr. Lim, Dr. Cravatt, and Ms. Lew, whereby the exercise price per share of each outstanding stock option held by them was lowered to $4.10 (our fair market value per share on the date of the repricing as determined by our board of directors based on an independent third-party valuation).</w:t>
      </w:r>
    </w:p>
    <w:p>
      <w:pPr>
        <w:spacing w:after="0" w:line="164" w:lineRule="exact"/>
        <w:rPr>
          <w:sz w:val="20"/>
          <w:szCs w:val="20"/>
          <w:color w:val="auto"/>
        </w:rPr>
      </w:pPr>
    </w:p>
    <w:p>
      <w:pPr>
        <w:ind w:left="420" w:right="40" w:firstLine="521"/>
        <w:spacing w:after="0" w:line="244" w:lineRule="auto"/>
        <w:rPr>
          <w:sz w:val="20"/>
          <w:szCs w:val="20"/>
          <w:color w:val="auto"/>
        </w:rPr>
      </w:pPr>
      <w:r>
        <w:rPr>
          <w:rFonts w:ascii="Arial" w:cs="Arial" w:eastAsia="Arial" w:hAnsi="Arial"/>
          <w:sz w:val="17"/>
          <w:szCs w:val="17"/>
          <w:color w:val="auto"/>
        </w:rPr>
        <w:t>On October 2, 2023, we granted Drs. Christensen and Whiting each an option to purchase 27,692 shares of our common stock. The options have an exercise price of $4.49 per share, the fair market value on the date of grant as determined by our board of directors based on an independent third-party valuation. The options vest over a period of three years in equal monthly installments beginning on the first monthly anniversary of the vesting commencement date of October 1, 2023, subject to the director’s continuous service with us as of each such vesting date.</w:t>
      </w:r>
    </w:p>
    <w:p>
      <w:pPr>
        <w:spacing w:after="0" w:line="169" w:lineRule="exact"/>
        <w:rPr>
          <w:sz w:val="20"/>
          <w:szCs w:val="20"/>
          <w:color w:val="auto"/>
        </w:rPr>
      </w:pPr>
    </w:p>
    <w:p>
      <w:pPr>
        <w:ind w:left="420" w:right="60" w:firstLine="521"/>
        <w:spacing w:after="0" w:line="241" w:lineRule="auto"/>
        <w:rPr>
          <w:sz w:val="20"/>
          <w:szCs w:val="20"/>
          <w:color w:val="auto"/>
        </w:rPr>
      </w:pPr>
      <w:r>
        <w:rPr>
          <w:rFonts w:ascii="Arial" w:cs="Arial" w:eastAsia="Arial" w:hAnsi="Arial"/>
          <w:sz w:val="17"/>
          <w:szCs w:val="17"/>
          <w:color w:val="auto"/>
        </w:rPr>
        <w:t>On February 15, 2024, we granted Drs. Lim, Christensen, and Whiting and Ms. Lew each an option to purchase 13,846 shares of our common stock. The options have an exercise price of $8.19 per share, the fair market value on the date of grant as determined by our board of directors based on an independent third-party valuation. The options vest in substantially equal monthly installments over a period of three years following the grant date, subject to the director’s continuous service with us as of each such vesting date; provided, that in no event will the options vest if this offering is not completed on or prior to December 31, 2024 (or such later date as our board of directors or compensation committee may determine). In the event the offering is not completed on or prior to such deadline, the options will no longer be eligible to vest and will be forfeited.</w:t>
      </w:r>
    </w:p>
    <w:p>
      <w:pPr>
        <w:spacing w:after="0" w:line="172" w:lineRule="exact"/>
        <w:rPr>
          <w:sz w:val="20"/>
          <w:szCs w:val="20"/>
          <w:color w:val="auto"/>
        </w:rPr>
      </w:pPr>
    </w:p>
    <w:p>
      <w:pPr>
        <w:ind w:left="420" w:right="40" w:firstLine="521"/>
        <w:spacing w:after="0" w:line="239" w:lineRule="auto"/>
        <w:rPr>
          <w:sz w:val="20"/>
          <w:szCs w:val="20"/>
          <w:color w:val="auto"/>
        </w:rPr>
      </w:pPr>
      <w:r>
        <w:rPr>
          <w:rFonts w:ascii="Arial" w:cs="Arial" w:eastAsia="Arial" w:hAnsi="Arial"/>
          <w:sz w:val="17"/>
          <w:szCs w:val="17"/>
          <w:color w:val="auto"/>
        </w:rPr>
        <w:t>In connection with this offering, our board of directors has approved a grant of stock options to Dr. Lim, Dr. Brennan, Ms. Burow, Dr. Christensen, Ms. Lew, and Dr. Whiting pursuant to our 2024 Plan, which grant will become effective as of the effective date of the registration statement of which this prospectus is part. The number of shares of our common stock subject to the options that we will grant to each such director is 0.057% (or with respect to each of Dr. Brennan and Ms. Burow, 0.114%) of the shares of our common stock to be outstanding after this offering (on an as-converted basis and after giving effect to the number of shares of common stock to be sold in this offering and assuming the exercise in full of the underwriters’ options to purchase additional shares). The options will be granted with an exercise price per share equal to the initial price to the public of our common stock in this offering. The options vest over a period of three years in equal monthly installments beginning on the first monthly anniversary of the vesting commencement date, subject to the director’s continuous service with us as of each such vesting date.</w:t>
      </w:r>
    </w:p>
    <w:p>
      <w:pPr>
        <w:spacing w:after="0" w:line="113"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190</w:t>
      </w:r>
    </w:p>
    <w:p>
      <w:pPr>
        <w:sectPr>
          <w:pgSz w:w="11900" w:h="16838" w:orient="portrait"/>
          <w:cols w:equalWidth="0" w:num="1">
            <w:col w:w="10840"/>
          </w:cols>
          <w:pgMar w:left="320" w:top="439" w:right="7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100" w:firstLine="521"/>
        <w:spacing w:after="0" w:line="270" w:lineRule="auto"/>
        <w:rPr>
          <w:sz w:val="20"/>
          <w:szCs w:val="20"/>
          <w:color w:val="auto"/>
        </w:rPr>
      </w:pPr>
      <w:r>
        <w:rPr>
          <w:rFonts w:ascii="Arial" w:cs="Arial" w:eastAsia="Arial" w:hAnsi="Arial"/>
          <w:sz w:val="17"/>
          <w:szCs w:val="17"/>
          <w:color w:val="auto"/>
        </w:rPr>
        <w:t>The following table sets forth information regarding compensation earned with respect to the fiscal year ended December 31, 2023 by each individual who served as a non-employee director during such fiscal year.</w:t>
      </w:r>
    </w:p>
    <w:p>
      <w:pPr>
        <w:spacing w:after="0" w:line="173"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6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6"/>
              </w:rPr>
              <w:t>Fees Earned or</w:t>
            </w: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Option</w:t>
            </w: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All Other</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1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3"/>
                <w:szCs w:val="13"/>
                <w:color w:val="auto"/>
              </w:rPr>
            </w:pPr>
          </w:p>
        </w:tc>
        <w:tc>
          <w:tcPr>
            <w:tcW w:w="1300" w:type="dxa"/>
            <w:vAlign w:val="bottom"/>
            <w:gridSpan w:val="2"/>
          </w:tcPr>
          <w:p>
            <w:pPr>
              <w:jc w:val="center"/>
              <w:ind w:right="320"/>
              <w:spacing w:after="0" w:line="150" w:lineRule="exact"/>
              <w:rPr>
                <w:sz w:val="20"/>
                <w:szCs w:val="20"/>
                <w:color w:val="auto"/>
              </w:rPr>
            </w:pPr>
            <w:r>
              <w:rPr>
                <w:rFonts w:ascii="Arial" w:cs="Arial" w:eastAsia="Arial" w:hAnsi="Arial"/>
                <w:sz w:val="14"/>
                <w:szCs w:val="14"/>
                <w:b w:val="1"/>
                <w:bCs w:val="1"/>
                <w:color w:val="auto"/>
                <w:w w:val="97"/>
              </w:rPr>
              <w:t>Paid in Cash</w:t>
            </w:r>
          </w:p>
        </w:tc>
        <w:tc>
          <w:tcPr>
            <w:tcW w:w="820" w:type="dxa"/>
            <w:vAlign w:val="bottom"/>
            <w:gridSpan w:val="2"/>
          </w:tcPr>
          <w:p>
            <w:pPr>
              <w:jc w:val="center"/>
              <w:ind w:right="300"/>
              <w:spacing w:after="0" w:line="150" w:lineRule="exact"/>
              <w:rPr>
                <w:sz w:val="20"/>
                <w:szCs w:val="20"/>
                <w:color w:val="auto"/>
              </w:rPr>
            </w:pPr>
            <w:r>
              <w:rPr>
                <w:rFonts w:ascii="Arial" w:cs="Arial" w:eastAsia="Arial" w:hAnsi="Arial"/>
                <w:sz w:val="14"/>
                <w:szCs w:val="14"/>
                <w:b w:val="1"/>
                <w:bCs w:val="1"/>
                <w:color w:val="auto"/>
                <w:w w:val="94"/>
              </w:rPr>
              <w:t>Awards</w:t>
            </w:r>
          </w:p>
        </w:tc>
        <w:tc>
          <w:tcPr>
            <w:tcW w:w="1280" w:type="dxa"/>
            <w:vAlign w:val="bottom"/>
            <w:gridSpan w:val="2"/>
          </w:tcPr>
          <w:p>
            <w:pPr>
              <w:jc w:val="center"/>
              <w:ind w:right="300"/>
              <w:spacing w:after="0" w:line="150" w:lineRule="exact"/>
              <w:rPr>
                <w:sz w:val="20"/>
                <w:szCs w:val="20"/>
                <w:color w:val="auto"/>
              </w:rPr>
            </w:pPr>
            <w:r>
              <w:rPr>
                <w:rFonts w:ascii="Arial" w:cs="Arial" w:eastAsia="Arial" w:hAnsi="Arial"/>
                <w:sz w:val="14"/>
                <w:szCs w:val="14"/>
                <w:b w:val="1"/>
                <w:bCs w:val="1"/>
                <w:color w:val="auto"/>
                <w:w w:val="96"/>
              </w:rPr>
              <w:t>Compensation</w:t>
            </w:r>
          </w:p>
        </w:tc>
        <w:tc>
          <w:tcPr>
            <w:tcW w:w="620" w:type="dxa"/>
            <w:vAlign w:val="bottom"/>
          </w:tcPr>
          <w:p>
            <w:pPr>
              <w:ind w:left="140"/>
              <w:spacing w:after="0" w:line="150"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6"/>
        </w:trPr>
        <w:tc>
          <w:tcPr>
            <w:tcW w:w="6100" w:type="dxa"/>
            <w:vAlign w:val="bottom"/>
            <w:vMerge w:val="continue"/>
          </w:tcPr>
          <w:p>
            <w:pPr>
              <w:spacing w:after="0"/>
              <w:rPr>
                <w:sz w:val="14"/>
                <w:szCs w:val="14"/>
                <w:color w:val="auto"/>
              </w:rPr>
            </w:pPr>
          </w:p>
        </w:tc>
        <w:tc>
          <w:tcPr>
            <w:tcW w:w="1280" w:type="dxa"/>
            <w:vAlign w:val="bottom"/>
            <w:gridSpan w:val="2"/>
          </w:tcPr>
          <w:p>
            <w:pPr>
              <w:jc w:val="center"/>
              <w:ind w:left="242"/>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520" w:type="dxa"/>
            <w:vAlign w:val="bottom"/>
          </w:tcPr>
          <w:p>
            <w:pPr>
              <w:jc w:val="center"/>
              <w:spacing w:after="0" w:line="166" w:lineRule="exact"/>
              <w:rPr>
                <w:sz w:val="20"/>
                <w:szCs w:val="20"/>
                <w:color w:val="auto"/>
              </w:rPr>
            </w:pPr>
            <w:r>
              <w:rPr>
                <w:rFonts w:ascii="Arial" w:cs="Arial" w:eastAsia="Arial" w:hAnsi="Arial"/>
                <w:sz w:val="13"/>
                <w:szCs w:val="13"/>
                <w:b w:val="1"/>
                <w:bCs w:val="1"/>
                <w:color w:val="auto"/>
                <w:w w:val="89"/>
              </w:rPr>
              <w:t>($)</w:t>
            </w:r>
            <w:r>
              <w:rPr>
                <w:rFonts w:ascii="Arial" w:cs="Arial" w:eastAsia="Arial" w:hAnsi="Arial"/>
                <w:sz w:val="19"/>
                <w:szCs w:val="19"/>
                <w:b w:val="1"/>
                <w:bCs w:val="1"/>
                <w:color w:val="auto"/>
                <w:w w:val="89"/>
                <w:vertAlign w:val="superscript"/>
              </w:rPr>
              <w:t>(1)</w:t>
            </w:r>
          </w:p>
        </w:tc>
        <w:tc>
          <w:tcPr>
            <w:tcW w:w="3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84"/>
        </w:trPr>
        <w:tc>
          <w:tcPr>
            <w:tcW w:w="6100" w:type="dxa"/>
            <w:vAlign w:val="bottom"/>
            <w:tcBorders>
              <w:top w:val="single" w:sz="8" w:color="auto"/>
            </w:tcBorders>
            <w:shd w:val="clear" w:color="auto" w:fill="CCEEFF"/>
          </w:tcPr>
          <w:p>
            <w:pPr>
              <w:spacing w:after="0" w:line="185" w:lineRule="exact"/>
              <w:rPr>
                <w:sz w:val="20"/>
                <w:szCs w:val="20"/>
                <w:color w:val="auto"/>
              </w:rPr>
            </w:pPr>
            <w:r>
              <w:rPr>
                <w:rFonts w:ascii="Arial" w:cs="Arial" w:eastAsia="Arial" w:hAnsi="Arial"/>
                <w:sz w:val="15"/>
                <w:szCs w:val="15"/>
                <w:color w:val="auto"/>
              </w:rPr>
              <w:t>Jonathan Lim, M.D.</w:t>
            </w:r>
            <w:r>
              <w:rPr>
                <w:rFonts w:ascii="Arial" w:cs="Arial" w:eastAsia="Arial" w:hAnsi="Arial"/>
                <w:sz w:val="21"/>
                <w:szCs w:val="21"/>
                <w:color w:val="auto"/>
                <w:vertAlign w:val="superscript"/>
              </w:rPr>
              <w:t>(2)</w:t>
            </w:r>
          </w:p>
        </w:tc>
        <w:tc>
          <w:tcPr>
            <w:tcW w:w="3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center"/>
              <w:spacing w:after="0" w:line="185" w:lineRule="exact"/>
              <w:rPr>
                <w:sz w:val="20"/>
                <w:szCs w:val="20"/>
                <w:color w:val="auto"/>
              </w:rPr>
            </w:pPr>
            <w:r>
              <w:rPr>
                <w:rFonts w:ascii="Arial" w:cs="Arial" w:eastAsia="Arial" w:hAnsi="Arial"/>
                <w:sz w:val="17"/>
                <w:szCs w:val="17"/>
                <w:color w:val="auto"/>
                <w:w w:val="93"/>
              </w:rPr>
              <w:t>—</w:t>
            </w:r>
          </w:p>
        </w:tc>
        <w:tc>
          <w:tcPr>
            <w:tcW w:w="3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center"/>
              <w:spacing w:after="0" w:line="185" w:lineRule="exact"/>
              <w:rPr>
                <w:sz w:val="20"/>
                <w:szCs w:val="20"/>
                <w:color w:val="auto"/>
              </w:rPr>
            </w:pPr>
            <w:r>
              <w:rPr>
                <w:rFonts w:ascii="Arial" w:cs="Arial" w:eastAsia="Arial" w:hAnsi="Arial"/>
                <w:sz w:val="17"/>
                <w:szCs w:val="17"/>
                <w:color w:val="auto"/>
                <w:w w:val="99"/>
              </w:rPr>
              <w:t>61,165</w:t>
            </w:r>
          </w:p>
        </w:tc>
        <w:tc>
          <w:tcPr>
            <w:tcW w:w="3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center"/>
              <w:spacing w:after="0" w:line="185" w:lineRule="exact"/>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center"/>
              <w:spacing w:after="0" w:line="185" w:lineRule="exact"/>
              <w:rPr>
                <w:sz w:val="20"/>
                <w:szCs w:val="20"/>
                <w:color w:val="auto"/>
              </w:rPr>
            </w:pPr>
            <w:r>
              <w:rPr>
                <w:rFonts w:ascii="Arial" w:cs="Arial" w:eastAsia="Arial" w:hAnsi="Arial"/>
                <w:sz w:val="17"/>
                <w:szCs w:val="17"/>
                <w:color w:val="auto"/>
                <w:w w:val="99"/>
              </w:rPr>
              <w:t>61,165</w:t>
            </w:r>
          </w:p>
        </w:tc>
        <w:tc>
          <w:tcPr>
            <w:tcW w:w="0" w:type="dxa"/>
            <w:vAlign w:val="bottom"/>
          </w:tcPr>
          <w:p>
            <w:pPr>
              <w:spacing w:after="0"/>
              <w:rPr>
                <w:sz w:val="1"/>
                <w:szCs w:val="1"/>
                <w:color w:val="auto"/>
              </w:rPr>
            </w:pPr>
          </w:p>
        </w:tc>
      </w:tr>
      <w:tr>
        <w:trPr>
          <w:trHeight w:val="192"/>
        </w:trPr>
        <w:tc>
          <w:tcPr>
            <w:tcW w:w="6100" w:type="dxa"/>
            <w:vAlign w:val="bottom"/>
          </w:tcPr>
          <w:p>
            <w:pPr>
              <w:spacing w:after="0" w:line="192" w:lineRule="exact"/>
              <w:rPr>
                <w:sz w:val="20"/>
                <w:szCs w:val="20"/>
                <w:color w:val="auto"/>
              </w:rPr>
            </w:pPr>
            <w:r>
              <w:rPr>
                <w:rFonts w:ascii="Arial" w:cs="Arial" w:eastAsia="Arial" w:hAnsi="Arial"/>
                <w:sz w:val="17"/>
                <w:szCs w:val="17"/>
                <w:color w:val="auto"/>
              </w:rPr>
              <w:t>Christine Brennan, Ph.D</w:t>
            </w:r>
          </w:p>
        </w:tc>
        <w:tc>
          <w:tcPr>
            <w:tcW w:w="300" w:type="dxa"/>
            <w:vAlign w:val="bottom"/>
          </w:tcPr>
          <w:p>
            <w:pPr>
              <w:spacing w:after="0"/>
              <w:rPr>
                <w:sz w:val="16"/>
                <w:szCs w:val="16"/>
                <w:color w:val="auto"/>
              </w:rPr>
            </w:pPr>
          </w:p>
        </w:tc>
        <w:tc>
          <w:tcPr>
            <w:tcW w:w="1300" w:type="dxa"/>
            <w:vAlign w:val="bottom"/>
            <w:gridSpan w:val="2"/>
          </w:tcPr>
          <w:p>
            <w:pPr>
              <w:jc w:val="center"/>
              <w:ind w:right="300"/>
              <w:spacing w:after="0" w:line="192" w:lineRule="exact"/>
              <w:rPr>
                <w:sz w:val="20"/>
                <w:szCs w:val="20"/>
                <w:color w:val="auto"/>
              </w:rPr>
            </w:pPr>
            <w:r>
              <w:rPr>
                <w:rFonts w:ascii="Arial" w:cs="Arial" w:eastAsia="Arial" w:hAnsi="Arial"/>
                <w:sz w:val="17"/>
                <w:szCs w:val="17"/>
                <w:color w:val="auto"/>
                <w:w w:val="93"/>
              </w:rPr>
              <w:t>—</w:t>
            </w:r>
          </w:p>
        </w:tc>
        <w:tc>
          <w:tcPr>
            <w:tcW w:w="820" w:type="dxa"/>
            <w:vAlign w:val="bottom"/>
            <w:gridSpan w:val="2"/>
          </w:tcPr>
          <w:p>
            <w:pPr>
              <w:jc w:val="center"/>
              <w:ind w:right="300"/>
              <w:spacing w:after="0" w:line="192" w:lineRule="exact"/>
              <w:rPr>
                <w:sz w:val="20"/>
                <w:szCs w:val="20"/>
                <w:color w:val="auto"/>
              </w:rPr>
            </w:pPr>
            <w:r>
              <w:rPr>
                <w:rFonts w:ascii="Arial" w:cs="Arial" w:eastAsia="Arial" w:hAnsi="Arial"/>
                <w:sz w:val="17"/>
                <w:szCs w:val="17"/>
                <w:color w:val="auto"/>
                <w:w w:val="93"/>
              </w:rPr>
              <w:t>—</w:t>
            </w:r>
          </w:p>
        </w:tc>
        <w:tc>
          <w:tcPr>
            <w:tcW w:w="1280" w:type="dxa"/>
            <w:vAlign w:val="bottom"/>
            <w:gridSpan w:val="2"/>
          </w:tcPr>
          <w:p>
            <w:pPr>
              <w:jc w:val="center"/>
              <w:ind w:right="300"/>
              <w:spacing w:after="0" w:line="192" w:lineRule="exact"/>
              <w:rPr>
                <w:sz w:val="20"/>
                <w:szCs w:val="20"/>
                <w:color w:val="auto"/>
              </w:rPr>
            </w:pPr>
            <w:r>
              <w:rPr>
                <w:rFonts w:ascii="Arial" w:cs="Arial" w:eastAsia="Arial" w:hAnsi="Arial"/>
                <w:sz w:val="17"/>
                <w:szCs w:val="17"/>
                <w:color w:val="auto"/>
              </w:rPr>
              <w:t>—</w:t>
            </w:r>
          </w:p>
        </w:tc>
        <w:tc>
          <w:tcPr>
            <w:tcW w:w="620" w:type="dxa"/>
            <w:vAlign w:val="bottom"/>
          </w:tcPr>
          <w:p>
            <w:pPr>
              <w:jc w:val="center"/>
              <w:spacing w:after="0" w:line="192" w:lineRule="exact"/>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192"/>
        </w:trPr>
        <w:tc>
          <w:tcPr>
            <w:tcW w:w="610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Kristina Burow</w:t>
            </w:r>
          </w:p>
        </w:tc>
        <w:tc>
          <w:tcPr>
            <w:tcW w:w="3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center"/>
              <w:ind w:right="300"/>
              <w:spacing w:after="0" w:line="192" w:lineRule="exact"/>
              <w:rPr>
                <w:sz w:val="20"/>
                <w:szCs w:val="20"/>
                <w:color w:val="auto"/>
              </w:rPr>
            </w:pPr>
            <w:r>
              <w:rPr>
                <w:rFonts w:ascii="Arial" w:cs="Arial" w:eastAsia="Arial" w:hAnsi="Arial"/>
                <w:sz w:val="17"/>
                <w:szCs w:val="17"/>
                <w:color w:val="auto"/>
                <w:w w:val="93"/>
              </w:rPr>
              <w:t>—</w:t>
            </w:r>
          </w:p>
        </w:tc>
        <w:tc>
          <w:tcPr>
            <w:tcW w:w="820" w:type="dxa"/>
            <w:vAlign w:val="bottom"/>
            <w:gridSpan w:val="2"/>
            <w:shd w:val="clear" w:color="auto" w:fill="CCEEFF"/>
          </w:tcPr>
          <w:p>
            <w:pPr>
              <w:jc w:val="center"/>
              <w:ind w:right="300"/>
              <w:spacing w:after="0" w:line="192" w:lineRule="exact"/>
              <w:rPr>
                <w:sz w:val="20"/>
                <w:szCs w:val="20"/>
                <w:color w:val="auto"/>
              </w:rPr>
            </w:pPr>
            <w:r>
              <w:rPr>
                <w:rFonts w:ascii="Arial" w:cs="Arial" w:eastAsia="Arial" w:hAnsi="Arial"/>
                <w:sz w:val="17"/>
                <w:szCs w:val="17"/>
                <w:color w:val="auto"/>
                <w:w w:val="93"/>
              </w:rPr>
              <w:t>—</w:t>
            </w:r>
          </w:p>
        </w:tc>
        <w:tc>
          <w:tcPr>
            <w:tcW w:w="1280" w:type="dxa"/>
            <w:vAlign w:val="bottom"/>
            <w:gridSpan w:val="2"/>
            <w:shd w:val="clear" w:color="auto" w:fill="CCEEFF"/>
          </w:tcPr>
          <w:p>
            <w:pPr>
              <w:jc w:val="center"/>
              <w:ind w:right="300"/>
              <w:spacing w:after="0" w:line="192"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center"/>
              <w:spacing w:after="0" w:line="192" w:lineRule="exact"/>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192"/>
        </w:trPr>
        <w:tc>
          <w:tcPr>
            <w:tcW w:w="6100" w:type="dxa"/>
            <w:vAlign w:val="bottom"/>
          </w:tcPr>
          <w:p>
            <w:pPr>
              <w:spacing w:after="0" w:line="191" w:lineRule="exact"/>
              <w:rPr>
                <w:sz w:val="20"/>
                <w:szCs w:val="20"/>
                <w:color w:val="auto"/>
              </w:rPr>
            </w:pPr>
            <w:r>
              <w:rPr>
                <w:rFonts w:ascii="Arial" w:cs="Arial" w:eastAsia="Arial" w:hAnsi="Arial"/>
                <w:sz w:val="15"/>
                <w:szCs w:val="15"/>
                <w:color w:val="auto"/>
              </w:rPr>
              <w:t xml:space="preserve">James Christensen, Ph.D. </w:t>
            </w:r>
            <w:r>
              <w:rPr>
                <w:rFonts w:ascii="Arial" w:cs="Arial" w:eastAsia="Arial" w:hAnsi="Arial"/>
                <w:sz w:val="22"/>
                <w:szCs w:val="22"/>
                <w:color w:val="auto"/>
                <w:vertAlign w:val="superscript"/>
              </w:rPr>
              <w:t>(2)(3)</w:t>
            </w:r>
          </w:p>
        </w:tc>
        <w:tc>
          <w:tcPr>
            <w:tcW w:w="1280" w:type="dxa"/>
            <w:vAlign w:val="bottom"/>
            <w:gridSpan w:val="2"/>
          </w:tcPr>
          <w:p>
            <w:pPr>
              <w:jc w:val="center"/>
              <w:ind w:left="242"/>
              <w:spacing w:after="0" w:line="192" w:lineRule="exact"/>
              <w:rPr>
                <w:sz w:val="20"/>
                <w:szCs w:val="20"/>
                <w:color w:val="auto"/>
              </w:rPr>
            </w:pPr>
            <w:r>
              <w:rPr>
                <w:rFonts w:ascii="Arial" w:cs="Arial" w:eastAsia="Arial" w:hAnsi="Arial"/>
                <w:sz w:val="17"/>
                <w:szCs w:val="17"/>
                <w:color w:val="auto"/>
              </w:rPr>
              <w:t>6,250</w:t>
            </w:r>
          </w:p>
        </w:tc>
        <w:tc>
          <w:tcPr>
            <w:tcW w:w="320" w:type="dxa"/>
            <w:vAlign w:val="bottom"/>
          </w:tcPr>
          <w:p>
            <w:pPr>
              <w:spacing w:after="0"/>
              <w:rPr>
                <w:sz w:val="16"/>
                <w:szCs w:val="16"/>
                <w:color w:val="auto"/>
              </w:rPr>
            </w:pPr>
          </w:p>
        </w:tc>
        <w:tc>
          <w:tcPr>
            <w:tcW w:w="520" w:type="dxa"/>
            <w:vAlign w:val="bottom"/>
          </w:tcPr>
          <w:p>
            <w:pPr>
              <w:jc w:val="center"/>
              <w:spacing w:after="0" w:line="192" w:lineRule="exact"/>
              <w:rPr>
                <w:sz w:val="20"/>
                <w:szCs w:val="20"/>
                <w:color w:val="auto"/>
              </w:rPr>
            </w:pPr>
            <w:r>
              <w:rPr>
                <w:rFonts w:ascii="Arial" w:cs="Arial" w:eastAsia="Arial" w:hAnsi="Arial"/>
                <w:sz w:val="17"/>
                <w:szCs w:val="17"/>
                <w:color w:val="auto"/>
                <w:w w:val="99"/>
              </w:rPr>
              <w:t>96,487</w:t>
            </w:r>
          </w:p>
        </w:tc>
        <w:tc>
          <w:tcPr>
            <w:tcW w:w="300" w:type="dxa"/>
            <w:vAlign w:val="bottom"/>
          </w:tcPr>
          <w:p>
            <w:pPr>
              <w:spacing w:after="0"/>
              <w:rPr>
                <w:sz w:val="16"/>
                <w:szCs w:val="16"/>
                <w:color w:val="auto"/>
              </w:rPr>
            </w:pPr>
          </w:p>
        </w:tc>
        <w:tc>
          <w:tcPr>
            <w:tcW w:w="1280" w:type="dxa"/>
            <w:vAlign w:val="bottom"/>
            <w:gridSpan w:val="2"/>
          </w:tcPr>
          <w:p>
            <w:pPr>
              <w:jc w:val="center"/>
              <w:ind w:right="300"/>
              <w:spacing w:after="0" w:line="192" w:lineRule="exact"/>
              <w:rPr>
                <w:sz w:val="20"/>
                <w:szCs w:val="20"/>
                <w:color w:val="auto"/>
              </w:rPr>
            </w:pPr>
            <w:r>
              <w:rPr>
                <w:rFonts w:ascii="Arial" w:cs="Arial" w:eastAsia="Arial" w:hAnsi="Arial"/>
                <w:sz w:val="17"/>
                <w:szCs w:val="17"/>
                <w:color w:val="auto"/>
              </w:rPr>
              <w:t>—</w:t>
            </w:r>
          </w:p>
        </w:tc>
        <w:tc>
          <w:tcPr>
            <w:tcW w:w="620" w:type="dxa"/>
            <w:vAlign w:val="bottom"/>
          </w:tcPr>
          <w:p>
            <w:pPr>
              <w:jc w:val="center"/>
              <w:spacing w:after="0" w:line="192" w:lineRule="exact"/>
              <w:rPr>
                <w:sz w:val="20"/>
                <w:szCs w:val="20"/>
                <w:color w:val="auto"/>
              </w:rPr>
            </w:pPr>
            <w:r>
              <w:rPr>
                <w:rFonts w:ascii="Arial" w:cs="Arial" w:eastAsia="Arial" w:hAnsi="Arial"/>
                <w:sz w:val="17"/>
                <w:szCs w:val="17"/>
                <w:color w:val="auto"/>
              </w:rPr>
              <w:t>102,737</w:t>
            </w:r>
          </w:p>
        </w:tc>
        <w:tc>
          <w:tcPr>
            <w:tcW w:w="0" w:type="dxa"/>
            <w:vAlign w:val="bottom"/>
          </w:tcPr>
          <w:p>
            <w:pPr>
              <w:spacing w:after="0"/>
              <w:rPr>
                <w:sz w:val="1"/>
                <w:szCs w:val="1"/>
                <w:color w:val="auto"/>
              </w:rPr>
            </w:pPr>
          </w:p>
        </w:tc>
      </w:tr>
      <w:tr>
        <w:trPr>
          <w:trHeight w:val="192"/>
        </w:trPr>
        <w:tc>
          <w:tcPr>
            <w:tcW w:w="6100" w:type="dxa"/>
            <w:vAlign w:val="bottom"/>
            <w:shd w:val="clear" w:color="auto" w:fill="CCEEFF"/>
          </w:tcPr>
          <w:p>
            <w:pPr>
              <w:spacing w:after="0" w:line="191" w:lineRule="exact"/>
              <w:rPr>
                <w:sz w:val="20"/>
                <w:szCs w:val="20"/>
                <w:color w:val="auto"/>
              </w:rPr>
            </w:pPr>
            <w:r>
              <w:rPr>
                <w:rFonts w:ascii="Arial" w:cs="Arial" w:eastAsia="Arial" w:hAnsi="Arial"/>
                <w:sz w:val="15"/>
                <w:szCs w:val="15"/>
                <w:color w:val="auto"/>
              </w:rPr>
              <w:t xml:space="preserve">Ben Cravatt, Ph.D. </w:t>
            </w:r>
            <w:r>
              <w:rPr>
                <w:rFonts w:ascii="Arial" w:cs="Arial" w:eastAsia="Arial" w:hAnsi="Arial"/>
                <w:sz w:val="22"/>
                <w:szCs w:val="22"/>
                <w:color w:val="auto"/>
                <w:vertAlign w:val="superscript"/>
              </w:rPr>
              <w:t>(2)(4)</w:t>
            </w:r>
          </w:p>
        </w:tc>
        <w:tc>
          <w:tcPr>
            <w:tcW w:w="1280" w:type="dxa"/>
            <w:vAlign w:val="bottom"/>
            <w:gridSpan w:val="2"/>
            <w:shd w:val="clear" w:color="auto" w:fill="CCEEFF"/>
          </w:tcPr>
          <w:p>
            <w:pPr>
              <w:jc w:val="center"/>
              <w:ind w:left="242"/>
              <w:spacing w:after="0" w:line="192" w:lineRule="exact"/>
              <w:rPr>
                <w:sz w:val="20"/>
                <w:szCs w:val="20"/>
                <w:color w:val="auto"/>
              </w:rPr>
            </w:pPr>
            <w:r>
              <w:rPr>
                <w:rFonts w:ascii="Arial" w:cs="Arial" w:eastAsia="Arial" w:hAnsi="Arial"/>
                <w:sz w:val="17"/>
                <w:szCs w:val="17"/>
                <w:color w:val="auto"/>
                <w:w w:val="99"/>
              </w:rPr>
              <w:t>18,750</w:t>
            </w: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jc w:val="center"/>
              <w:spacing w:after="0" w:line="192" w:lineRule="exact"/>
              <w:rPr>
                <w:sz w:val="20"/>
                <w:szCs w:val="20"/>
                <w:color w:val="auto"/>
              </w:rPr>
            </w:pPr>
            <w:r>
              <w:rPr>
                <w:rFonts w:ascii="Arial" w:cs="Arial" w:eastAsia="Arial" w:hAnsi="Arial"/>
                <w:sz w:val="17"/>
                <w:szCs w:val="17"/>
                <w:color w:val="auto"/>
                <w:w w:val="99"/>
              </w:rPr>
              <w:t>73,534</w:t>
            </w:r>
          </w:p>
        </w:tc>
        <w:tc>
          <w:tcPr>
            <w:tcW w:w="3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center"/>
              <w:ind w:right="300"/>
              <w:spacing w:after="0" w:line="192"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center"/>
              <w:spacing w:after="0" w:line="192" w:lineRule="exact"/>
              <w:rPr>
                <w:sz w:val="20"/>
                <w:szCs w:val="20"/>
                <w:color w:val="auto"/>
              </w:rPr>
            </w:pPr>
            <w:r>
              <w:rPr>
                <w:rFonts w:ascii="Arial" w:cs="Arial" w:eastAsia="Arial" w:hAnsi="Arial"/>
                <w:sz w:val="17"/>
                <w:szCs w:val="17"/>
                <w:color w:val="auto"/>
                <w:w w:val="99"/>
              </w:rPr>
              <w:t>92,284</w:t>
            </w:r>
          </w:p>
        </w:tc>
        <w:tc>
          <w:tcPr>
            <w:tcW w:w="0" w:type="dxa"/>
            <w:vAlign w:val="bottom"/>
          </w:tcPr>
          <w:p>
            <w:pPr>
              <w:spacing w:after="0"/>
              <w:rPr>
                <w:sz w:val="1"/>
                <w:szCs w:val="1"/>
                <w:color w:val="auto"/>
              </w:rPr>
            </w:pPr>
          </w:p>
        </w:tc>
      </w:tr>
      <w:tr>
        <w:trPr>
          <w:trHeight w:val="192"/>
        </w:trPr>
        <w:tc>
          <w:tcPr>
            <w:tcW w:w="6100" w:type="dxa"/>
            <w:vAlign w:val="bottom"/>
          </w:tcPr>
          <w:p>
            <w:pPr>
              <w:spacing w:after="0" w:line="191" w:lineRule="exact"/>
              <w:rPr>
                <w:sz w:val="20"/>
                <w:szCs w:val="20"/>
                <w:color w:val="auto"/>
              </w:rPr>
            </w:pPr>
            <w:r>
              <w:rPr>
                <w:rFonts w:ascii="Arial" w:cs="Arial" w:eastAsia="Arial" w:hAnsi="Arial"/>
                <w:sz w:val="15"/>
                <w:szCs w:val="15"/>
                <w:color w:val="auto"/>
              </w:rPr>
              <w:t>Jennifer Lew</w:t>
            </w:r>
            <w:r>
              <w:rPr>
                <w:rFonts w:ascii="Arial" w:cs="Arial" w:eastAsia="Arial" w:hAnsi="Arial"/>
                <w:sz w:val="22"/>
                <w:szCs w:val="22"/>
                <w:color w:val="auto"/>
                <w:vertAlign w:val="superscript"/>
              </w:rPr>
              <w:t>(2)</w:t>
            </w:r>
          </w:p>
        </w:tc>
        <w:tc>
          <w:tcPr>
            <w:tcW w:w="1280" w:type="dxa"/>
            <w:vAlign w:val="bottom"/>
            <w:gridSpan w:val="2"/>
          </w:tcPr>
          <w:p>
            <w:pPr>
              <w:jc w:val="center"/>
              <w:ind w:left="242"/>
              <w:spacing w:after="0" w:line="192" w:lineRule="exact"/>
              <w:rPr>
                <w:sz w:val="20"/>
                <w:szCs w:val="20"/>
                <w:color w:val="auto"/>
              </w:rPr>
            </w:pPr>
            <w:r>
              <w:rPr>
                <w:rFonts w:ascii="Arial" w:cs="Arial" w:eastAsia="Arial" w:hAnsi="Arial"/>
                <w:sz w:val="17"/>
                <w:szCs w:val="17"/>
                <w:color w:val="auto"/>
                <w:w w:val="99"/>
              </w:rPr>
              <w:t>25,000</w:t>
            </w:r>
          </w:p>
        </w:tc>
        <w:tc>
          <w:tcPr>
            <w:tcW w:w="320" w:type="dxa"/>
            <w:vAlign w:val="bottom"/>
          </w:tcPr>
          <w:p>
            <w:pPr>
              <w:spacing w:after="0"/>
              <w:rPr>
                <w:sz w:val="16"/>
                <w:szCs w:val="16"/>
                <w:color w:val="auto"/>
              </w:rPr>
            </w:pPr>
          </w:p>
        </w:tc>
        <w:tc>
          <w:tcPr>
            <w:tcW w:w="520" w:type="dxa"/>
            <w:vAlign w:val="bottom"/>
          </w:tcPr>
          <w:p>
            <w:pPr>
              <w:jc w:val="center"/>
              <w:spacing w:after="0" w:line="192" w:lineRule="exact"/>
              <w:rPr>
                <w:sz w:val="20"/>
                <w:szCs w:val="20"/>
                <w:color w:val="auto"/>
              </w:rPr>
            </w:pPr>
            <w:r>
              <w:rPr>
                <w:rFonts w:ascii="Arial" w:cs="Arial" w:eastAsia="Arial" w:hAnsi="Arial"/>
                <w:sz w:val="17"/>
                <w:szCs w:val="17"/>
                <w:color w:val="auto"/>
                <w:w w:val="99"/>
              </w:rPr>
              <w:t>41,549</w:t>
            </w:r>
          </w:p>
        </w:tc>
        <w:tc>
          <w:tcPr>
            <w:tcW w:w="300" w:type="dxa"/>
            <w:vAlign w:val="bottom"/>
          </w:tcPr>
          <w:p>
            <w:pPr>
              <w:spacing w:after="0"/>
              <w:rPr>
                <w:sz w:val="16"/>
                <w:szCs w:val="16"/>
                <w:color w:val="auto"/>
              </w:rPr>
            </w:pPr>
          </w:p>
        </w:tc>
        <w:tc>
          <w:tcPr>
            <w:tcW w:w="1280" w:type="dxa"/>
            <w:vAlign w:val="bottom"/>
            <w:gridSpan w:val="2"/>
          </w:tcPr>
          <w:p>
            <w:pPr>
              <w:jc w:val="center"/>
              <w:ind w:right="300"/>
              <w:spacing w:after="0" w:line="192" w:lineRule="exact"/>
              <w:rPr>
                <w:sz w:val="20"/>
                <w:szCs w:val="20"/>
                <w:color w:val="auto"/>
              </w:rPr>
            </w:pPr>
            <w:r>
              <w:rPr>
                <w:rFonts w:ascii="Arial" w:cs="Arial" w:eastAsia="Arial" w:hAnsi="Arial"/>
                <w:sz w:val="17"/>
                <w:szCs w:val="17"/>
                <w:color w:val="auto"/>
              </w:rPr>
              <w:t>—</w:t>
            </w:r>
          </w:p>
        </w:tc>
        <w:tc>
          <w:tcPr>
            <w:tcW w:w="620" w:type="dxa"/>
            <w:vAlign w:val="bottom"/>
          </w:tcPr>
          <w:p>
            <w:pPr>
              <w:jc w:val="center"/>
              <w:spacing w:after="0" w:line="192" w:lineRule="exact"/>
              <w:rPr>
                <w:sz w:val="20"/>
                <w:szCs w:val="20"/>
                <w:color w:val="auto"/>
              </w:rPr>
            </w:pPr>
            <w:r>
              <w:rPr>
                <w:rFonts w:ascii="Arial" w:cs="Arial" w:eastAsia="Arial" w:hAnsi="Arial"/>
                <w:sz w:val="17"/>
                <w:szCs w:val="17"/>
                <w:color w:val="auto"/>
                <w:w w:val="99"/>
              </w:rPr>
              <w:t>66,549</w:t>
            </w:r>
          </w:p>
        </w:tc>
        <w:tc>
          <w:tcPr>
            <w:tcW w:w="0" w:type="dxa"/>
            <w:vAlign w:val="bottom"/>
          </w:tcPr>
          <w:p>
            <w:pPr>
              <w:spacing w:after="0"/>
              <w:rPr>
                <w:sz w:val="1"/>
                <w:szCs w:val="1"/>
                <w:color w:val="auto"/>
              </w:rPr>
            </w:pPr>
          </w:p>
        </w:tc>
      </w:tr>
      <w:tr>
        <w:trPr>
          <w:trHeight w:val="192"/>
        </w:trPr>
        <w:tc>
          <w:tcPr>
            <w:tcW w:w="6100" w:type="dxa"/>
            <w:vAlign w:val="bottom"/>
            <w:shd w:val="clear" w:color="auto" w:fill="CCEEFF"/>
          </w:tcPr>
          <w:p>
            <w:pPr>
              <w:spacing w:after="0" w:line="191" w:lineRule="exact"/>
              <w:rPr>
                <w:sz w:val="20"/>
                <w:szCs w:val="20"/>
                <w:color w:val="auto"/>
              </w:rPr>
            </w:pPr>
            <w:r>
              <w:rPr>
                <w:rFonts w:ascii="Arial" w:cs="Arial" w:eastAsia="Arial" w:hAnsi="Arial"/>
                <w:sz w:val="15"/>
                <w:szCs w:val="15"/>
                <w:color w:val="auto"/>
              </w:rPr>
              <w:t xml:space="preserve">Jakob Loven, Ph.D. </w:t>
            </w:r>
            <w:r>
              <w:rPr>
                <w:rFonts w:ascii="Arial" w:cs="Arial" w:eastAsia="Arial" w:hAnsi="Arial"/>
                <w:sz w:val="22"/>
                <w:szCs w:val="22"/>
                <w:color w:val="auto"/>
                <w:vertAlign w:val="superscript"/>
              </w:rPr>
              <w:t>(5)</w:t>
            </w:r>
          </w:p>
        </w:tc>
        <w:tc>
          <w:tcPr>
            <w:tcW w:w="3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center"/>
              <w:ind w:right="300"/>
              <w:spacing w:after="0" w:line="192" w:lineRule="exact"/>
              <w:rPr>
                <w:sz w:val="20"/>
                <w:szCs w:val="20"/>
                <w:color w:val="auto"/>
              </w:rPr>
            </w:pPr>
            <w:r>
              <w:rPr>
                <w:rFonts w:ascii="Arial" w:cs="Arial" w:eastAsia="Arial" w:hAnsi="Arial"/>
                <w:sz w:val="17"/>
                <w:szCs w:val="17"/>
                <w:color w:val="auto"/>
                <w:w w:val="93"/>
              </w:rPr>
              <w:t>—</w:t>
            </w:r>
          </w:p>
        </w:tc>
        <w:tc>
          <w:tcPr>
            <w:tcW w:w="820" w:type="dxa"/>
            <w:vAlign w:val="bottom"/>
            <w:gridSpan w:val="2"/>
            <w:shd w:val="clear" w:color="auto" w:fill="CCEEFF"/>
          </w:tcPr>
          <w:p>
            <w:pPr>
              <w:jc w:val="center"/>
              <w:ind w:right="300"/>
              <w:spacing w:after="0" w:line="192" w:lineRule="exact"/>
              <w:rPr>
                <w:sz w:val="20"/>
                <w:szCs w:val="20"/>
                <w:color w:val="auto"/>
              </w:rPr>
            </w:pPr>
            <w:r>
              <w:rPr>
                <w:rFonts w:ascii="Arial" w:cs="Arial" w:eastAsia="Arial" w:hAnsi="Arial"/>
                <w:sz w:val="17"/>
                <w:szCs w:val="17"/>
                <w:color w:val="auto"/>
                <w:w w:val="93"/>
              </w:rPr>
              <w:t>—</w:t>
            </w:r>
          </w:p>
        </w:tc>
        <w:tc>
          <w:tcPr>
            <w:tcW w:w="1280" w:type="dxa"/>
            <w:vAlign w:val="bottom"/>
            <w:gridSpan w:val="2"/>
            <w:shd w:val="clear" w:color="auto" w:fill="CCEEFF"/>
          </w:tcPr>
          <w:p>
            <w:pPr>
              <w:jc w:val="center"/>
              <w:ind w:right="300"/>
              <w:spacing w:after="0" w:line="192"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center"/>
              <w:spacing w:after="0" w:line="192" w:lineRule="exact"/>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192"/>
        </w:trPr>
        <w:tc>
          <w:tcPr>
            <w:tcW w:w="6100" w:type="dxa"/>
            <w:vAlign w:val="bottom"/>
          </w:tcPr>
          <w:p>
            <w:pPr>
              <w:spacing w:after="0" w:line="191" w:lineRule="exact"/>
              <w:rPr>
                <w:sz w:val="20"/>
                <w:szCs w:val="20"/>
                <w:color w:val="auto"/>
              </w:rPr>
            </w:pPr>
            <w:r>
              <w:rPr>
                <w:rFonts w:ascii="Arial" w:cs="Arial" w:eastAsia="Arial" w:hAnsi="Arial"/>
                <w:sz w:val="15"/>
                <w:szCs w:val="15"/>
                <w:color w:val="auto"/>
              </w:rPr>
              <w:t xml:space="preserve">Fabio Pucci, Ph.D. </w:t>
            </w:r>
            <w:r>
              <w:rPr>
                <w:rFonts w:ascii="Arial" w:cs="Arial" w:eastAsia="Arial" w:hAnsi="Arial"/>
                <w:sz w:val="22"/>
                <w:szCs w:val="22"/>
                <w:color w:val="auto"/>
                <w:vertAlign w:val="superscript"/>
              </w:rPr>
              <w:t>(6)</w:t>
            </w:r>
          </w:p>
        </w:tc>
        <w:tc>
          <w:tcPr>
            <w:tcW w:w="300" w:type="dxa"/>
            <w:vAlign w:val="bottom"/>
          </w:tcPr>
          <w:p>
            <w:pPr>
              <w:spacing w:after="0"/>
              <w:rPr>
                <w:sz w:val="16"/>
                <w:szCs w:val="16"/>
                <w:color w:val="auto"/>
              </w:rPr>
            </w:pPr>
          </w:p>
        </w:tc>
        <w:tc>
          <w:tcPr>
            <w:tcW w:w="1300" w:type="dxa"/>
            <w:vAlign w:val="bottom"/>
            <w:gridSpan w:val="2"/>
          </w:tcPr>
          <w:p>
            <w:pPr>
              <w:jc w:val="center"/>
              <w:ind w:right="300"/>
              <w:spacing w:after="0" w:line="192" w:lineRule="exact"/>
              <w:rPr>
                <w:sz w:val="20"/>
                <w:szCs w:val="20"/>
                <w:color w:val="auto"/>
              </w:rPr>
            </w:pPr>
            <w:r>
              <w:rPr>
                <w:rFonts w:ascii="Arial" w:cs="Arial" w:eastAsia="Arial" w:hAnsi="Arial"/>
                <w:sz w:val="17"/>
                <w:szCs w:val="17"/>
                <w:color w:val="auto"/>
                <w:w w:val="93"/>
              </w:rPr>
              <w:t>—</w:t>
            </w:r>
          </w:p>
        </w:tc>
        <w:tc>
          <w:tcPr>
            <w:tcW w:w="820" w:type="dxa"/>
            <w:vAlign w:val="bottom"/>
            <w:gridSpan w:val="2"/>
          </w:tcPr>
          <w:p>
            <w:pPr>
              <w:jc w:val="center"/>
              <w:ind w:right="300"/>
              <w:spacing w:after="0" w:line="192" w:lineRule="exact"/>
              <w:rPr>
                <w:sz w:val="20"/>
                <w:szCs w:val="20"/>
                <w:color w:val="auto"/>
              </w:rPr>
            </w:pPr>
            <w:r>
              <w:rPr>
                <w:rFonts w:ascii="Arial" w:cs="Arial" w:eastAsia="Arial" w:hAnsi="Arial"/>
                <w:sz w:val="17"/>
                <w:szCs w:val="17"/>
                <w:color w:val="auto"/>
                <w:w w:val="93"/>
              </w:rPr>
              <w:t>—</w:t>
            </w:r>
          </w:p>
        </w:tc>
        <w:tc>
          <w:tcPr>
            <w:tcW w:w="1280" w:type="dxa"/>
            <w:vAlign w:val="bottom"/>
            <w:gridSpan w:val="2"/>
          </w:tcPr>
          <w:p>
            <w:pPr>
              <w:jc w:val="center"/>
              <w:ind w:right="300"/>
              <w:spacing w:after="0" w:line="192" w:lineRule="exact"/>
              <w:rPr>
                <w:sz w:val="20"/>
                <w:szCs w:val="20"/>
                <w:color w:val="auto"/>
              </w:rPr>
            </w:pPr>
            <w:r>
              <w:rPr>
                <w:rFonts w:ascii="Arial" w:cs="Arial" w:eastAsia="Arial" w:hAnsi="Arial"/>
                <w:sz w:val="17"/>
                <w:szCs w:val="17"/>
                <w:color w:val="auto"/>
              </w:rPr>
              <w:t>—</w:t>
            </w:r>
          </w:p>
        </w:tc>
        <w:tc>
          <w:tcPr>
            <w:tcW w:w="620" w:type="dxa"/>
            <w:vAlign w:val="bottom"/>
          </w:tcPr>
          <w:p>
            <w:pPr>
              <w:jc w:val="center"/>
              <w:spacing w:after="0" w:line="192" w:lineRule="exact"/>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192"/>
        </w:trPr>
        <w:tc>
          <w:tcPr>
            <w:tcW w:w="6100" w:type="dxa"/>
            <w:vAlign w:val="bottom"/>
            <w:shd w:val="clear" w:color="auto" w:fill="CCEEFF"/>
          </w:tcPr>
          <w:p>
            <w:pPr>
              <w:spacing w:after="0" w:line="191" w:lineRule="exact"/>
              <w:rPr>
                <w:sz w:val="20"/>
                <w:szCs w:val="20"/>
                <w:color w:val="auto"/>
              </w:rPr>
            </w:pPr>
            <w:r>
              <w:rPr>
                <w:rFonts w:ascii="Arial" w:cs="Arial" w:eastAsia="Arial" w:hAnsi="Arial"/>
                <w:sz w:val="15"/>
                <w:szCs w:val="15"/>
                <w:color w:val="auto"/>
              </w:rPr>
              <w:t xml:space="preserve">Nancy Whiting, Pharm.D. </w:t>
            </w:r>
            <w:r>
              <w:rPr>
                <w:rFonts w:ascii="Arial" w:cs="Arial" w:eastAsia="Arial" w:hAnsi="Arial"/>
                <w:sz w:val="22"/>
                <w:szCs w:val="22"/>
                <w:color w:val="auto"/>
                <w:vertAlign w:val="superscript"/>
              </w:rPr>
              <w:t>(2)(3)</w:t>
            </w:r>
          </w:p>
        </w:tc>
        <w:tc>
          <w:tcPr>
            <w:tcW w:w="3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center"/>
              <w:ind w:right="300"/>
              <w:spacing w:after="0" w:line="192" w:lineRule="exact"/>
              <w:rPr>
                <w:sz w:val="20"/>
                <w:szCs w:val="20"/>
                <w:color w:val="auto"/>
              </w:rPr>
            </w:pPr>
            <w:r>
              <w:rPr>
                <w:rFonts w:ascii="Arial" w:cs="Arial" w:eastAsia="Arial" w:hAnsi="Arial"/>
                <w:sz w:val="17"/>
                <w:szCs w:val="17"/>
                <w:color w:val="auto"/>
                <w:w w:val="93"/>
              </w:rPr>
              <w:t>—</w:t>
            </w:r>
          </w:p>
        </w:tc>
        <w:tc>
          <w:tcPr>
            <w:tcW w:w="520" w:type="dxa"/>
            <w:vAlign w:val="bottom"/>
            <w:shd w:val="clear" w:color="auto" w:fill="CCEEFF"/>
          </w:tcPr>
          <w:p>
            <w:pPr>
              <w:jc w:val="center"/>
              <w:spacing w:after="0" w:line="192" w:lineRule="exact"/>
              <w:rPr>
                <w:sz w:val="20"/>
                <w:szCs w:val="20"/>
                <w:color w:val="auto"/>
              </w:rPr>
            </w:pPr>
            <w:r>
              <w:rPr>
                <w:rFonts w:ascii="Arial" w:cs="Arial" w:eastAsia="Arial" w:hAnsi="Arial"/>
                <w:sz w:val="17"/>
                <w:szCs w:val="17"/>
                <w:color w:val="auto"/>
              </w:rPr>
              <w:t>6,250</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line="192" w:lineRule="exact"/>
              <w:rPr>
                <w:sz w:val="20"/>
                <w:szCs w:val="20"/>
                <w:color w:val="auto"/>
              </w:rPr>
            </w:pPr>
            <w:r>
              <w:rPr>
                <w:rFonts w:ascii="Arial" w:cs="Arial" w:eastAsia="Arial" w:hAnsi="Arial"/>
                <w:sz w:val="17"/>
                <w:szCs w:val="17"/>
                <w:color w:val="auto"/>
                <w:w w:val="99"/>
              </w:rPr>
              <w:t>96,487</w:t>
            </w: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jc w:val="center"/>
              <w:spacing w:after="0" w:line="192" w:lineRule="exact"/>
              <w:rPr>
                <w:sz w:val="20"/>
                <w:szCs w:val="20"/>
                <w:color w:val="auto"/>
              </w:rPr>
            </w:pPr>
            <w:r>
              <w:rPr>
                <w:rFonts w:ascii="Arial" w:cs="Arial" w:eastAsia="Arial" w:hAnsi="Arial"/>
                <w:sz w:val="17"/>
                <w:szCs w:val="17"/>
                <w:color w:val="auto"/>
              </w:rPr>
              <w:t>102,737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89535</wp:posOffset>
            </wp:positionV>
            <wp:extent cx="73025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164" w:lineRule="exact"/>
        <w:rPr>
          <w:sz w:val="20"/>
          <w:szCs w:val="20"/>
          <w:color w:val="auto"/>
        </w:rPr>
      </w:pPr>
    </w:p>
    <w:p>
      <w:pPr>
        <w:ind w:left="820" w:right="20" w:hanging="409"/>
        <w:spacing w:after="0" w:line="230" w:lineRule="auto"/>
        <w:tabs>
          <w:tab w:leader="none" w:pos="8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amounts reported in the “Option Awards” column represent the aggregate grant date fair value of the stock options awarded to our non-employee directors during the fiscal year ending December 31, 2023, calculated in accordance with FASB ASC Topic 718. For Drs. Lim and Cravatt and Ms. Lew, the amounts reported in the “Option Awards” column also include the incremental fair value associated with the modification in 2023 of the exercise prices of the options granted to them in 2021 and 2022 in connection with our option repricing in June 2023 computed in accordance with FASB ASC Topic 718 as follows: Dr. Lim, $7,078, Dr. Cravatt, $3,539, and Ms. Lew, $11,323. The assumptions used in calculating the grant date fair value and incremental fair value of the awards reported in this column are set forth in the notes to our financial statements included elsewhere in this prospectus. The amounts reported in this column reflect the accounting cost for the stock options and do not reflect the actual economic value that will be realized by the individual upon the vesting of the stock options, the exercise of the stock options or the sale of the common stock underlying such awards.</w:t>
      </w:r>
    </w:p>
    <w:p>
      <w:pPr>
        <w:spacing w:after="0" w:line="4" w:lineRule="exact"/>
        <w:rPr>
          <w:rFonts w:ascii="Arial" w:cs="Arial" w:eastAsia="Arial" w:hAnsi="Arial"/>
          <w:sz w:val="14"/>
          <w:szCs w:val="14"/>
          <w:color w:val="auto"/>
        </w:rPr>
      </w:pPr>
    </w:p>
    <w:p>
      <w:pPr>
        <w:ind w:left="820" w:right="380" w:hanging="409"/>
        <w:spacing w:after="0" w:line="228" w:lineRule="auto"/>
        <w:tabs>
          <w:tab w:leader="none" w:pos="8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As of December 31, 2023, each of Dr. Lim and Ms. Lew held options to purchase 27,691 shares of our common stock and each of Drs. Cravatt, Christensen and Whiting held options to purchase 27,692 shares of our common stock.</w:t>
      </w:r>
    </w:p>
    <w:p>
      <w:pPr>
        <w:ind w:left="820" w:hanging="409"/>
        <w:spacing w:after="0" w:line="228" w:lineRule="auto"/>
        <w:tabs>
          <w:tab w:leader="none" w:pos="8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Drs. Christensen and Whiting were appointed as directors commencing October 2, 2023.</w:t>
      </w:r>
    </w:p>
    <w:p>
      <w:pPr>
        <w:ind w:left="820" w:hanging="409"/>
        <w:spacing w:after="0" w:line="228" w:lineRule="auto"/>
        <w:tabs>
          <w:tab w:leader="none" w:pos="8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Dr. Cravatt ceased serving as a director in September 2023.</w:t>
      </w:r>
    </w:p>
    <w:p>
      <w:pPr>
        <w:ind w:left="820" w:hanging="409"/>
        <w:spacing w:after="0" w:line="228" w:lineRule="auto"/>
        <w:tabs>
          <w:tab w:leader="none" w:pos="8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Dr. Loven will resign from our board of directors immediately prior to the effectiveness of the registration statement of which this prospectus forms a part.</w:t>
      </w:r>
    </w:p>
    <w:p>
      <w:pPr>
        <w:ind w:left="820" w:right="600" w:hanging="409"/>
        <w:spacing w:after="0" w:line="238" w:lineRule="auto"/>
        <w:tabs>
          <w:tab w:leader="none" w:pos="8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Dr. Pucci was appointed as a director commencing April 5, 2023. Dr. Pucci will resign from our board of directors immediately prior to the effectiveness of the registration statement of which this prospectus forms a part.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Post-IPO Director Compensation Program</w:t>
      </w:r>
    </w:p>
    <w:p>
      <w:pPr>
        <w:spacing w:after="0" w:line="98" w:lineRule="exact"/>
        <w:rPr>
          <w:sz w:val="20"/>
          <w:szCs w:val="20"/>
          <w:color w:val="auto"/>
        </w:rPr>
      </w:pPr>
    </w:p>
    <w:p>
      <w:pPr>
        <w:ind w:left="420" w:right="160" w:firstLine="521"/>
        <w:spacing w:after="0" w:line="252" w:lineRule="auto"/>
        <w:rPr>
          <w:sz w:val="20"/>
          <w:szCs w:val="20"/>
          <w:color w:val="auto"/>
        </w:rPr>
      </w:pPr>
      <w:r>
        <w:rPr>
          <w:rFonts w:ascii="Arial" w:cs="Arial" w:eastAsia="Arial" w:hAnsi="Arial"/>
          <w:sz w:val="17"/>
          <w:szCs w:val="17"/>
          <w:color w:val="auto"/>
        </w:rPr>
        <w:t>In connection with this offering, our board of directors has adopted and our stockholders have approved the initial terms of our non-employee director compensation program. The material terms of the non-employee director compensation program are summarized below.</w:t>
      </w:r>
    </w:p>
    <w:p>
      <w:pPr>
        <w:spacing w:after="0" w:line="164" w:lineRule="exact"/>
        <w:rPr>
          <w:sz w:val="20"/>
          <w:szCs w:val="20"/>
          <w:color w:val="auto"/>
        </w:rPr>
      </w:pPr>
    </w:p>
    <w:p>
      <w:pPr>
        <w:ind w:left="420" w:right="60" w:firstLine="521"/>
        <w:spacing w:after="0" w:line="238" w:lineRule="auto"/>
        <w:rPr>
          <w:sz w:val="20"/>
          <w:szCs w:val="20"/>
          <w:color w:val="auto"/>
        </w:rPr>
      </w:pPr>
      <w:r>
        <w:rPr>
          <w:rFonts w:ascii="Arial" w:cs="Arial" w:eastAsia="Arial" w:hAnsi="Arial"/>
          <w:sz w:val="17"/>
          <w:szCs w:val="17"/>
          <w:color w:val="auto"/>
        </w:rPr>
        <w:t>The non-employee director compensation program will provide for annual retainer fees and equity awards for our non-employee directors. We expect each non-employee director will receive an annual retainer of $40,000, with the non-employee director serving as chair of the board of directors or lead independent director receiving an additional annual retainer of $30,000. The non-employee directors serving as the chairs of the audit, compensation, and nominating and corporate governance committees will receive additional annual retainers of $15,000, $10,000 and $8,000, respectively. Non-employee directors serving as members of the audit, compensation, and nominating and corporate governance committees will receive additional annual retainers of $7,500, $5,000 and $4,000, respectively. Non-employee directors commencing service following this offering will also receive initial grants of options to purchase 27,000 shares of our common stock, vesting in substantially equal monthly installments over three years following the date of initial election or appointment to the board of directors. Each year on the date of each annual meeting, each non-employee director will receive an annual grant of options to purchase 13,500 shares of our common stock, vesting in substantially equal monthly installments over the 12 months following the date of grant (or, in the event the next annual meeting of our stockholders occurs prior to the first anniversary of the date of grant, any remaining unvested portion of the annual award will vest on the date of such annual meeting of our stockholders). Awards to our non-employee directors will also vest in the event of a change in control or upon a non-employee director’s death or disability.</w:t>
      </w:r>
    </w:p>
    <w:p>
      <w:pPr>
        <w:spacing w:after="0" w:line="112"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191</w:t>
      </w:r>
    </w:p>
    <w:p>
      <w:pPr>
        <w:sectPr>
          <w:pgSz w:w="11900" w:h="16838" w:orient="portrait"/>
          <w:cols w:equalWidth="0" w:num="1">
            <w:col w:w="10840"/>
          </w:cols>
          <w:pgMar w:left="320" w:top="439" w:right="7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firstLine="521"/>
        <w:spacing w:after="0" w:line="242" w:lineRule="auto"/>
        <w:rPr>
          <w:sz w:val="20"/>
          <w:szCs w:val="20"/>
          <w:color w:val="auto"/>
        </w:rPr>
      </w:pPr>
      <w:r>
        <w:rPr>
          <w:rFonts w:ascii="Arial" w:cs="Arial" w:eastAsia="Arial" w:hAnsi="Arial"/>
          <w:sz w:val="17"/>
          <w:szCs w:val="17"/>
          <w:color w:val="auto"/>
        </w:rPr>
        <w:t>Compensation under our non-employee director compensation program will be subject to the annual limits on non-employee director compensation set forth in the 2024 Plan, as described above (which limits will not apply to any non-employee director that serves in any additional capacity with the company for which he or she receives compensation or any compensation paid to any non-employee director prior to the calendar year following the calendar year in which this offering occurs). As provided in the 2024 Plan, our board of directors or its authorized committee may make exceptions to this limit for individual non-employee directors as the board of directors or its authorized committee may determine in its discretion.</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Limitations of Liability and Indemnification Matters</w:t>
      </w:r>
    </w:p>
    <w:p>
      <w:pPr>
        <w:spacing w:after="0" w:line="201" w:lineRule="exact"/>
        <w:rPr>
          <w:sz w:val="20"/>
          <w:szCs w:val="20"/>
          <w:color w:val="auto"/>
        </w:rPr>
      </w:pPr>
    </w:p>
    <w:p>
      <w:pPr>
        <w:ind w:left="420" w:right="140" w:firstLine="521"/>
        <w:spacing w:after="0" w:line="252" w:lineRule="auto"/>
        <w:rPr>
          <w:sz w:val="20"/>
          <w:szCs w:val="20"/>
          <w:color w:val="auto"/>
        </w:rPr>
      </w:pPr>
      <w:r>
        <w:rPr>
          <w:rFonts w:ascii="Arial" w:cs="Arial" w:eastAsia="Arial" w:hAnsi="Arial"/>
          <w:sz w:val="17"/>
          <w:szCs w:val="17"/>
          <w:color w:val="auto"/>
        </w:rPr>
        <w:t>Our amended and restated certificate of incorporation and our amended and restated bylaws provide that we will indemnify our directors and officers to the fullest extent permitted by the Delaware General Corporation Law, which prohibits our amended and restated certificate of incorporation from limiting the liability of our directors for the following:</w:t>
      </w:r>
    </w:p>
    <w:p>
      <w:pPr>
        <w:spacing w:after="0" w:line="74" w:lineRule="exact"/>
        <w:rPr>
          <w:sz w:val="20"/>
          <w:szCs w:val="20"/>
          <w:color w:val="auto"/>
        </w:rPr>
      </w:pPr>
    </w:p>
    <w:p>
      <w:pPr>
        <w:ind w:left="1660" w:hanging="418"/>
        <w:spacing w:after="0"/>
        <w:tabs>
          <w:tab w:leader="none" w:pos="16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any breach of the director’s duty of loyalty to us or our stockholders;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acts or omissions not in good faith or that involve intentional misconduct or a knowing violation of law;</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unlawful payment of dividends or unlawful stock repurchases or redemptions; or</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personal benefit.</w:t>
      </w:r>
    </w:p>
    <w:p>
      <w:pPr>
        <w:spacing w:after="0" w:line="201" w:lineRule="exact"/>
        <w:rPr>
          <w:sz w:val="20"/>
          <w:szCs w:val="20"/>
          <w:color w:val="auto"/>
        </w:rPr>
      </w:pPr>
    </w:p>
    <w:p>
      <w:pPr>
        <w:ind w:left="420" w:right="120" w:firstLine="521"/>
        <w:spacing w:after="0" w:line="244" w:lineRule="auto"/>
        <w:rPr>
          <w:sz w:val="20"/>
          <w:szCs w:val="20"/>
          <w:color w:val="auto"/>
        </w:rPr>
      </w:pPr>
      <w:r>
        <w:rPr>
          <w:rFonts w:ascii="Arial" w:cs="Arial" w:eastAsia="Arial" w:hAnsi="Arial"/>
          <w:sz w:val="17"/>
          <w:szCs w:val="17"/>
          <w:color w:val="auto"/>
        </w:rPr>
        <w:t>Our amended and restated certificate of incorporation and our amended and restated bylaws also provide that if Delaware law is amended to authorize corporate action further eliminating or limiting the personal liability of a director, then the liability of our directors will be eliminated or limited to the fullest extent permitted by Delaware law, as so amended. This limitation of liability does not apply to liabilities arising under the federal securities laws and does not affect the availability of equitable remedies such as injunctive relief or rescission.</w:t>
      </w:r>
    </w:p>
    <w:p>
      <w:pPr>
        <w:spacing w:after="0" w:line="169" w:lineRule="exact"/>
        <w:rPr>
          <w:sz w:val="20"/>
          <w:szCs w:val="20"/>
          <w:color w:val="auto"/>
        </w:rPr>
      </w:pPr>
    </w:p>
    <w:p>
      <w:pPr>
        <w:ind w:left="420" w:right="40" w:firstLine="521"/>
        <w:spacing w:after="0" w:line="244" w:lineRule="auto"/>
        <w:rPr>
          <w:sz w:val="20"/>
          <w:szCs w:val="20"/>
          <w:color w:val="auto"/>
        </w:rPr>
      </w:pPr>
      <w:r>
        <w:rPr>
          <w:rFonts w:ascii="Arial" w:cs="Arial" w:eastAsia="Arial" w:hAnsi="Arial"/>
          <w:sz w:val="17"/>
          <w:szCs w:val="17"/>
          <w:color w:val="auto"/>
        </w:rPr>
        <w:t>Our amended and restated certificate of incorporation and our amended and restated bylaws also provide that we shall have the power to indemnify our employees and agents to the fullest extent permitted by law. Our amended and restated bylaws also permit us to secure insurance on behalf of any officer, director, employee, or other agent for any liability arising out of his or her actions in this capacity, regardless of whether our amended and restated bylaws would permit indemnification. We have obtained directors’ and officers’ liability insurance.</w:t>
      </w:r>
    </w:p>
    <w:p>
      <w:pPr>
        <w:spacing w:after="0" w:line="169" w:lineRule="exact"/>
        <w:rPr>
          <w:sz w:val="20"/>
          <w:szCs w:val="20"/>
          <w:color w:val="auto"/>
        </w:rPr>
      </w:pPr>
    </w:p>
    <w:p>
      <w:pPr>
        <w:ind w:left="420" w:right="80" w:firstLine="521"/>
        <w:spacing w:after="0" w:line="242" w:lineRule="auto"/>
        <w:rPr>
          <w:sz w:val="20"/>
          <w:szCs w:val="20"/>
          <w:color w:val="auto"/>
        </w:rPr>
      </w:pPr>
      <w:r>
        <w:rPr>
          <w:rFonts w:ascii="Arial" w:cs="Arial" w:eastAsia="Arial" w:hAnsi="Arial"/>
          <w:sz w:val="17"/>
          <w:szCs w:val="17"/>
          <w:color w:val="auto"/>
        </w:rPr>
        <w:t>We have entered into separate indemnification agreements with our directors and executive officers, in addition to indemnification provided for in our amended and restated certificate of incorporation and amended and restated bylaws. These agreements, among other things, provide for indemnification of our directors and executive officers for expenses, judgments, fines, and settlement amounts incurred by this person in any action or proceeding arising out of this person’s services as a director or executive officer or at our request. We believe that these provisions in our amended and restated certificate of incorporation and amended and restated bylaws and indemnification agreements are necessary to attract and retain qualified persons as directors and executive officers.</w:t>
      </w:r>
    </w:p>
    <w:p>
      <w:pPr>
        <w:spacing w:after="0" w:line="172" w:lineRule="exact"/>
        <w:rPr>
          <w:sz w:val="20"/>
          <w:szCs w:val="20"/>
          <w:color w:val="auto"/>
        </w:rPr>
      </w:pPr>
    </w:p>
    <w:p>
      <w:pPr>
        <w:ind w:left="420" w:right="120" w:firstLine="521"/>
        <w:spacing w:after="0" w:line="252" w:lineRule="auto"/>
        <w:rPr>
          <w:sz w:val="20"/>
          <w:szCs w:val="20"/>
          <w:color w:val="auto"/>
        </w:rPr>
      </w:pPr>
      <w:r>
        <w:rPr>
          <w:rFonts w:ascii="Arial" w:cs="Arial" w:eastAsia="Arial" w:hAnsi="Arial"/>
          <w:sz w:val="17"/>
          <w:szCs w:val="17"/>
          <w:color w:val="auto"/>
        </w:rPr>
        <w:t>The above description of indemnification provisions of our amended and restated certificate of incorporation, our amended and restated bylaws and our indemnification agreements is not complete and is qualified in its entirety by reference to these documents, each of which is filed as an exhibit to the registration statement of which this prospectus is a part.</w:t>
      </w:r>
    </w:p>
    <w:p>
      <w:pPr>
        <w:spacing w:after="0" w:line="164" w:lineRule="exact"/>
        <w:rPr>
          <w:sz w:val="20"/>
          <w:szCs w:val="20"/>
          <w:color w:val="auto"/>
        </w:rPr>
      </w:pPr>
    </w:p>
    <w:p>
      <w:pPr>
        <w:ind w:left="420" w:right="180" w:firstLine="521"/>
        <w:spacing w:after="0" w:line="270"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and amended and restated bylaws may discourage stockholders from bringing a lawsuit</w:t>
      </w:r>
    </w:p>
    <w:p>
      <w:pPr>
        <w:spacing w:after="0" w:line="8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192</w:t>
      </w:r>
    </w:p>
    <w:p>
      <w:pPr>
        <w:sectPr>
          <w:pgSz w:w="11900" w:h="16838" w:orient="portrait"/>
          <w:cols w:equalWidth="0" w:num="1">
            <w:col w:w="10840"/>
          </w:cols>
          <w:pgMar w:left="320" w:top="439" w:right="7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indemnification for liabilities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1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193</w:t>
      </w:r>
    </w:p>
    <w:p>
      <w:pPr>
        <w:sectPr>
          <w:pgSz w:w="11900" w:h="16838" w:orient="portrait"/>
          <w:cols w:equalWidth="0" w:num="1">
            <w:col w:w="10820"/>
          </w:cols>
          <w:pgMar w:left="320" w:top="439" w:right="7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CERTAIN RELATIONSHIPS AND RELATED PERSON TRANSACTIONS</w:t>
      </w:r>
    </w:p>
    <w:p>
      <w:pPr>
        <w:spacing w:after="0" w:line="201" w:lineRule="exact"/>
        <w:rPr>
          <w:sz w:val="20"/>
          <w:szCs w:val="20"/>
          <w:color w:val="auto"/>
        </w:rPr>
      </w:pPr>
    </w:p>
    <w:p>
      <w:pPr>
        <w:ind w:left="420" w:right="40" w:firstLine="521"/>
        <w:spacing w:after="0" w:line="242" w:lineRule="auto"/>
        <w:rPr>
          <w:sz w:val="20"/>
          <w:szCs w:val="20"/>
          <w:color w:val="auto"/>
        </w:rPr>
      </w:pPr>
      <w:r>
        <w:rPr>
          <w:rFonts w:ascii="Arial" w:cs="Arial" w:eastAsia="Arial" w:hAnsi="Arial"/>
          <w:sz w:val="17"/>
          <w:szCs w:val="17"/>
          <w:color w:val="auto"/>
        </w:rPr>
        <w:t>The following includes a summary of transactions since January 1, 2021 to which we have been a party in which the amount involved exceeded or will exceed the lesser of $120,000 and one percent of the average of our total assets as of December 31, 2022 and 2023,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in the section titled “Executive and Director Compensation.” We also describe below certain other transactions with our directors, executive officers, and stockholders.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Convertible Preferred Stock Financings</w:t>
      </w:r>
    </w:p>
    <w:p>
      <w:pPr>
        <w:spacing w:after="0" w:line="201" w:lineRule="exact"/>
        <w:rPr>
          <w:sz w:val="20"/>
          <w:szCs w:val="20"/>
          <w:color w:val="auto"/>
        </w:rPr>
      </w:pPr>
    </w:p>
    <w:p>
      <w:pPr>
        <w:ind w:left="420" w:right="160" w:firstLine="521"/>
        <w:spacing w:after="0" w:line="242" w:lineRule="auto"/>
        <w:rPr>
          <w:sz w:val="20"/>
          <w:szCs w:val="20"/>
          <w:color w:val="auto"/>
        </w:rPr>
      </w:pPr>
      <w:r>
        <w:rPr>
          <w:rFonts w:ascii="Arial" w:cs="Arial" w:eastAsia="Arial" w:hAnsi="Arial"/>
          <w:sz w:val="17"/>
          <w:szCs w:val="17"/>
          <w:i w:val="1"/>
          <w:iCs w:val="1"/>
          <w:color w:val="auto"/>
        </w:rPr>
        <w:t xml:space="preserve">Series A Convertible Preferred Stock Financings. </w:t>
      </w:r>
      <w:r>
        <w:rPr>
          <w:rFonts w:ascii="Arial" w:cs="Arial" w:eastAsia="Arial" w:hAnsi="Arial"/>
          <w:sz w:val="17"/>
          <w:szCs w:val="17"/>
          <w:color w:val="auto"/>
        </w:rPr>
        <w:t>In July 2020, we sold to investors in private placements an aggregate of</w:t>
      </w:r>
      <w:r>
        <w:rPr>
          <w:rFonts w:ascii="Arial" w:cs="Arial" w:eastAsia="Arial" w:hAnsi="Arial"/>
          <w:sz w:val="17"/>
          <w:szCs w:val="17"/>
          <w:i w:val="1"/>
          <w:iCs w:val="1"/>
          <w:color w:val="auto"/>
        </w:rPr>
        <w:t xml:space="preserve"> </w:t>
      </w:r>
      <w:r>
        <w:rPr>
          <w:rFonts w:ascii="Arial" w:cs="Arial" w:eastAsia="Arial" w:hAnsi="Arial"/>
          <w:sz w:val="17"/>
          <w:szCs w:val="17"/>
          <w:color w:val="auto"/>
        </w:rPr>
        <w:t>33,189,295 shares of Series A convertible preferred stock, pursuant to a Series A preferred stock purchase agreement originally entered into in August 2018, as amended in June 2019, to provide for additional closings. The per share purchase price was $0.70, and we received gross proceeds of approximately $23.2 million. In previous closings in August 2018 and June 2019, we sold to investors, in private placements, an aggregate of 33,189,295 shares of Series A convertible preferred stock at the same per share purchase price for additional gross proceeds of $23.2 million.</w:t>
      </w:r>
    </w:p>
    <w:p>
      <w:pPr>
        <w:spacing w:after="0" w:line="172" w:lineRule="exact"/>
        <w:rPr>
          <w:sz w:val="20"/>
          <w:szCs w:val="20"/>
          <w:color w:val="auto"/>
        </w:rPr>
      </w:pPr>
    </w:p>
    <w:p>
      <w:pPr>
        <w:ind w:left="420" w:right="140" w:firstLine="521"/>
        <w:spacing w:after="0" w:line="252" w:lineRule="auto"/>
        <w:rPr>
          <w:sz w:val="20"/>
          <w:szCs w:val="20"/>
          <w:color w:val="auto"/>
        </w:rPr>
      </w:pPr>
      <w:r>
        <w:rPr>
          <w:rFonts w:ascii="Arial" w:cs="Arial" w:eastAsia="Arial" w:hAnsi="Arial"/>
          <w:sz w:val="17"/>
          <w:szCs w:val="17"/>
          <w:i w:val="1"/>
          <w:iCs w:val="1"/>
          <w:color w:val="auto"/>
        </w:rPr>
        <w:t xml:space="preserve">Series B Convertible Preferred Stock Financings. </w:t>
      </w:r>
      <w:r>
        <w:rPr>
          <w:rFonts w:ascii="Arial" w:cs="Arial" w:eastAsia="Arial" w:hAnsi="Arial"/>
          <w:sz w:val="17"/>
          <w:szCs w:val="17"/>
          <w:color w:val="auto"/>
        </w:rPr>
        <w:t>In April 2021, we entered into a Series B preferred stock purchase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which we sold to investors, in private placements, an aggregate of 78,211,116 shares of Series B convertible preferred stock. The per share purchase price was $1.35, and we received gross proceeds of approximately $105.6 million.</w:t>
      </w:r>
    </w:p>
    <w:p>
      <w:pPr>
        <w:spacing w:after="0" w:line="164" w:lineRule="exact"/>
        <w:rPr>
          <w:sz w:val="20"/>
          <w:szCs w:val="20"/>
          <w:color w:val="auto"/>
        </w:rPr>
      </w:pPr>
    </w:p>
    <w:p>
      <w:pPr>
        <w:ind w:left="420" w:right="260" w:firstLine="521"/>
        <w:spacing w:after="0" w:line="252" w:lineRule="auto"/>
        <w:rPr>
          <w:sz w:val="20"/>
          <w:szCs w:val="20"/>
          <w:color w:val="auto"/>
        </w:rPr>
      </w:pPr>
      <w:r>
        <w:rPr>
          <w:rFonts w:ascii="Arial" w:cs="Arial" w:eastAsia="Arial" w:hAnsi="Arial"/>
          <w:sz w:val="17"/>
          <w:szCs w:val="17"/>
          <w:i w:val="1"/>
          <w:iCs w:val="1"/>
          <w:color w:val="auto"/>
        </w:rPr>
        <w:t xml:space="preserve">Series C Convertible Preferred Stock Financings. </w:t>
      </w:r>
      <w:r>
        <w:rPr>
          <w:rFonts w:ascii="Arial" w:cs="Arial" w:eastAsia="Arial" w:hAnsi="Arial"/>
          <w:sz w:val="17"/>
          <w:szCs w:val="17"/>
          <w:color w:val="auto"/>
        </w:rPr>
        <w:t>In April 2023, we entered into a Series C preferred stock purchase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which in April and May 2023 we sold to investors, in private placements, an aggregate of 142,857,138 shares of Series C convertible preferred stock. The per share purchase price was $0.70, and we received gross proceeds of approximately $100.0 million.</w:t>
      </w:r>
    </w:p>
    <w:p>
      <w:pPr>
        <w:spacing w:after="0" w:line="164" w:lineRule="exact"/>
        <w:rPr>
          <w:sz w:val="20"/>
          <w:szCs w:val="20"/>
          <w:color w:val="auto"/>
        </w:rPr>
      </w:pPr>
    </w:p>
    <w:p>
      <w:pPr>
        <w:jc w:val="both"/>
        <w:ind w:left="420" w:right="20" w:firstLine="521"/>
        <w:spacing w:after="0" w:line="252" w:lineRule="auto"/>
        <w:rPr>
          <w:sz w:val="20"/>
          <w:szCs w:val="20"/>
          <w:color w:val="auto"/>
        </w:rPr>
      </w:pPr>
      <w:r>
        <w:rPr>
          <w:rFonts w:ascii="Arial" w:cs="Arial" w:eastAsia="Arial" w:hAnsi="Arial"/>
          <w:sz w:val="17"/>
          <w:szCs w:val="17"/>
          <w:color w:val="auto"/>
        </w:rPr>
        <w:t>The following table sets forth the aggregate number of shares acquired by the listed directors, executive officers, or holders of more than 5% of our capital stock, or their affiliates. Each outstanding share of convertible preferred stock, including the shares identified in the table below, will convert into shares of common stock at a ratio of 19.5-for-one immediately prior to the closing of this offering.</w:t>
      </w:r>
    </w:p>
    <w:p>
      <w:pPr>
        <w:spacing w:after="0" w:line="189"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Series A</w:t>
            </w: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Series B</w:t>
            </w: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Series C</w:t>
            </w:r>
          </w:p>
        </w:tc>
        <w:tc>
          <w:tcPr>
            <w:tcW w:w="0" w:type="dxa"/>
            <w:vAlign w:val="bottom"/>
          </w:tcPr>
          <w:p>
            <w:pPr>
              <w:spacing w:after="0"/>
              <w:rPr>
                <w:sz w:val="1"/>
                <w:szCs w:val="1"/>
                <w:color w:val="auto"/>
              </w:rPr>
            </w:pPr>
          </w:p>
        </w:tc>
      </w:tr>
      <w:tr>
        <w:trPr>
          <w:trHeight w:val="153"/>
        </w:trPr>
        <w:tc>
          <w:tcPr>
            <w:tcW w:w="6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8"/>
              </w:rPr>
              <w:t>Convertible</w:t>
            </w:r>
          </w:p>
        </w:tc>
        <w:tc>
          <w:tcPr>
            <w:tcW w:w="124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6"/>
              </w:rPr>
              <w:t>Convertible</w:t>
            </w:r>
          </w:p>
        </w:tc>
        <w:tc>
          <w:tcPr>
            <w:tcW w:w="1200" w:type="dxa"/>
            <w:vAlign w:val="bottom"/>
            <w:gridSpan w:val="2"/>
          </w:tcPr>
          <w:p>
            <w:pPr>
              <w:jc w:val="center"/>
              <w:ind w:right="60"/>
              <w:spacing w:after="0" w:line="153" w:lineRule="exact"/>
              <w:rPr>
                <w:sz w:val="20"/>
                <w:szCs w:val="20"/>
                <w:color w:val="auto"/>
              </w:rPr>
            </w:pPr>
            <w:r>
              <w:rPr>
                <w:rFonts w:ascii="Arial" w:cs="Arial" w:eastAsia="Arial" w:hAnsi="Arial"/>
                <w:sz w:val="14"/>
                <w:szCs w:val="14"/>
                <w:b w:val="1"/>
                <w:bCs w:val="1"/>
                <w:color w:val="auto"/>
                <w:w w:val="96"/>
              </w:rPr>
              <w:t>Convertible</w:t>
            </w:r>
          </w:p>
        </w:tc>
        <w:tc>
          <w:tcPr>
            <w:tcW w:w="0" w:type="dxa"/>
            <w:vAlign w:val="bottom"/>
          </w:tcPr>
          <w:p>
            <w:pPr>
              <w:spacing w:after="0"/>
              <w:rPr>
                <w:sz w:val="1"/>
                <w:szCs w:val="1"/>
                <w:color w:val="auto"/>
              </w:rPr>
            </w:pPr>
          </w:p>
        </w:tc>
      </w:tr>
      <w:tr>
        <w:trPr>
          <w:trHeight w:val="153"/>
        </w:trPr>
        <w:tc>
          <w:tcPr>
            <w:tcW w:w="6760" w:type="dxa"/>
            <w:vAlign w:val="bottom"/>
            <w:gridSpan w:val="2"/>
            <w:vMerge w:val="restart"/>
          </w:tcPr>
          <w:p>
            <w:pPr>
              <w:ind w:left="2940"/>
              <w:spacing w:after="0"/>
              <w:rPr>
                <w:sz w:val="20"/>
                <w:szCs w:val="20"/>
                <w:color w:val="auto"/>
              </w:rPr>
            </w:pPr>
            <w:r>
              <w:rPr>
                <w:rFonts w:ascii="Arial" w:cs="Arial" w:eastAsia="Arial" w:hAnsi="Arial"/>
                <w:sz w:val="14"/>
                <w:szCs w:val="14"/>
                <w:b w:val="1"/>
                <w:bCs w:val="1"/>
                <w:color w:val="auto"/>
              </w:rPr>
              <w:t>Participants</w:t>
            </w:r>
          </w:p>
        </w:tc>
        <w:tc>
          <w:tcPr>
            <w:tcW w:w="12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6"/>
              </w:rPr>
              <w:t>Preferred</w:t>
            </w:r>
          </w:p>
        </w:tc>
        <w:tc>
          <w:tcPr>
            <w:tcW w:w="124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9"/>
              </w:rPr>
              <w:t>Preferred</w:t>
            </w:r>
          </w:p>
        </w:tc>
        <w:tc>
          <w:tcPr>
            <w:tcW w:w="120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6"/>
              </w:rPr>
              <w:t>Preferred</w:t>
            </w:r>
          </w:p>
        </w:tc>
        <w:tc>
          <w:tcPr>
            <w:tcW w:w="0" w:type="dxa"/>
            <w:vAlign w:val="bottom"/>
          </w:tcPr>
          <w:p>
            <w:pPr>
              <w:spacing w:after="0"/>
              <w:rPr>
                <w:sz w:val="1"/>
                <w:szCs w:val="1"/>
                <w:color w:val="auto"/>
              </w:rPr>
            </w:pPr>
          </w:p>
        </w:tc>
      </w:tr>
      <w:tr>
        <w:trPr>
          <w:trHeight w:val="163"/>
        </w:trPr>
        <w:tc>
          <w:tcPr>
            <w:tcW w:w="6760" w:type="dxa"/>
            <w:vAlign w:val="bottom"/>
            <w:gridSpan w:val="2"/>
            <w:vMerge w:val="continue"/>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Stock</w:t>
            </w: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Stock</w:t>
            </w: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184"/>
        </w:trPr>
        <w:tc>
          <w:tcPr>
            <w:tcW w:w="6660" w:type="dxa"/>
            <w:vAlign w:val="bottom"/>
            <w:tcBorders>
              <w:top w:val="single" w:sz="8" w:color="auto"/>
            </w:tcBorders>
            <w:shd w:val="clear" w:color="auto" w:fill="CCEEFF"/>
          </w:tcPr>
          <w:p>
            <w:pPr>
              <w:spacing w:after="0" w:line="185" w:lineRule="exact"/>
              <w:rPr>
                <w:sz w:val="20"/>
                <w:szCs w:val="20"/>
                <w:color w:val="auto"/>
              </w:rPr>
            </w:pPr>
            <w:r>
              <w:rPr>
                <w:rFonts w:ascii="Arial" w:cs="Arial" w:eastAsia="Arial" w:hAnsi="Arial"/>
                <w:sz w:val="15"/>
                <w:szCs w:val="15"/>
                <w:b w:val="1"/>
                <w:bCs w:val="1"/>
                <w:color w:val="auto"/>
              </w:rPr>
              <w:t>5% or Greater Stockholders</w:t>
            </w:r>
            <w:r>
              <w:rPr>
                <w:rFonts w:ascii="Arial" w:cs="Arial" w:eastAsia="Arial" w:hAnsi="Arial"/>
                <w:sz w:val="21"/>
                <w:szCs w:val="21"/>
                <w:b w:val="1"/>
                <w:bCs w:val="1"/>
                <w:color w:val="auto"/>
                <w:vertAlign w:val="superscript"/>
              </w:rPr>
              <w:t>(1)</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60" w:type="dxa"/>
            <w:vAlign w:val="bottom"/>
            <w:gridSpan w:val="2"/>
          </w:tcPr>
          <w:p>
            <w:pPr>
              <w:spacing w:after="0" w:line="191" w:lineRule="exact"/>
              <w:rPr>
                <w:sz w:val="20"/>
                <w:szCs w:val="20"/>
                <w:color w:val="auto"/>
              </w:rPr>
            </w:pPr>
            <w:r>
              <w:rPr>
                <w:rFonts w:ascii="Arial" w:cs="Arial" w:eastAsia="Arial" w:hAnsi="Arial"/>
                <w:sz w:val="15"/>
                <w:szCs w:val="15"/>
                <w:color w:val="auto"/>
              </w:rPr>
              <w:t>Entities affiliated with ARCH Venture Partners</w:t>
            </w:r>
            <w:r>
              <w:rPr>
                <w:rFonts w:ascii="Arial" w:cs="Arial" w:eastAsia="Arial" w:hAnsi="Arial"/>
                <w:sz w:val="22"/>
                <w:szCs w:val="22"/>
                <w:color w:val="auto"/>
                <w:vertAlign w:val="superscript"/>
              </w:rPr>
              <w:t>(2)</w:t>
            </w:r>
          </w:p>
        </w:tc>
        <w:tc>
          <w:tcPr>
            <w:tcW w:w="1080" w:type="dxa"/>
            <w:vAlign w:val="bottom"/>
          </w:tcPr>
          <w:p>
            <w:pPr>
              <w:jc w:val="right"/>
              <w:spacing w:after="0" w:line="192" w:lineRule="exact"/>
              <w:rPr>
                <w:sz w:val="20"/>
                <w:szCs w:val="20"/>
                <w:color w:val="auto"/>
              </w:rPr>
            </w:pPr>
            <w:r>
              <w:rPr>
                <w:rFonts w:ascii="Arial" w:cs="Arial" w:eastAsia="Arial" w:hAnsi="Arial"/>
                <w:sz w:val="17"/>
                <w:szCs w:val="17"/>
                <w:color w:val="auto"/>
              </w:rPr>
              <w:t>28,571,428</w:t>
            </w:r>
          </w:p>
        </w:tc>
        <w:tc>
          <w:tcPr>
            <w:tcW w:w="140" w:type="dxa"/>
            <w:vAlign w:val="bottom"/>
          </w:tcPr>
          <w:p>
            <w:pPr>
              <w:spacing w:after="0"/>
              <w:rPr>
                <w:sz w:val="16"/>
                <w:szCs w:val="16"/>
                <w:color w:val="auto"/>
              </w:rPr>
            </w:pPr>
          </w:p>
        </w:tc>
        <w:tc>
          <w:tcPr>
            <w:tcW w:w="1240" w:type="dxa"/>
            <w:vAlign w:val="bottom"/>
            <w:gridSpan w:val="2"/>
          </w:tcPr>
          <w:p>
            <w:pPr>
              <w:jc w:val="right"/>
              <w:ind w:right="140"/>
              <w:spacing w:after="0" w:line="192" w:lineRule="exact"/>
              <w:rPr>
                <w:sz w:val="20"/>
                <w:szCs w:val="20"/>
                <w:color w:val="auto"/>
              </w:rPr>
            </w:pPr>
            <w:r>
              <w:rPr>
                <w:rFonts w:ascii="Arial" w:cs="Arial" w:eastAsia="Arial" w:hAnsi="Arial"/>
                <w:sz w:val="17"/>
                <w:szCs w:val="17"/>
                <w:color w:val="auto"/>
              </w:rPr>
              <w:t>4,444,445</w:t>
            </w:r>
          </w:p>
        </w:tc>
        <w:tc>
          <w:tcPr>
            <w:tcW w:w="1120" w:type="dxa"/>
            <w:vAlign w:val="bottom"/>
          </w:tcPr>
          <w:p>
            <w:pPr>
              <w:jc w:val="right"/>
              <w:spacing w:after="0" w:line="192" w:lineRule="exact"/>
              <w:rPr>
                <w:sz w:val="20"/>
                <w:szCs w:val="20"/>
                <w:color w:val="auto"/>
              </w:rPr>
            </w:pPr>
            <w:r>
              <w:rPr>
                <w:rFonts w:ascii="Arial" w:cs="Arial" w:eastAsia="Arial" w:hAnsi="Arial"/>
                <w:sz w:val="17"/>
                <w:szCs w:val="17"/>
                <w:color w:val="auto"/>
              </w:rPr>
              <w:t>14,285,713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60" w:type="dxa"/>
            <w:vAlign w:val="bottom"/>
            <w:gridSpan w:val="2"/>
            <w:shd w:val="clear" w:color="auto" w:fill="CCEEFF"/>
          </w:tcPr>
          <w:p>
            <w:pPr>
              <w:spacing w:after="0" w:line="191" w:lineRule="exact"/>
              <w:rPr>
                <w:sz w:val="20"/>
                <w:szCs w:val="20"/>
                <w:color w:val="auto"/>
              </w:rPr>
            </w:pPr>
            <w:r>
              <w:rPr>
                <w:rFonts w:ascii="Arial" w:cs="Arial" w:eastAsia="Arial" w:hAnsi="Arial"/>
                <w:sz w:val="15"/>
                <w:szCs w:val="15"/>
                <w:color w:val="auto"/>
              </w:rPr>
              <w:t>Entities affiliated with Fidelity</w:t>
            </w:r>
            <w:r>
              <w:rPr>
                <w:rFonts w:ascii="Arial" w:cs="Arial" w:eastAsia="Arial" w:hAnsi="Arial"/>
                <w:sz w:val="22"/>
                <w:szCs w:val="22"/>
                <w:color w:val="auto"/>
                <w:vertAlign w:val="superscript"/>
              </w:rPr>
              <w:t>(3)</w:t>
            </w:r>
          </w:p>
        </w:tc>
        <w:tc>
          <w:tcPr>
            <w:tcW w:w="1220" w:type="dxa"/>
            <w:vAlign w:val="bottom"/>
            <w:gridSpan w:val="2"/>
            <w:shd w:val="clear" w:color="auto" w:fill="CCEEFF"/>
          </w:tcPr>
          <w:p>
            <w:pPr>
              <w:jc w:val="right"/>
              <w:ind w:right="140"/>
              <w:spacing w:after="0" w:line="192" w:lineRule="exact"/>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40"/>
              <w:spacing w:after="0" w:line="192" w:lineRule="exact"/>
              <w:rPr>
                <w:sz w:val="20"/>
                <w:szCs w:val="20"/>
                <w:color w:val="auto"/>
              </w:rPr>
            </w:pPr>
            <w:r>
              <w:rPr>
                <w:rFonts w:ascii="Arial" w:cs="Arial" w:eastAsia="Arial" w:hAnsi="Arial"/>
                <w:sz w:val="17"/>
                <w:szCs w:val="17"/>
                <w:color w:val="auto"/>
              </w:rPr>
              <w:t>14,814,815</w:t>
            </w:r>
          </w:p>
        </w:tc>
        <w:tc>
          <w:tcPr>
            <w:tcW w:w="112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31,285,714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60" w:type="dxa"/>
            <w:vAlign w:val="bottom"/>
            <w:gridSpan w:val="2"/>
          </w:tcPr>
          <w:p>
            <w:pPr>
              <w:spacing w:after="0" w:line="191" w:lineRule="exact"/>
              <w:rPr>
                <w:sz w:val="20"/>
                <w:szCs w:val="20"/>
                <w:color w:val="auto"/>
              </w:rPr>
            </w:pPr>
            <w:r>
              <w:rPr>
                <w:rFonts w:ascii="Arial" w:cs="Arial" w:eastAsia="Arial" w:hAnsi="Arial"/>
                <w:sz w:val="15"/>
                <w:szCs w:val="15"/>
                <w:color w:val="auto"/>
              </w:rPr>
              <w:t>Entities affiliated with RA Capital Management, L.P.</w:t>
            </w:r>
            <w:r>
              <w:rPr>
                <w:rFonts w:ascii="Arial" w:cs="Arial" w:eastAsia="Arial" w:hAnsi="Arial"/>
                <w:sz w:val="22"/>
                <w:szCs w:val="22"/>
                <w:color w:val="auto"/>
                <w:vertAlign w:val="superscript"/>
              </w:rPr>
              <w:t>(4)</w:t>
            </w:r>
          </w:p>
        </w:tc>
        <w:tc>
          <w:tcPr>
            <w:tcW w:w="1220" w:type="dxa"/>
            <w:vAlign w:val="bottom"/>
            <w:gridSpan w:val="2"/>
          </w:tcPr>
          <w:p>
            <w:pPr>
              <w:jc w:val="right"/>
              <w:ind w:right="140"/>
              <w:spacing w:after="0" w:line="192" w:lineRule="exact"/>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40"/>
              <w:spacing w:after="0" w:line="192" w:lineRule="exact"/>
              <w:rPr>
                <w:sz w:val="20"/>
                <w:szCs w:val="20"/>
                <w:color w:val="auto"/>
              </w:rPr>
            </w:pPr>
            <w:r>
              <w:rPr>
                <w:rFonts w:ascii="Arial" w:cs="Arial" w:eastAsia="Arial" w:hAnsi="Arial"/>
                <w:sz w:val="17"/>
                <w:szCs w:val="17"/>
                <w:color w:val="auto"/>
              </w:rPr>
              <w:t>20,000,000</w:t>
            </w:r>
          </w:p>
        </w:tc>
        <w:tc>
          <w:tcPr>
            <w:tcW w:w="1120" w:type="dxa"/>
            <w:vAlign w:val="bottom"/>
          </w:tcPr>
          <w:p>
            <w:pPr>
              <w:jc w:val="right"/>
              <w:spacing w:after="0" w:line="192" w:lineRule="exact"/>
              <w:rPr>
                <w:sz w:val="20"/>
                <w:szCs w:val="20"/>
                <w:color w:val="auto"/>
              </w:rPr>
            </w:pPr>
            <w:r>
              <w:rPr>
                <w:rFonts w:ascii="Arial" w:cs="Arial" w:eastAsia="Arial" w:hAnsi="Arial"/>
                <w:sz w:val="17"/>
                <w:szCs w:val="17"/>
                <w:color w:val="auto"/>
              </w:rPr>
              <w:t>16,428,571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60" w:type="dxa"/>
            <w:vAlign w:val="bottom"/>
            <w:gridSpan w:val="2"/>
            <w:shd w:val="clear" w:color="auto" w:fill="CCEEFF"/>
          </w:tcPr>
          <w:p>
            <w:pPr>
              <w:spacing w:after="0" w:line="191" w:lineRule="exact"/>
              <w:rPr>
                <w:sz w:val="20"/>
                <w:szCs w:val="20"/>
                <w:color w:val="auto"/>
              </w:rPr>
            </w:pPr>
            <w:r>
              <w:rPr>
                <w:rFonts w:ascii="Arial" w:cs="Arial" w:eastAsia="Arial" w:hAnsi="Arial"/>
                <w:sz w:val="15"/>
                <w:szCs w:val="15"/>
                <w:color w:val="auto"/>
              </w:rPr>
              <w:t>Bayer HealthCare LLC</w:t>
            </w:r>
            <w:r>
              <w:rPr>
                <w:rFonts w:ascii="Arial" w:cs="Arial" w:eastAsia="Arial" w:hAnsi="Arial"/>
                <w:sz w:val="22"/>
                <w:szCs w:val="22"/>
                <w:color w:val="auto"/>
                <w:vertAlign w:val="superscript"/>
              </w:rPr>
              <w:t>(5)</w:t>
            </w:r>
          </w:p>
        </w:tc>
        <w:tc>
          <w:tcPr>
            <w:tcW w:w="1220" w:type="dxa"/>
            <w:vAlign w:val="bottom"/>
            <w:gridSpan w:val="2"/>
            <w:shd w:val="clear" w:color="auto" w:fill="CCEEFF"/>
          </w:tcPr>
          <w:p>
            <w:pPr>
              <w:jc w:val="right"/>
              <w:ind w:right="140"/>
              <w:spacing w:after="0" w:line="192" w:lineRule="exact"/>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40"/>
              <w:spacing w:after="0" w:line="192" w:lineRule="exact"/>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28,571,428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60" w:type="dxa"/>
            <w:vAlign w:val="bottom"/>
            <w:gridSpan w:val="2"/>
          </w:tcPr>
          <w:p>
            <w:pPr>
              <w:spacing w:after="0" w:line="191" w:lineRule="exact"/>
              <w:rPr>
                <w:sz w:val="20"/>
                <w:szCs w:val="20"/>
                <w:color w:val="auto"/>
              </w:rPr>
            </w:pPr>
            <w:r>
              <w:rPr>
                <w:rFonts w:ascii="Arial" w:cs="Arial" w:eastAsia="Arial" w:hAnsi="Arial"/>
                <w:sz w:val="15"/>
                <w:szCs w:val="15"/>
                <w:color w:val="auto"/>
              </w:rPr>
              <w:t>Entities affiliated with Nextech VI Oncology SCSp</w:t>
            </w:r>
            <w:r>
              <w:rPr>
                <w:rFonts w:ascii="Arial" w:cs="Arial" w:eastAsia="Arial" w:hAnsi="Arial"/>
                <w:sz w:val="22"/>
                <w:szCs w:val="22"/>
                <w:color w:val="auto"/>
                <w:vertAlign w:val="superscript"/>
              </w:rPr>
              <w:t>(6)</w:t>
            </w:r>
          </w:p>
        </w:tc>
        <w:tc>
          <w:tcPr>
            <w:tcW w:w="1220" w:type="dxa"/>
            <w:vAlign w:val="bottom"/>
            <w:gridSpan w:val="2"/>
          </w:tcPr>
          <w:p>
            <w:pPr>
              <w:jc w:val="right"/>
              <w:ind w:right="140"/>
              <w:spacing w:after="0" w:line="192" w:lineRule="exact"/>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40"/>
              <w:spacing w:after="0" w:line="192" w:lineRule="exact"/>
              <w:rPr>
                <w:sz w:val="20"/>
                <w:szCs w:val="20"/>
                <w:color w:val="auto"/>
              </w:rPr>
            </w:pPr>
            <w:r>
              <w:rPr>
                <w:rFonts w:ascii="Arial" w:cs="Arial" w:eastAsia="Arial" w:hAnsi="Arial"/>
                <w:sz w:val="17"/>
                <w:szCs w:val="17"/>
                <w:color w:val="auto"/>
              </w:rPr>
              <w:t>14,814,815</w:t>
            </w:r>
          </w:p>
        </w:tc>
        <w:tc>
          <w:tcPr>
            <w:tcW w:w="1200" w:type="dxa"/>
            <w:vAlign w:val="bottom"/>
            <w:gridSpan w:val="2"/>
          </w:tcPr>
          <w:p>
            <w:pPr>
              <w:jc w:val="right"/>
              <w:ind w:right="80"/>
              <w:spacing w:after="0" w:line="192" w:lineRule="exact"/>
              <w:rPr>
                <w:sz w:val="20"/>
                <w:szCs w:val="20"/>
                <w:color w:val="auto"/>
              </w:rPr>
            </w:pPr>
            <w:r>
              <w:rPr>
                <w:rFonts w:ascii="Arial" w:cs="Arial" w:eastAsia="Arial" w:hAnsi="Arial"/>
                <w:sz w:val="17"/>
                <w:szCs w:val="17"/>
                <w:color w:val="auto"/>
              </w:rPr>
              <w:t>8,157,544</w:t>
            </w:r>
          </w:p>
        </w:tc>
        <w:tc>
          <w:tcPr>
            <w:tcW w:w="0" w:type="dxa"/>
            <w:vAlign w:val="bottom"/>
          </w:tcPr>
          <w:p>
            <w:pPr>
              <w:spacing w:after="0"/>
              <w:rPr>
                <w:sz w:val="1"/>
                <w:szCs w:val="1"/>
                <w:color w:val="auto"/>
              </w:rPr>
            </w:pPr>
          </w:p>
        </w:tc>
      </w:tr>
      <w:tr>
        <w:trPr>
          <w:trHeight w:val="192"/>
        </w:trPr>
        <w:tc>
          <w:tcPr>
            <w:tcW w:w="6760" w:type="dxa"/>
            <w:vAlign w:val="bottom"/>
            <w:gridSpan w:val="2"/>
            <w:shd w:val="clear" w:color="auto" w:fill="CCEEFF"/>
          </w:tcPr>
          <w:p>
            <w:pPr>
              <w:spacing w:after="0" w:line="191" w:lineRule="exact"/>
              <w:rPr>
                <w:sz w:val="20"/>
                <w:szCs w:val="20"/>
                <w:color w:val="auto"/>
              </w:rPr>
            </w:pPr>
            <w:r>
              <w:rPr>
                <w:rFonts w:ascii="Arial" w:cs="Arial" w:eastAsia="Arial" w:hAnsi="Arial"/>
                <w:sz w:val="15"/>
                <w:szCs w:val="15"/>
                <w:color w:val="auto"/>
              </w:rPr>
              <w:t>Vertex Global HC Fund II Pte. Ltd</w:t>
            </w:r>
            <w:r>
              <w:rPr>
                <w:rFonts w:ascii="Arial" w:cs="Arial" w:eastAsia="Arial" w:hAnsi="Arial"/>
                <w:sz w:val="22"/>
                <w:szCs w:val="22"/>
                <w:color w:val="auto"/>
                <w:vertAlign w:val="superscript"/>
              </w:rPr>
              <w:t>(7)</w:t>
            </w:r>
          </w:p>
        </w:tc>
        <w:tc>
          <w:tcPr>
            <w:tcW w:w="108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10,000,000</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line="192" w:lineRule="exact"/>
              <w:rPr>
                <w:sz w:val="20"/>
                <w:szCs w:val="20"/>
                <w:color w:val="auto"/>
              </w:rPr>
            </w:pPr>
            <w:r>
              <w:rPr>
                <w:rFonts w:ascii="Arial" w:cs="Arial" w:eastAsia="Arial" w:hAnsi="Arial"/>
                <w:sz w:val="17"/>
                <w:szCs w:val="17"/>
                <w:color w:val="auto"/>
              </w:rPr>
              <w:t>1,851,852</w:t>
            </w:r>
          </w:p>
        </w:tc>
        <w:tc>
          <w:tcPr>
            <w:tcW w:w="1200" w:type="dxa"/>
            <w:vAlign w:val="bottom"/>
            <w:gridSpan w:val="2"/>
            <w:shd w:val="clear" w:color="auto" w:fill="CCEEFF"/>
          </w:tcPr>
          <w:p>
            <w:pPr>
              <w:jc w:val="right"/>
              <w:ind w:right="80"/>
              <w:spacing w:after="0" w:line="192" w:lineRule="exact"/>
              <w:rPr>
                <w:sz w:val="20"/>
                <w:szCs w:val="20"/>
                <w:color w:val="auto"/>
              </w:rPr>
            </w:pPr>
            <w:r>
              <w:rPr>
                <w:rFonts w:ascii="Arial" w:cs="Arial" w:eastAsia="Arial" w:hAnsi="Arial"/>
                <w:sz w:val="17"/>
                <w:szCs w:val="17"/>
                <w:color w:val="auto"/>
              </w:rPr>
              <w:t>6,526,035</w:t>
            </w:r>
          </w:p>
        </w:tc>
        <w:tc>
          <w:tcPr>
            <w:tcW w:w="0" w:type="dxa"/>
            <w:vAlign w:val="bottom"/>
          </w:tcPr>
          <w:p>
            <w:pPr>
              <w:spacing w:after="0"/>
              <w:rPr>
                <w:sz w:val="1"/>
                <w:szCs w:val="1"/>
                <w:color w:val="auto"/>
              </w:rPr>
            </w:pPr>
          </w:p>
        </w:tc>
      </w:tr>
      <w:tr>
        <w:trPr>
          <w:trHeight w:val="192"/>
        </w:trPr>
        <w:tc>
          <w:tcPr>
            <w:tcW w:w="6760" w:type="dxa"/>
            <w:vAlign w:val="bottom"/>
            <w:gridSpan w:val="2"/>
          </w:tcPr>
          <w:p>
            <w:pPr>
              <w:spacing w:after="0" w:line="192" w:lineRule="exact"/>
              <w:rPr>
                <w:sz w:val="20"/>
                <w:szCs w:val="20"/>
                <w:color w:val="auto"/>
              </w:rPr>
            </w:pPr>
            <w:r>
              <w:rPr>
                <w:rFonts w:ascii="Arial" w:cs="Arial" w:eastAsia="Arial" w:hAnsi="Arial"/>
                <w:sz w:val="17"/>
                <w:szCs w:val="17"/>
                <w:b w:val="1"/>
                <w:bCs w:val="1"/>
                <w:color w:val="auto"/>
              </w:rPr>
              <w:t>Officers and Directors</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60" w:type="dxa"/>
            <w:vAlign w:val="bottom"/>
            <w:gridSpan w:val="2"/>
            <w:shd w:val="clear" w:color="auto" w:fill="CCEEFF"/>
          </w:tcPr>
          <w:p>
            <w:pPr>
              <w:spacing w:after="0" w:line="191" w:lineRule="exact"/>
              <w:rPr>
                <w:sz w:val="20"/>
                <w:szCs w:val="20"/>
                <w:color w:val="auto"/>
              </w:rPr>
            </w:pPr>
            <w:r>
              <w:rPr>
                <w:rFonts w:ascii="Arial" w:cs="Arial" w:eastAsia="Arial" w:hAnsi="Arial"/>
                <w:sz w:val="15"/>
                <w:szCs w:val="15"/>
                <w:color w:val="auto"/>
              </w:rPr>
              <w:t>Jonathan E. Lim, M.D.</w:t>
            </w:r>
            <w:r>
              <w:rPr>
                <w:rFonts w:ascii="Arial" w:cs="Arial" w:eastAsia="Arial" w:hAnsi="Arial"/>
                <w:sz w:val="22"/>
                <w:szCs w:val="22"/>
                <w:color w:val="auto"/>
                <w:vertAlign w:val="superscript"/>
              </w:rPr>
              <w:t>(8)</w:t>
            </w:r>
          </w:p>
        </w:tc>
        <w:tc>
          <w:tcPr>
            <w:tcW w:w="108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10,000,000</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line="192" w:lineRule="exact"/>
              <w:rPr>
                <w:sz w:val="20"/>
                <w:szCs w:val="20"/>
                <w:color w:val="auto"/>
              </w:rPr>
            </w:pPr>
            <w:r>
              <w:rPr>
                <w:rFonts w:ascii="Arial" w:cs="Arial" w:eastAsia="Arial" w:hAnsi="Arial"/>
                <w:sz w:val="17"/>
                <w:szCs w:val="17"/>
                <w:color w:val="auto"/>
              </w:rPr>
              <w:t>100,000</w:t>
            </w:r>
          </w:p>
        </w:tc>
        <w:tc>
          <w:tcPr>
            <w:tcW w:w="1200" w:type="dxa"/>
            <w:vAlign w:val="bottom"/>
            <w:gridSpan w:val="2"/>
            <w:shd w:val="clear" w:color="auto" w:fill="CCEEFF"/>
          </w:tcPr>
          <w:p>
            <w:pPr>
              <w:jc w:val="right"/>
              <w:ind w:right="80"/>
              <w:spacing w:after="0" w:line="192" w:lineRule="exact"/>
              <w:rPr>
                <w:sz w:val="20"/>
                <w:szCs w:val="20"/>
                <w:color w:val="auto"/>
              </w:rPr>
            </w:pPr>
            <w:r>
              <w:rPr>
                <w:rFonts w:ascii="Arial" w:cs="Arial" w:eastAsia="Arial" w:hAnsi="Arial"/>
                <w:sz w:val="17"/>
                <w:szCs w:val="17"/>
                <w:color w:val="auto"/>
              </w:rPr>
              <w:t>142,857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89535</wp:posOffset>
            </wp:positionV>
            <wp:extent cx="73025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164" w:lineRule="exact"/>
        <w:rPr>
          <w:sz w:val="20"/>
          <w:szCs w:val="20"/>
          <w:color w:val="auto"/>
        </w:rPr>
      </w:pPr>
    </w:p>
    <w:p>
      <w:pPr>
        <w:ind w:left="820" w:hanging="409"/>
        <w:spacing w:after="0"/>
        <w:tabs>
          <w:tab w:leader="none" w:pos="8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Additional details regarding these stockholders and their equity holdings are provided in the section titled “Principal Stockholders.”</w:t>
      </w:r>
    </w:p>
    <w:p>
      <w:pPr>
        <w:spacing w:after="0" w:line="12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194</w:t>
      </w:r>
    </w:p>
    <w:p>
      <w:pPr>
        <w:sectPr>
          <w:pgSz w:w="11900" w:h="16838" w:orient="portrait"/>
          <w:cols w:equalWidth="0" w:num="1">
            <w:col w:w="10840"/>
          </w:cols>
          <w:pgMar w:left="320" w:top="439" w:right="7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302" w:lineRule="exact"/>
        <w:rPr>
          <w:sz w:val="20"/>
          <w:szCs w:val="20"/>
          <w:color w:val="auto"/>
        </w:rPr>
      </w:pPr>
    </w:p>
    <w:p>
      <w:pPr>
        <w:ind w:left="820" w:right="320" w:hanging="409"/>
        <w:spacing w:after="0" w:line="234" w:lineRule="auto"/>
        <w:tabs>
          <w:tab w:leader="none" w:pos="8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Represents shares acquired by ARCH Venture Fund IX, L.P., ARCH Venture Fund IX Overage, L.P., and ARCH Venture Fund X Overage, L.P. Ms. Burow is a Managing Director of ARCH Venture Partners and a member of our board of directors. Dr. Lim, our Chairman and Co-founder, and Ms. Rubin, our Chief Financial Officer, are Venture Partners of ARCH Venture Partners.</w:t>
      </w:r>
    </w:p>
    <w:p>
      <w:pPr>
        <w:spacing w:after="0" w:line="1" w:lineRule="exact"/>
        <w:rPr>
          <w:rFonts w:ascii="Arial" w:cs="Arial" w:eastAsia="Arial" w:hAnsi="Arial"/>
          <w:sz w:val="14"/>
          <w:szCs w:val="14"/>
          <w:color w:val="auto"/>
        </w:rPr>
      </w:pPr>
    </w:p>
    <w:p>
      <w:pPr>
        <w:ind w:left="820" w:hanging="409"/>
        <w:spacing w:after="0" w:line="228" w:lineRule="auto"/>
        <w:tabs>
          <w:tab w:leader="none" w:pos="8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Represents shares acquired by Fidelity Advisor Series VII: Fidelity Advisor Biotechnology Fund, Fidelity Capital Trust: Fidelity Flex Small Cap Fund – Small Cap</w:t>
      </w:r>
    </w:p>
    <w:p>
      <w:pPr>
        <w:ind w:left="820"/>
        <w:spacing w:after="0"/>
        <w:rPr>
          <w:rFonts w:ascii="Arial" w:cs="Arial" w:eastAsia="Arial" w:hAnsi="Arial"/>
          <w:sz w:val="14"/>
          <w:szCs w:val="14"/>
          <w:color w:val="auto"/>
        </w:rPr>
      </w:pPr>
      <w:r>
        <w:rPr>
          <w:rFonts w:ascii="Arial" w:cs="Arial" w:eastAsia="Arial" w:hAnsi="Arial"/>
          <w:sz w:val="12"/>
          <w:szCs w:val="12"/>
          <w:color w:val="auto"/>
        </w:rPr>
        <w:t>Growth Subportfolio, Fidelity Growth Company Commingled Pool, Fidelity Mt. Vernon Street Trust: Fidelity Series Growth Company Fund, Fidelity Securities Fund:</w:t>
      </w:r>
    </w:p>
    <w:p>
      <w:pPr>
        <w:spacing w:after="0" w:line="15" w:lineRule="exact"/>
        <w:rPr>
          <w:rFonts w:ascii="Arial" w:cs="Arial" w:eastAsia="Arial" w:hAnsi="Arial"/>
          <w:sz w:val="14"/>
          <w:szCs w:val="14"/>
          <w:color w:val="auto"/>
        </w:rPr>
      </w:pPr>
    </w:p>
    <w:p>
      <w:pPr>
        <w:ind w:left="820"/>
        <w:spacing w:after="0"/>
        <w:rPr>
          <w:rFonts w:ascii="Arial" w:cs="Arial" w:eastAsia="Arial" w:hAnsi="Arial"/>
          <w:sz w:val="14"/>
          <w:szCs w:val="14"/>
          <w:color w:val="auto"/>
        </w:rPr>
      </w:pPr>
      <w:r>
        <w:rPr>
          <w:rFonts w:ascii="Arial" w:cs="Arial" w:eastAsia="Arial" w:hAnsi="Arial"/>
          <w:sz w:val="12"/>
          <w:szCs w:val="12"/>
          <w:color w:val="auto"/>
        </w:rPr>
        <w:t>Fidelity Small Cap Growth Fund, Fidelity Mt. Vernon Street Trust : Fidelity Growth Company K6 Fund, Fidelity Mt. Vernon Street Trust: Fidelity Growth Company Fund,</w:t>
      </w:r>
    </w:p>
    <w:p>
      <w:pPr>
        <w:spacing w:after="0" w:line="15" w:lineRule="exact"/>
        <w:rPr>
          <w:rFonts w:ascii="Arial" w:cs="Arial" w:eastAsia="Arial" w:hAnsi="Arial"/>
          <w:sz w:val="14"/>
          <w:szCs w:val="14"/>
          <w:color w:val="auto"/>
        </w:rPr>
      </w:pPr>
    </w:p>
    <w:p>
      <w:pPr>
        <w:ind w:left="820"/>
        <w:spacing w:after="0" w:line="228" w:lineRule="auto"/>
        <w:rPr>
          <w:rFonts w:ascii="Arial" w:cs="Arial" w:eastAsia="Arial" w:hAnsi="Arial"/>
          <w:sz w:val="14"/>
          <w:szCs w:val="14"/>
          <w:color w:val="auto"/>
        </w:rPr>
      </w:pPr>
      <w:r>
        <w:rPr>
          <w:rFonts w:ascii="Arial" w:cs="Arial" w:eastAsia="Arial" w:hAnsi="Arial"/>
          <w:sz w:val="14"/>
          <w:szCs w:val="14"/>
          <w:color w:val="auto"/>
        </w:rPr>
        <w:t>Fidelity Securities Fund: Fidelity Small Cap Growth K6 Fund, Fidelity Capital Trust: Fidelity Stock Selector Small Cap Fund and Fidelity Securities Fund: Fidelity Series Small Cap Opportunities Fund.</w:t>
      </w:r>
    </w:p>
    <w:p>
      <w:pPr>
        <w:ind w:left="820" w:hanging="409"/>
        <w:spacing w:after="0" w:line="228" w:lineRule="auto"/>
        <w:tabs>
          <w:tab w:leader="none" w:pos="8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Represents shares acquired by RA Capital Healthcare Fund, L.P. and RA Capital Nexus Fund II, L.P.</w:t>
      </w:r>
    </w:p>
    <w:p>
      <w:pPr>
        <w:ind w:left="820" w:right="200" w:hanging="409"/>
        <w:spacing w:after="0" w:line="228" w:lineRule="auto"/>
        <w:tabs>
          <w:tab w:leader="none" w:pos="8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Dr. Pucci is Senior Director, Venture Investments at Leaps by Bayer HealthCare LLC and a member of our board of directors. Dr. Pucci will resign from our board of directors immediately prior to the effectiveness of the registration statement of which this prospectus forms a part.</w:t>
      </w:r>
    </w:p>
    <w:p>
      <w:pPr>
        <w:ind w:left="820" w:right="20" w:hanging="409"/>
        <w:spacing w:after="0" w:line="228" w:lineRule="auto"/>
        <w:tabs>
          <w:tab w:leader="none" w:pos="8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Includes shares acquired by Nextech VI GP S.à r.l. Nextech VI Oncology SCSp is an affiliate of Nextech Invest Ltd. Dr. Loven is a Managing Partner of Nextech Invest Ltd. and a member of our board of directors. Dr. Loven will resign from our board of directors immediately prior to the effectiveness of the registration statement of which this prospectus forms a part.</w:t>
      </w:r>
    </w:p>
    <w:p>
      <w:pPr>
        <w:spacing w:after="0" w:line="1" w:lineRule="exact"/>
        <w:rPr>
          <w:rFonts w:ascii="Arial" w:cs="Arial" w:eastAsia="Arial" w:hAnsi="Arial"/>
          <w:sz w:val="14"/>
          <w:szCs w:val="14"/>
          <w:color w:val="auto"/>
        </w:rPr>
      </w:pPr>
    </w:p>
    <w:p>
      <w:pPr>
        <w:ind w:left="820" w:right="360" w:hanging="409"/>
        <w:spacing w:after="0" w:line="228" w:lineRule="auto"/>
        <w:tabs>
          <w:tab w:leader="none" w:pos="8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Vertex Global HC Fund II Pte. Ltd. is an affiliate of Vertex Ventures HC. Dr. Brennan is a Managing Director of Vertex Ventures HC and a member of our board of directors.</w:t>
      </w:r>
    </w:p>
    <w:p>
      <w:pPr>
        <w:ind w:left="820" w:hanging="409"/>
        <w:spacing w:after="0"/>
        <w:tabs>
          <w:tab w:leader="none" w:pos="8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Represents shares acquired by City Hill, LLC. Dr. Lim is the Managing Partner of City Hill, LLC and our Chairman and Co-founder.</w:t>
      </w:r>
    </w:p>
    <w:p>
      <w:pPr>
        <w:spacing w:after="0" w:line="27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Investors’ Rights Agreement</w:t>
      </w:r>
    </w:p>
    <w:p>
      <w:pPr>
        <w:spacing w:after="0" w:line="98" w:lineRule="exact"/>
        <w:rPr>
          <w:sz w:val="20"/>
          <w:szCs w:val="20"/>
          <w:color w:val="auto"/>
        </w:rPr>
      </w:pPr>
    </w:p>
    <w:p>
      <w:pPr>
        <w:ind w:left="420" w:right="100" w:firstLine="521"/>
        <w:spacing w:after="0"/>
        <w:rPr>
          <w:sz w:val="20"/>
          <w:szCs w:val="20"/>
          <w:color w:val="auto"/>
        </w:rPr>
      </w:pPr>
      <w:r>
        <w:rPr>
          <w:rFonts w:ascii="Arial" w:cs="Arial" w:eastAsia="Arial" w:hAnsi="Arial"/>
          <w:sz w:val="17"/>
          <w:szCs w:val="17"/>
          <w:color w:val="auto"/>
        </w:rPr>
        <w:t>We entered into an investors’ rights agreement in August 2018, as last amended and restated in April 2023 (the Investors’ Rights Agreement), with the holders of our convertible preferred stock and certain holders of our common stock, including the holders of more than 5% of our capital stock listed above as well as entities with which certain of our directors are affiliated. This agreement provides for certain rights relating to the registration of their shares of common stock issuable upon conversion of their convertible preferred stock and certain additional covenants made by us. Except for the registration rights (including the related provisions pursuant to which we have agreed to indemnify the parties to the Investors’ Rights Agreement), all rights under this agreement will terminate upon closing of this offering. The registration rights will continue following this offering and will terminate four years after the closing of this offering. See the section titled “Description of Capital Stock—Registration Rights” for more information regarding these registration rights.</w:t>
      </w:r>
    </w:p>
    <w:p>
      <w:pPr>
        <w:spacing w:after="0" w:line="276"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Voting Agreement</w:t>
      </w:r>
    </w:p>
    <w:p>
      <w:pPr>
        <w:spacing w:after="0" w:line="98" w:lineRule="exact"/>
        <w:rPr>
          <w:sz w:val="20"/>
          <w:szCs w:val="20"/>
          <w:color w:val="auto"/>
        </w:rPr>
      </w:pPr>
    </w:p>
    <w:p>
      <w:pPr>
        <w:ind w:left="420" w:right="40" w:firstLine="521"/>
        <w:spacing w:after="0" w:line="238" w:lineRule="auto"/>
        <w:rPr>
          <w:sz w:val="20"/>
          <w:szCs w:val="20"/>
          <w:color w:val="auto"/>
        </w:rPr>
      </w:pPr>
      <w:r>
        <w:rPr>
          <w:rFonts w:ascii="Arial" w:cs="Arial" w:eastAsia="Arial" w:hAnsi="Arial"/>
          <w:sz w:val="17"/>
          <w:szCs w:val="17"/>
          <w:color w:val="auto"/>
        </w:rPr>
        <w:t>We entered into a voting agreement in August 2018, as last amended and restated in April 2023 (the Voting Agreement), with the holders of our convertible preferred stock and certain holders of our common stock, including the holders of more than 5% of our capital stock listed above as well as entities with which certain of our directors are affiliated, pursuant to which the following directors were each elected to serve as members on our board of directors and, as of the date of this prospectus, continue to so serve: Christine Brennan, Ph.D., Kristina Burow, Jamie Christensen, Ph.D., Zachary D. Hornby, Jennifer Lew, Jonathan Lim, M.D., Jakob Loven, Ph.D., Fabio Pucci, and Nancy Whiting, Pharm.D. Pursuant to the Voting Agreement, Mr. Hornby, as our Chief Executive Officer, serves on our board of directors as the CEO director. Mr. Hornby was initially selected to serve on our board of directors as representative of the holders of our common stock, Dr. Brennan and Ms. Burow were initially selected to serve on our board of directors as representatives of the holders of our Series A convertible preferred stock, Dr. Loven was initially selected to serve on our board of directors as a representative of the holders of our Series B convertible preferred stock, and Mr. Pucci was initially selected to serve on our board of directors as a representative of the holders of our Series C convertible preferred stock.</w:t>
      </w:r>
    </w:p>
    <w:p>
      <w:pPr>
        <w:spacing w:after="0" w:line="116"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195</w:t>
      </w:r>
    </w:p>
    <w:p>
      <w:pPr>
        <w:sectPr>
          <w:pgSz w:w="11900" w:h="16838" w:orient="portrait"/>
          <w:cols w:equalWidth="0" w:num="1">
            <w:col w:w="10840"/>
          </w:cols>
          <w:pgMar w:left="320" w:top="440" w:right="7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220" w:firstLine="521"/>
        <w:spacing w:after="0" w:line="247" w:lineRule="auto"/>
        <w:rPr>
          <w:sz w:val="20"/>
          <w:szCs w:val="20"/>
          <w:color w:val="auto"/>
        </w:rPr>
      </w:pPr>
      <w:r>
        <w:rPr>
          <w:rFonts w:ascii="Arial" w:cs="Arial" w:eastAsia="Arial" w:hAnsi="Arial"/>
          <w:sz w:val="17"/>
          <w:szCs w:val="17"/>
          <w:color w:val="auto"/>
        </w:rPr>
        <w:t>The Voting Agreement will terminate upon the closing of this offering, and members previously elected to our board of directors pursuant to this agreement will continue to serve as directors until they resign, are removed, or their successors are duly elected by holders of our common stock. The composition of our board of directors after this offering is described in more detail in the section titled “Management—-Board Composition and Election of Directors.”</w:t>
      </w:r>
    </w:p>
    <w:p>
      <w:pPr>
        <w:spacing w:after="0" w:line="26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Right of Refusal and Co-Sale Agreement</w:t>
      </w:r>
    </w:p>
    <w:p>
      <w:pPr>
        <w:spacing w:after="0" w:line="201" w:lineRule="exact"/>
        <w:rPr>
          <w:sz w:val="20"/>
          <w:szCs w:val="20"/>
          <w:color w:val="auto"/>
        </w:rPr>
      </w:pPr>
    </w:p>
    <w:p>
      <w:pPr>
        <w:ind w:left="420" w:right="60" w:firstLine="521"/>
        <w:spacing w:after="0" w:line="242" w:lineRule="auto"/>
        <w:rPr>
          <w:sz w:val="20"/>
          <w:szCs w:val="20"/>
          <w:color w:val="auto"/>
        </w:rPr>
      </w:pPr>
      <w:r>
        <w:rPr>
          <w:rFonts w:ascii="Arial" w:cs="Arial" w:eastAsia="Arial" w:hAnsi="Arial"/>
          <w:sz w:val="17"/>
          <w:szCs w:val="17"/>
          <w:color w:val="auto"/>
        </w:rPr>
        <w:t>We entered into a right of first refusal and co-sale agreement in August 2018, as last amended and restated in April 2023 (the ROFR Agreement), with holders of our common stock affiliated with our executive officers, which entities are referred to in the ROFR Agreement as key holders, and certain other holders of convertible preferred stock, including the holders of more than 5% of our capital stock listed above. Pursuant to the ROFR Agreement, we have a right of first refusal on certain transfers of our shares by the key holders, holders of our convertible preferred stock have a secondary right of first refusal on such transfers, and such convertible preferred stockholders have a right of co-sale in respect of such transfers. The ROFR Agreement will terminate upon the closing of this offering.</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Director and Officer Indemnification</w:t>
      </w:r>
    </w:p>
    <w:p>
      <w:pPr>
        <w:spacing w:after="0" w:line="201" w:lineRule="exact"/>
        <w:rPr>
          <w:sz w:val="20"/>
          <w:szCs w:val="20"/>
          <w:color w:val="auto"/>
        </w:rPr>
      </w:pPr>
    </w:p>
    <w:p>
      <w:pPr>
        <w:ind w:left="420" w:firstLine="521"/>
        <w:spacing w:after="0" w:line="244" w:lineRule="auto"/>
        <w:rPr>
          <w:sz w:val="20"/>
          <w:szCs w:val="20"/>
          <w:color w:val="auto"/>
        </w:rPr>
      </w:pPr>
      <w:r>
        <w:rPr>
          <w:rFonts w:ascii="Arial" w:cs="Arial" w:eastAsia="Arial" w:hAnsi="Arial"/>
          <w:sz w:val="17"/>
          <w:szCs w:val="17"/>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169" w:lineRule="exact"/>
        <w:rPr>
          <w:sz w:val="20"/>
          <w:szCs w:val="20"/>
          <w:color w:val="auto"/>
        </w:rPr>
      </w:pPr>
    </w:p>
    <w:p>
      <w:pPr>
        <w:ind w:left="420" w:right="40" w:firstLine="521"/>
        <w:spacing w:after="0" w:line="244" w:lineRule="auto"/>
        <w:rPr>
          <w:sz w:val="20"/>
          <w:szCs w:val="20"/>
          <w:color w:val="auto"/>
        </w:rPr>
      </w:pPr>
      <w:r>
        <w:rPr>
          <w:rFonts w:ascii="Arial" w:cs="Arial" w:eastAsia="Arial" w:hAnsi="Arial"/>
          <w:sz w:val="17"/>
          <w:szCs w:val="17"/>
          <w:color w:val="auto"/>
        </w:rPr>
        <w:t>Our amended and restated certificate of incorporation and our amended and restated bylaws provide that we will indemnify each of our directors and officers to the fullest extent permitted by the Delaware General Corporation Law. Further, we have purchased a policy of directors’ and officers’ liability insurance that insures our directors and officers against the cost of defense, settlement, or payment of a judgment under certain circumstances. For further information, see the section titled “Executive and Director Compensation—Limitations of Liability and Indemnification Matters.”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Policies and Procedures for Related Person Transactions</w:t>
      </w:r>
    </w:p>
    <w:p>
      <w:pPr>
        <w:spacing w:after="0" w:line="201" w:lineRule="exact"/>
        <w:rPr>
          <w:sz w:val="20"/>
          <w:szCs w:val="20"/>
          <w:color w:val="auto"/>
        </w:rPr>
      </w:pPr>
    </w:p>
    <w:p>
      <w:pPr>
        <w:ind w:left="420" w:firstLine="521"/>
        <w:spacing w:after="0" w:line="238" w:lineRule="auto"/>
        <w:rPr>
          <w:sz w:val="20"/>
          <w:szCs w:val="20"/>
          <w:color w:val="auto"/>
        </w:rPr>
      </w:pPr>
      <w:r>
        <w:rPr>
          <w:rFonts w:ascii="Arial" w:cs="Arial" w:eastAsia="Arial" w:hAnsi="Arial"/>
          <w:sz w:val="17"/>
          <w:szCs w:val="17"/>
          <w:color w:val="auto"/>
        </w:rPr>
        <w:t>Our board of directors has adopted a written related person transaction policy, to be effective upon the closing of this offering, setting forth the policies and procedures for the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the lesser of $120,000 or one percent of the average of our total assets at year-end for the last two completed fiscal years,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will be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116"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196</w:t>
      </w:r>
    </w:p>
    <w:p>
      <w:pPr>
        <w:sectPr>
          <w:pgSz w:w="11900" w:h="16838" w:orient="portrait"/>
          <w:cols w:equalWidth="0" w:num="1">
            <w:col w:w="10820"/>
          </w:cols>
          <w:pgMar w:left="320" w:top="439" w:right="7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PRINCIPAL STOCKHOLDERS</w:t>
      </w:r>
    </w:p>
    <w:p>
      <w:pPr>
        <w:spacing w:after="0" w:line="201" w:lineRule="exact"/>
        <w:rPr>
          <w:sz w:val="20"/>
          <w:szCs w:val="20"/>
          <w:color w:val="auto"/>
        </w:rPr>
      </w:pPr>
    </w:p>
    <w:p>
      <w:pPr>
        <w:ind w:left="420" w:right="280" w:firstLine="521"/>
        <w:spacing w:after="0" w:line="270" w:lineRule="auto"/>
        <w:rPr>
          <w:sz w:val="20"/>
          <w:szCs w:val="20"/>
          <w:color w:val="auto"/>
        </w:rPr>
      </w:pPr>
      <w:r>
        <w:rPr>
          <w:rFonts w:ascii="Arial" w:cs="Arial" w:eastAsia="Arial" w:hAnsi="Arial"/>
          <w:sz w:val="17"/>
          <w:szCs w:val="17"/>
          <w:color w:val="auto"/>
        </w:rPr>
        <w:t>The following table sets forth information with respect to the beneficial ownership of our common stock as of February 15, 2024, and as adjusted to reflect the sale of shares of common stock in this offering, by:</w:t>
      </w:r>
    </w:p>
    <w:p>
      <w:pPr>
        <w:spacing w:after="0" w:line="58" w:lineRule="exact"/>
        <w:rPr>
          <w:sz w:val="20"/>
          <w:szCs w:val="20"/>
          <w:color w:val="auto"/>
        </w:rPr>
      </w:pPr>
    </w:p>
    <w:p>
      <w:pPr>
        <w:ind w:left="1660" w:hanging="418"/>
        <w:spacing w:after="0"/>
        <w:tabs>
          <w:tab w:leader="none" w:pos="16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each of our named executive officers;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all of our executive officers and directors as a group; and</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each person or group of affiliated persons known by us to beneficially own more than 5% of our common stock.</w:t>
      </w:r>
    </w:p>
    <w:p>
      <w:pPr>
        <w:spacing w:after="0" w:line="201" w:lineRule="exact"/>
        <w:rPr>
          <w:sz w:val="20"/>
          <w:szCs w:val="20"/>
          <w:color w:val="auto"/>
        </w:rPr>
      </w:pPr>
    </w:p>
    <w:p>
      <w:pPr>
        <w:ind w:left="420" w:firstLine="521"/>
        <w:spacing w:after="0" w:line="239" w:lineRule="auto"/>
        <w:rPr>
          <w:sz w:val="20"/>
          <w:szCs w:val="20"/>
          <w:color w:val="auto"/>
        </w:rPr>
      </w:pPr>
      <w:r>
        <w:rPr>
          <w:rFonts w:ascii="Arial" w:cs="Arial" w:eastAsia="Arial" w:hAnsi="Arial"/>
          <w:sz w:val="17"/>
          <w:szCs w:val="17"/>
          <w:color w:val="auto"/>
        </w:rPr>
        <w:t>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16,003,886 shares of common stock outstanding on February 15, 2024, which gives effect to the automatic conversion of all outstanding shares of our convertible preferred stock into 14,740,840 shares of our common stock immediately prior to the closing of this offering and includes 1,481 shares subject to forfeiture or a right of repurchase. In computing the number of shares beneficially owned by a person and the percentage ownership of that person, shares of common stock subject to options or other rights held by such person that are currently exercisable or that will become exercisable or otherwise vest within 60 days of February 15, 2024 are considered outstanding, although these shares are not considered outstanding for purposes of computing the percentage ownership of any other person. The table below excludes any potential purchases in this offering by the beneficial owners identified in the table below.</w:t>
      </w:r>
    </w:p>
    <w:p>
      <w:pPr>
        <w:spacing w:after="0" w:line="11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197</w:t>
      </w:r>
    </w:p>
    <w:p>
      <w:pPr>
        <w:sectPr>
          <w:pgSz w:w="11900" w:h="16838" w:orient="portrait"/>
          <w:cols w:equalWidth="0" w:num="1">
            <w:col w:w="10820"/>
          </w:cols>
          <w:pgMar w:left="320" w:top="439" w:right="7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40" w:firstLine="521"/>
        <w:spacing w:after="0" w:line="247" w:lineRule="auto"/>
        <w:rPr>
          <w:sz w:val="20"/>
          <w:szCs w:val="20"/>
          <w:color w:val="auto"/>
        </w:rPr>
      </w:pPr>
      <w:r>
        <w:rPr>
          <w:rFonts w:ascii="Arial" w:cs="Arial" w:eastAsia="Arial" w:hAnsi="Arial"/>
          <w:sz w:val="17"/>
          <w:szCs w:val="17"/>
          <w:color w:val="auto"/>
        </w:rPr>
        <w:t>Unless otherwise indicated, the address of each beneficial owner listed below is c/o Boundless Bio, Inc., 9880 Campus Point Drive, Suite 120, San Diego, CA 92121.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19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7"/>
              </w:rPr>
              <w:t>Percentage of</w:t>
            </w:r>
          </w:p>
        </w:tc>
        <w:tc>
          <w:tcPr>
            <w:tcW w:w="0" w:type="dxa"/>
            <w:vAlign w:val="bottom"/>
          </w:tcPr>
          <w:p>
            <w:pPr>
              <w:spacing w:after="0"/>
              <w:rPr>
                <w:sz w:val="1"/>
                <w:szCs w:val="1"/>
                <w:color w:val="auto"/>
              </w:rPr>
            </w:pPr>
          </w:p>
        </w:tc>
      </w:tr>
      <w:tr>
        <w:trPr>
          <w:trHeight w:val="153"/>
        </w:trPr>
        <w:tc>
          <w:tcPr>
            <w:tcW w:w="168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Shares</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68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11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Number of</w:t>
            </w:r>
          </w:p>
        </w:tc>
        <w:tc>
          <w:tcPr>
            <w:tcW w:w="1780" w:type="dxa"/>
            <w:vAlign w:val="bottom"/>
            <w:gridSpan w:val="4"/>
          </w:tcPr>
          <w:p>
            <w:pPr>
              <w:jc w:val="center"/>
              <w:ind w:right="220"/>
              <w:spacing w:after="0" w:line="153" w:lineRule="exact"/>
              <w:rPr>
                <w:sz w:val="20"/>
                <w:szCs w:val="20"/>
                <w:color w:val="auto"/>
              </w:rPr>
            </w:pPr>
            <w:r>
              <w:rPr>
                <w:rFonts w:ascii="Arial" w:cs="Arial" w:eastAsia="Arial" w:hAnsi="Arial"/>
                <w:sz w:val="14"/>
                <w:szCs w:val="14"/>
                <w:b w:val="1"/>
                <w:bCs w:val="1"/>
                <w:color w:val="auto"/>
                <w:w w:val="97"/>
              </w:rPr>
              <w:t>Beneficially</w:t>
            </w:r>
          </w:p>
        </w:tc>
        <w:tc>
          <w:tcPr>
            <w:tcW w:w="0" w:type="dxa"/>
            <w:vAlign w:val="bottom"/>
          </w:tcPr>
          <w:p>
            <w:pPr>
              <w:spacing w:after="0"/>
              <w:rPr>
                <w:sz w:val="1"/>
                <w:szCs w:val="1"/>
                <w:color w:val="auto"/>
              </w:rPr>
            </w:pPr>
          </w:p>
        </w:tc>
      </w:tr>
      <w:tr>
        <w:trPr>
          <w:trHeight w:val="163"/>
        </w:trPr>
        <w:tc>
          <w:tcPr>
            <w:tcW w:w="16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Shares</w:t>
            </w: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Owned</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680" w:type="dxa"/>
            <w:vAlign w:val="bottom"/>
            <w:vMerge w:val="restart"/>
          </w:tcPr>
          <w:p>
            <w:pPr>
              <w:spacing w:after="0"/>
              <w:rPr>
                <w:sz w:val="20"/>
                <w:szCs w:val="20"/>
                <w:color w:val="auto"/>
              </w:rPr>
            </w:pPr>
            <w:r>
              <w:rPr>
                <w:rFonts w:ascii="Arial" w:cs="Arial" w:eastAsia="Arial" w:hAnsi="Arial"/>
                <w:sz w:val="14"/>
                <w:szCs w:val="14"/>
                <w:b w:val="1"/>
                <w:bCs w:val="1"/>
                <w:color w:val="auto"/>
                <w:w w:val="96"/>
              </w:rPr>
              <w:t>Name of Beneficial Owner</w:t>
            </w:r>
          </w:p>
        </w:tc>
        <w:tc>
          <w:tcPr>
            <w:tcW w:w="5800" w:type="dxa"/>
            <w:vAlign w:val="bottom"/>
            <w:vMerge w:val="restart"/>
          </w:tcPr>
          <w:p>
            <w:pPr>
              <w:spacing w:after="0"/>
              <w:rPr>
                <w:sz w:val="11"/>
                <w:szCs w:val="11"/>
                <w:color w:val="auto"/>
              </w:rPr>
            </w:pPr>
          </w:p>
        </w:tc>
        <w:tc>
          <w:tcPr>
            <w:tcW w:w="1160" w:type="dxa"/>
            <w:vAlign w:val="bottom"/>
            <w:gridSpan w:val="2"/>
          </w:tcPr>
          <w:p>
            <w:pPr>
              <w:jc w:val="center"/>
              <w:ind w:right="360"/>
              <w:spacing w:after="0" w:line="137" w:lineRule="exact"/>
              <w:rPr>
                <w:sz w:val="20"/>
                <w:szCs w:val="20"/>
                <w:color w:val="auto"/>
              </w:rPr>
            </w:pPr>
            <w:r>
              <w:rPr>
                <w:rFonts w:ascii="Arial" w:cs="Arial" w:eastAsia="Arial" w:hAnsi="Arial"/>
                <w:sz w:val="14"/>
                <w:szCs w:val="14"/>
                <w:b w:val="1"/>
                <w:bCs w:val="1"/>
                <w:color w:val="auto"/>
                <w:w w:val="97"/>
              </w:rPr>
              <w:t>Beneficially</w:t>
            </w:r>
          </w:p>
        </w:tc>
        <w:tc>
          <w:tcPr>
            <w:tcW w:w="1040" w:type="dxa"/>
            <w:vAlign w:val="bottom"/>
            <w:gridSpan w:val="2"/>
          </w:tcPr>
          <w:p>
            <w:pPr>
              <w:jc w:val="right"/>
              <w:ind w:right="492"/>
              <w:spacing w:after="0" w:line="137" w:lineRule="exact"/>
              <w:rPr>
                <w:sz w:val="20"/>
                <w:szCs w:val="20"/>
                <w:color w:val="auto"/>
              </w:rPr>
            </w:pPr>
            <w:r>
              <w:rPr>
                <w:rFonts w:ascii="Arial" w:cs="Arial" w:eastAsia="Arial" w:hAnsi="Arial"/>
                <w:sz w:val="14"/>
                <w:szCs w:val="14"/>
                <w:b w:val="1"/>
                <w:bCs w:val="1"/>
                <w:color w:val="auto"/>
              </w:rPr>
              <w:t>Before</w:t>
            </w:r>
          </w:p>
        </w:tc>
        <w:tc>
          <w:tcPr>
            <w:tcW w:w="540" w:type="dxa"/>
            <w:vAlign w:val="bottom"/>
          </w:tcPr>
          <w:p>
            <w:pPr>
              <w:jc w:val="right"/>
              <w:ind w:right="37"/>
              <w:spacing w:after="0" w:line="137" w:lineRule="exact"/>
              <w:rPr>
                <w:sz w:val="20"/>
                <w:szCs w:val="20"/>
                <w:color w:val="auto"/>
              </w:rPr>
            </w:pPr>
            <w:r>
              <w:rPr>
                <w:rFonts w:ascii="Arial" w:cs="Arial" w:eastAsia="Arial" w:hAnsi="Arial"/>
                <w:sz w:val="14"/>
                <w:szCs w:val="14"/>
                <w:b w:val="1"/>
                <w:bCs w:val="1"/>
                <w:color w:val="auto"/>
              </w:rPr>
              <w:t>After</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680" w:type="dxa"/>
            <w:vAlign w:val="bottom"/>
            <w:tcBorders>
              <w:bottom w:val="single" w:sz="8" w:color="auto"/>
            </w:tcBorders>
            <w:vMerge w:val="continue"/>
          </w:tcPr>
          <w:p>
            <w:pPr>
              <w:spacing w:after="0"/>
              <w:rPr>
                <w:sz w:val="14"/>
                <w:szCs w:val="14"/>
                <w:color w:val="auto"/>
              </w:rPr>
            </w:pPr>
          </w:p>
        </w:tc>
        <w:tc>
          <w:tcPr>
            <w:tcW w:w="5800" w:type="dxa"/>
            <w:vAlign w:val="bottom"/>
            <w:vMerge w:val="continue"/>
          </w:tcPr>
          <w:p>
            <w:pPr>
              <w:spacing w:after="0"/>
              <w:rPr>
                <w:sz w:val="14"/>
                <w:szCs w:val="14"/>
                <w:color w:val="auto"/>
              </w:rPr>
            </w:pPr>
          </w:p>
        </w:tc>
        <w:tc>
          <w:tcPr>
            <w:tcW w:w="1160" w:type="dxa"/>
            <w:vAlign w:val="bottom"/>
            <w:gridSpan w:val="2"/>
          </w:tcPr>
          <w:p>
            <w:pPr>
              <w:jc w:val="center"/>
              <w:ind w:right="340"/>
              <w:spacing w:after="0" w:line="150" w:lineRule="exact"/>
              <w:rPr>
                <w:sz w:val="20"/>
                <w:szCs w:val="20"/>
                <w:color w:val="auto"/>
              </w:rPr>
            </w:pPr>
            <w:r>
              <w:rPr>
                <w:rFonts w:ascii="Arial" w:cs="Arial" w:eastAsia="Arial" w:hAnsi="Arial"/>
                <w:sz w:val="14"/>
                <w:szCs w:val="14"/>
                <w:b w:val="1"/>
                <w:bCs w:val="1"/>
                <w:color w:val="auto"/>
                <w:w w:val="98"/>
              </w:rPr>
              <w:t>Owned</w:t>
            </w:r>
          </w:p>
        </w:tc>
        <w:tc>
          <w:tcPr>
            <w:tcW w:w="1040" w:type="dxa"/>
            <w:vAlign w:val="bottom"/>
            <w:gridSpan w:val="2"/>
          </w:tcPr>
          <w:p>
            <w:pPr>
              <w:jc w:val="right"/>
              <w:ind w:right="432"/>
              <w:spacing w:after="0" w:line="150" w:lineRule="exact"/>
              <w:rPr>
                <w:sz w:val="20"/>
                <w:szCs w:val="20"/>
                <w:color w:val="auto"/>
              </w:rPr>
            </w:pPr>
            <w:r>
              <w:rPr>
                <w:rFonts w:ascii="Arial" w:cs="Arial" w:eastAsia="Arial" w:hAnsi="Arial"/>
                <w:sz w:val="14"/>
                <w:szCs w:val="14"/>
                <w:b w:val="1"/>
                <w:bCs w:val="1"/>
                <w:color w:val="auto"/>
                <w:w w:val="95"/>
              </w:rPr>
              <w:t>Offering</w:t>
            </w:r>
          </w:p>
        </w:tc>
        <w:tc>
          <w:tcPr>
            <w:tcW w:w="740" w:type="dxa"/>
            <w:vAlign w:val="bottom"/>
            <w:gridSpan w:val="2"/>
          </w:tcPr>
          <w:p>
            <w:pPr>
              <w:jc w:val="right"/>
              <w:ind w:right="220"/>
              <w:spacing w:after="0" w:line="150" w:lineRule="exact"/>
              <w:rPr>
                <w:sz w:val="20"/>
                <w:szCs w:val="20"/>
                <w:color w:val="auto"/>
              </w:rPr>
            </w:pPr>
            <w:r>
              <w:rPr>
                <w:rFonts w:ascii="Arial" w:cs="Arial" w:eastAsia="Arial" w:hAnsi="Arial"/>
                <w:sz w:val="14"/>
                <w:szCs w:val="14"/>
                <w:b w:val="1"/>
                <w:bCs w:val="1"/>
                <w:color w:val="auto"/>
                <w:w w:val="91"/>
              </w:rPr>
              <w:t>Offering</w:t>
            </w:r>
          </w:p>
        </w:tc>
        <w:tc>
          <w:tcPr>
            <w:tcW w:w="0" w:type="dxa"/>
            <w:vAlign w:val="bottom"/>
          </w:tcPr>
          <w:p>
            <w:pPr>
              <w:spacing w:after="0"/>
              <w:rPr>
                <w:sz w:val="1"/>
                <w:szCs w:val="1"/>
                <w:color w:val="auto"/>
              </w:rPr>
            </w:pPr>
          </w:p>
        </w:tc>
      </w:tr>
      <w:tr>
        <w:trPr>
          <w:trHeight w:val="164"/>
        </w:trPr>
        <w:tc>
          <w:tcPr>
            <w:tcW w:w="7480" w:type="dxa"/>
            <w:vAlign w:val="bottom"/>
            <w:tcBorders>
              <w:top w:val="single" w:sz="8" w:color="CCEEFF"/>
            </w:tcBorders>
            <w:gridSpan w:val="2"/>
            <w:shd w:val="clear" w:color="auto" w:fill="CCEEFF"/>
          </w:tcPr>
          <w:p>
            <w:pPr>
              <w:spacing w:after="0" w:line="164" w:lineRule="exact"/>
              <w:rPr>
                <w:sz w:val="20"/>
                <w:szCs w:val="20"/>
                <w:color w:val="auto"/>
              </w:rPr>
            </w:pPr>
            <w:r>
              <w:rPr>
                <w:rFonts w:ascii="Arial" w:cs="Arial" w:eastAsia="Arial" w:hAnsi="Arial"/>
                <w:sz w:val="17"/>
                <w:szCs w:val="17"/>
                <w:b w:val="1"/>
                <w:bCs w:val="1"/>
                <w:color w:val="auto"/>
              </w:rPr>
              <w:t>5% or Greater Stockholders</w:t>
            </w:r>
          </w:p>
        </w:tc>
        <w:tc>
          <w:tcPr>
            <w:tcW w:w="8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480" w:type="dxa"/>
            <w:vAlign w:val="bottom"/>
            <w:gridSpan w:val="2"/>
          </w:tcPr>
          <w:p>
            <w:pPr>
              <w:spacing w:after="0" w:line="191" w:lineRule="exact"/>
              <w:rPr>
                <w:sz w:val="20"/>
                <w:szCs w:val="20"/>
                <w:color w:val="auto"/>
              </w:rPr>
            </w:pPr>
            <w:r>
              <w:rPr>
                <w:rFonts w:ascii="Arial" w:cs="Arial" w:eastAsia="Arial" w:hAnsi="Arial"/>
                <w:sz w:val="15"/>
                <w:szCs w:val="15"/>
                <w:color w:val="auto"/>
              </w:rPr>
              <w:t>Entities affiliated with ARCH Venture Partners</w:t>
            </w:r>
            <w:r>
              <w:rPr>
                <w:rFonts w:ascii="Arial" w:cs="Arial" w:eastAsia="Arial" w:hAnsi="Arial"/>
                <w:sz w:val="22"/>
                <w:szCs w:val="22"/>
                <w:color w:val="auto"/>
                <w:vertAlign w:val="superscript"/>
              </w:rPr>
              <w:t>(1)</w:t>
            </w:r>
          </w:p>
        </w:tc>
        <w:tc>
          <w:tcPr>
            <w:tcW w:w="1160" w:type="dxa"/>
            <w:vAlign w:val="bottom"/>
            <w:gridSpan w:val="2"/>
          </w:tcPr>
          <w:p>
            <w:pPr>
              <w:jc w:val="right"/>
              <w:ind w:right="340"/>
              <w:spacing w:after="0" w:line="192" w:lineRule="exact"/>
              <w:rPr>
                <w:sz w:val="20"/>
                <w:szCs w:val="20"/>
                <w:color w:val="auto"/>
              </w:rPr>
            </w:pPr>
            <w:r>
              <w:rPr>
                <w:rFonts w:ascii="Arial" w:cs="Arial" w:eastAsia="Arial" w:hAnsi="Arial"/>
                <w:sz w:val="17"/>
                <w:szCs w:val="17"/>
                <w:color w:val="auto"/>
              </w:rPr>
              <w:t>2,494,095</w:t>
            </w:r>
          </w:p>
        </w:tc>
        <w:tc>
          <w:tcPr>
            <w:tcW w:w="1040" w:type="dxa"/>
            <w:vAlign w:val="bottom"/>
            <w:gridSpan w:val="2"/>
          </w:tcPr>
          <w:p>
            <w:pPr>
              <w:jc w:val="right"/>
              <w:ind w:right="292"/>
              <w:spacing w:after="0" w:line="192" w:lineRule="exact"/>
              <w:rPr>
                <w:sz w:val="20"/>
                <w:szCs w:val="20"/>
                <w:color w:val="auto"/>
              </w:rPr>
            </w:pPr>
            <w:r>
              <w:rPr>
                <w:rFonts w:ascii="Arial" w:cs="Arial" w:eastAsia="Arial" w:hAnsi="Arial"/>
                <w:sz w:val="17"/>
                <w:szCs w:val="17"/>
                <w:color w:val="auto"/>
              </w:rPr>
              <w:t>15.6%</w:t>
            </w:r>
          </w:p>
        </w:tc>
        <w:tc>
          <w:tcPr>
            <w:tcW w:w="740" w:type="dxa"/>
            <w:vAlign w:val="bottom"/>
            <w:gridSpan w:val="2"/>
          </w:tcPr>
          <w:p>
            <w:pPr>
              <w:jc w:val="right"/>
              <w:ind w:right="60"/>
              <w:spacing w:after="0" w:line="192" w:lineRule="exact"/>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192"/>
        </w:trPr>
        <w:tc>
          <w:tcPr>
            <w:tcW w:w="7480" w:type="dxa"/>
            <w:vAlign w:val="bottom"/>
            <w:gridSpan w:val="2"/>
            <w:shd w:val="clear" w:color="auto" w:fill="CCEEFF"/>
          </w:tcPr>
          <w:p>
            <w:pPr>
              <w:spacing w:after="0" w:line="191" w:lineRule="exact"/>
              <w:rPr>
                <w:sz w:val="20"/>
                <w:szCs w:val="20"/>
                <w:color w:val="auto"/>
              </w:rPr>
            </w:pPr>
            <w:r>
              <w:rPr>
                <w:rFonts w:ascii="Arial" w:cs="Arial" w:eastAsia="Arial" w:hAnsi="Arial"/>
                <w:sz w:val="15"/>
                <w:szCs w:val="15"/>
                <w:color w:val="auto"/>
              </w:rPr>
              <w:t>Entities affiliated with Fidelity</w:t>
            </w:r>
            <w:r>
              <w:rPr>
                <w:rFonts w:ascii="Arial" w:cs="Arial" w:eastAsia="Arial" w:hAnsi="Arial"/>
                <w:sz w:val="22"/>
                <w:szCs w:val="22"/>
                <w:color w:val="auto"/>
                <w:vertAlign w:val="superscript"/>
              </w:rPr>
              <w:t>(2)</w:t>
            </w:r>
          </w:p>
        </w:tc>
        <w:tc>
          <w:tcPr>
            <w:tcW w:w="1160" w:type="dxa"/>
            <w:vAlign w:val="bottom"/>
            <w:gridSpan w:val="2"/>
            <w:shd w:val="clear" w:color="auto" w:fill="CCEEFF"/>
          </w:tcPr>
          <w:p>
            <w:pPr>
              <w:jc w:val="right"/>
              <w:ind w:right="340"/>
              <w:spacing w:after="0" w:line="192" w:lineRule="exact"/>
              <w:rPr>
                <w:sz w:val="20"/>
                <w:szCs w:val="20"/>
                <w:color w:val="auto"/>
              </w:rPr>
            </w:pPr>
            <w:r>
              <w:rPr>
                <w:rFonts w:ascii="Arial" w:cs="Arial" w:eastAsia="Arial" w:hAnsi="Arial"/>
                <w:sz w:val="17"/>
                <w:szCs w:val="17"/>
                <w:color w:val="auto"/>
              </w:rPr>
              <w:t>2,364,125</w:t>
            </w:r>
          </w:p>
        </w:tc>
        <w:tc>
          <w:tcPr>
            <w:tcW w:w="1040" w:type="dxa"/>
            <w:vAlign w:val="bottom"/>
            <w:gridSpan w:val="2"/>
            <w:shd w:val="clear" w:color="auto" w:fill="CCEEFF"/>
          </w:tcPr>
          <w:p>
            <w:pPr>
              <w:jc w:val="right"/>
              <w:ind w:right="292"/>
              <w:spacing w:after="0" w:line="192" w:lineRule="exact"/>
              <w:rPr>
                <w:sz w:val="20"/>
                <w:szCs w:val="20"/>
                <w:color w:val="auto"/>
              </w:rPr>
            </w:pPr>
            <w:r>
              <w:rPr>
                <w:rFonts w:ascii="Arial" w:cs="Arial" w:eastAsia="Arial" w:hAnsi="Arial"/>
                <w:sz w:val="17"/>
                <w:szCs w:val="17"/>
                <w:color w:val="auto"/>
              </w:rPr>
              <w:t>14.8%</w:t>
            </w:r>
          </w:p>
        </w:tc>
        <w:tc>
          <w:tcPr>
            <w:tcW w:w="740" w:type="dxa"/>
            <w:vAlign w:val="bottom"/>
            <w:gridSpan w:val="2"/>
            <w:shd w:val="clear" w:color="auto" w:fill="CCEEFF"/>
          </w:tcPr>
          <w:p>
            <w:pPr>
              <w:jc w:val="right"/>
              <w:ind w:right="60"/>
              <w:spacing w:after="0" w:line="192" w:lineRule="exact"/>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192"/>
        </w:trPr>
        <w:tc>
          <w:tcPr>
            <w:tcW w:w="7480" w:type="dxa"/>
            <w:vAlign w:val="bottom"/>
            <w:gridSpan w:val="2"/>
          </w:tcPr>
          <w:p>
            <w:pPr>
              <w:spacing w:after="0" w:line="191" w:lineRule="exact"/>
              <w:rPr>
                <w:sz w:val="20"/>
                <w:szCs w:val="20"/>
                <w:color w:val="auto"/>
              </w:rPr>
            </w:pPr>
            <w:r>
              <w:rPr>
                <w:rFonts w:ascii="Arial" w:cs="Arial" w:eastAsia="Arial" w:hAnsi="Arial"/>
                <w:sz w:val="15"/>
                <w:szCs w:val="15"/>
                <w:color w:val="auto"/>
              </w:rPr>
              <w:t>Entities affiliated with RA Capital Management, L.P.</w:t>
            </w:r>
            <w:r>
              <w:rPr>
                <w:rFonts w:ascii="Arial" w:cs="Arial" w:eastAsia="Arial" w:hAnsi="Arial"/>
                <w:sz w:val="22"/>
                <w:szCs w:val="22"/>
                <w:color w:val="auto"/>
                <w:vertAlign w:val="superscript"/>
              </w:rPr>
              <w:t>(3)</w:t>
            </w:r>
          </w:p>
        </w:tc>
        <w:tc>
          <w:tcPr>
            <w:tcW w:w="1160" w:type="dxa"/>
            <w:vAlign w:val="bottom"/>
            <w:gridSpan w:val="2"/>
          </w:tcPr>
          <w:p>
            <w:pPr>
              <w:jc w:val="right"/>
              <w:ind w:right="340"/>
              <w:spacing w:after="0" w:line="192" w:lineRule="exact"/>
              <w:rPr>
                <w:sz w:val="20"/>
                <w:szCs w:val="20"/>
                <w:color w:val="auto"/>
              </w:rPr>
            </w:pPr>
            <w:r>
              <w:rPr>
                <w:rFonts w:ascii="Arial" w:cs="Arial" w:eastAsia="Arial" w:hAnsi="Arial"/>
                <w:sz w:val="17"/>
                <w:szCs w:val="17"/>
                <w:color w:val="auto"/>
              </w:rPr>
              <w:t>1,868,131</w:t>
            </w:r>
          </w:p>
        </w:tc>
        <w:tc>
          <w:tcPr>
            <w:tcW w:w="1040" w:type="dxa"/>
            <w:vAlign w:val="bottom"/>
            <w:gridSpan w:val="2"/>
          </w:tcPr>
          <w:p>
            <w:pPr>
              <w:jc w:val="right"/>
              <w:ind w:right="292"/>
              <w:spacing w:after="0" w:line="192" w:lineRule="exact"/>
              <w:rPr>
                <w:sz w:val="20"/>
                <w:szCs w:val="20"/>
                <w:color w:val="auto"/>
              </w:rPr>
            </w:pPr>
            <w:r>
              <w:rPr>
                <w:rFonts w:ascii="Arial" w:cs="Arial" w:eastAsia="Arial" w:hAnsi="Arial"/>
                <w:sz w:val="17"/>
                <w:szCs w:val="17"/>
                <w:color w:val="auto"/>
              </w:rPr>
              <w:t>11.7%</w:t>
            </w:r>
          </w:p>
        </w:tc>
        <w:tc>
          <w:tcPr>
            <w:tcW w:w="740" w:type="dxa"/>
            <w:vAlign w:val="bottom"/>
            <w:gridSpan w:val="2"/>
          </w:tcPr>
          <w:p>
            <w:pPr>
              <w:jc w:val="right"/>
              <w:ind w:right="60"/>
              <w:spacing w:after="0" w:line="192" w:lineRule="exact"/>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192"/>
        </w:trPr>
        <w:tc>
          <w:tcPr>
            <w:tcW w:w="7480" w:type="dxa"/>
            <w:vAlign w:val="bottom"/>
            <w:gridSpan w:val="2"/>
            <w:shd w:val="clear" w:color="auto" w:fill="CCEEFF"/>
          </w:tcPr>
          <w:p>
            <w:pPr>
              <w:spacing w:after="0" w:line="191" w:lineRule="exact"/>
              <w:rPr>
                <w:sz w:val="20"/>
                <w:szCs w:val="20"/>
                <w:color w:val="auto"/>
              </w:rPr>
            </w:pPr>
            <w:r>
              <w:rPr>
                <w:rFonts w:ascii="Arial" w:cs="Arial" w:eastAsia="Arial" w:hAnsi="Arial"/>
                <w:sz w:val="15"/>
                <w:szCs w:val="15"/>
                <w:color w:val="auto"/>
              </w:rPr>
              <w:t>Bayer HealthCare LLC</w:t>
            </w:r>
            <w:r>
              <w:rPr>
                <w:rFonts w:ascii="Arial" w:cs="Arial" w:eastAsia="Arial" w:hAnsi="Arial"/>
                <w:sz w:val="22"/>
                <w:szCs w:val="22"/>
                <w:color w:val="auto"/>
                <w:vertAlign w:val="superscript"/>
              </w:rPr>
              <w:t>(4)</w:t>
            </w:r>
          </w:p>
        </w:tc>
        <w:tc>
          <w:tcPr>
            <w:tcW w:w="1160" w:type="dxa"/>
            <w:vAlign w:val="bottom"/>
            <w:gridSpan w:val="2"/>
            <w:shd w:val="clear" w:color="auto" w:fill="CCEEFF"/>
          </w:tcPr>
          <w:p>
            <w:pPr>
              <w:jc w:val="right"/>
              <w:ind w:right="340"/>
              <w:spacing w:after="0" w:line="192" w:lineRule="exact"/>
              <w:rPr>
                <w:sz w:val="20"/>
                <w:szCs w:val="20"/>
                <w:color w:val="auto"/>
              </w:rPr>
            </w:pPr>
            <w:r>
              <w:rPr>
                <w:rFonts w:ascii="Arial" w:cs="Arial" w:eastAsia="Arial" w:hAnsi="Arial"/>
                <w:sz w:val="17"/>
                <w:szCs w:val="17"/>
                <w:color w:val="auto"/>
              </w:rPr>
              <w:t>1,465,201</w:t>
            </w:r>
          </w:p>
        </w:tc>
        <w:tc>
          <w:tcPr>
            <w:tcW w:w="1040" w:type="dxa"/>
            <w:vAlign w:val="bottom"/>
            <w:gridSpan w:val="2"/>
            <w:shd w:val="clear" w:color="auto" w:fill="CCEEFF"/>
          </w:tcPr>
          <w:p>
            <w:pPr>
              <w:jc w:val="right"/>
              <w:ind w:right="292"/>
              <w:spacing w:after="0" w:line="192" w:lineRule="exact"/>
              <w:rPr>
                <w:sz w:val="20"/>
                <w:szCs w:val="20"/>
                <w:color w:val="auto"/>
              </w:rPr>
            </w:pPr>
            <w:r>
              <w:rPr>
                <w:rFonts w:ascii="Arial" w:cs="Arial" w:eastAsia="Arial" w:hAnsi="Arial"/>
                <w:sz w:val="17"/>
                <w:szCs w:val="17"/>
                <w:color w:val="auto"/>
              </w:rPr>
              <w:t>9.2%</w:t>
            </w:r>
          </w:p>
        </w:tc>
        <w:tc>
          <w:tcPr>
            <w:tcW w:w="740" w:type="dxa"/>
            <w:vAlign w:val="bottom"/>
            <w:gridSpan w:val="2"/>
            <w:shd w:val="clear" w:color="auto" w:fill="CCEEFF"/>
          </w:tcPr>
          <w:p>
            <w:pPr>
              <w:jc w:val="right"/>
              <w:ind w:right="60"/>
              <w:spacing w:after="0" w:line="192" w:lineRule="exact"/>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192"/>
        </w:trPr>
        <w:tc>
          <w:tcPr>
            <w:tcW w:w="7480" w:type="dxa"/>
            <w:vAlign w:val="bottom"/>
            <w:gridSpan w:val="2"/>
          </w:tcPr>
          <w:p>
            <w:pPr>
              <w:spacing w:after="0" w:line="191" w:lineRule="exact"/>
              <w:rPr>
                <w:sz w:val="20"/>
                <w:szCs w:val="20"/>
                <w:color w:val="auto"/>
              </w:rPr>
            </w:pPr>
            <w:r>
              <w:rPr>
                <w:rFonts w:ascii="Arial" w:cs="Arial" w:eastAsia="Arial" w:hAnsi="Arial"/>
                <w:sz w:val="15"/>
                <w:szCs w:val="15"/>
                <w:color w:val="auto"/>
              </w:rPr>
              <w:t>Entities affiliated with Nextech VI Oncology SCSp</w:t>
            </w:r>
            <w:r>
              <w:rPr>
                <w:rFonts w:ascii="Arial" w:cs="Arial" w:eastAsia="Arial" w:hAnsi="Arial"/>
                <w:sz w:val="22"/>
                <w:szCs w:val="22"/>
                <w:color w:val="auto"/>
                <w:vertAlign w:val="superscript"/>
              </w:rPr>
              <w:t>(5)</w:t>
            </w:r>
          </w:p>
        </w:tc>
        <w:tc>
          <w:tcPr>
            <w:tcW w:w="1160" w:type="dxa"/>
            <w:vAlign w:val="bottom"/>
            <w:gridSpan w:val="2"/>
          </w:tcPr>
          <w:p>
            <w:pPr>
              <w:jc w:val="right"/>
              <w:ind w:right="340"/>
              <w:spacing w:after="0" w:line="192" w:lineRule="exact"/>
              <w:rPr>
                <w:sz w:val="20"/>
                <w:szCs w:val="20"/>
                <w:color w:val="auto"/>
              </w:rPr>
            </w:pPr>
            <w:r>
              <w:rPr>
                <w:rFonts w:ascii="Arial" w:cs="Arial" w:eastAsia="Arial" w:hAnsi="Arial"/>
                <w:sz w:val="17"/>
                <w:szCs w:val="17"/>
                <w:color w:val="auto"/>
              </w:rPr>
              <w:t>1,178,069</w:t>
            </w:r>
          </w:p>
        </w:tc>
        <w:tc>
          <w:tcPr>
            <w:tcW w:w="1040" w:type="dxa"/>
            <w:vAlign w:val="bottom"/>
            <w:gridSpan w:val="2"/>
          </w:tcPr>
          <w:p>
            <w:pPr>
              <w:jc w:val="right"/>
              <w:ind w:right="292"/>
              <w:spacing w:after="0" w:line="192" w:lineRule="exact"/>
              <w:rPr>
                <w:sz w:val="20"/>
                <w:szCs w:val="20"/>
                <w:color w:val="auto"/>
              </w:rPr>
            </w:pPr>
            <w:r>
              <w:rPr>
                <w:rFonts w:ascii="Arial" w:cs="Arial" w:eastAsia="Arial" w:hAnsi="Arial"/>
                <w:sz w:val="17"/>
                <w:szCs w:val="17"/>
                <w:color w:val="auto"/>
              </w:rPr>
              <w:t>7.4%</w:t>
            </w:r>
          </w:p>
        </w:tc>
        <w:tc>
          <w:tcPr>
            <w:tcW w:w="740" w:type="dxa"/>
            <w:vAlign w:val="bottom"/>
            <w:gridSpan w:val="2"/>
          </w:tcPr>
          <w:p>
            <w:pPr>
              <w:jc w:val="right"/>
              <w:ind w:right="60"/>
              <w:spacing w:after="0" w:line="192" w:lineRule="exact"/>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192"/>
        </w:trPr>
        <w:tc>
          <w:tcPr>
            <w:tcW w:w="7480" w:type="dxa"/>
            <w:vAlign w:val="bottom"/>
            <w:gridSpan w:val="2"/>
            <w:shd w:val="clear" w:color="auto" w:fill="CCEEFF"/>
          </w:tcPr>
          <w:p>
            <w:pPr>
              <w:spacing w:after="0" w:line="191" w:lineRule="exact"/>
              <w:rPr>
                <w:sz w:val="20"/>
                <w:szCs w:val="20"/>
                <w:color w:val="auto"/>
              </w:rPr>
            </w:pPr>
            <w:r>
              <w:rPr>
                <w:rFonts w:ascii="Arial" w:cs="Arial" w:eastAsia="Arial" w:hAnsi="Arial"/>
                <w:sz w:val="15"/>
                <w:szCs w:val="15"/>
                <w:color w:val="auto"/>
              </w:rPr>
              <w:t>Vertex Global HC Fund II Pte. Ltd</w:t>
            </w:r>
            <w:r>
              <w:rPr>
                <w:rFonts w:ascii="Arial" w:cs="Arial" w:eastAsia="Arial" w:hAnsi="Arial"/>
                <w:sz w:val="22"/>
                <w:szCs w:val="22"/>
                <w:color w:val="auto"/>
                <w:vertAlign w:val="superscript"/>
              </w:rPr>
              <w:t>(6)</w:t>
            </w:r>
          </w:p>
        </w:tc>
        <w:tc>
          <w:tcPr>
            <w:tcW w:w="1160" w:type="dxa"/>
            <w:vAlign w:val="bottom"/>
            <w:gridSpan w:val="2"/>
            <w:shd w:val="clear" w:color="auto" w:fill="CCEEFF"/>
          </w:tcPr>
          <w:p>
            <w:pPr>
              <w:jc w:val="right"/>
              <w:ind w:right="340"/>
              <w:spacing w:after="0" w:line="192" w:lineRule="exact"/>
              <w:rPr>
                <w:sz w:val="20"/>
                <w:szCs w:val="20"/>
                <w:color w:val="auto"/>
              </w:rPr>
            </w:pPr>
            <w:r>
              <w:rPr>
                <w:rFonts w:ascii="Arial" w:cs="Arial" w:eastAsia="Arial" w:hAnsi="Arial"/>
                <w:sz w:val="17"/>
                <w:szCs w:val="17"/>
                <w:color w:val="auto"/>
              </w:rPr>
              <w:t>942,455</w:t>
            </w:r>
          </w:p>
        </w:tc>
        <w:tc>
          <w:tcPr>
            <w:tcW w:w="1040" w:type="dxa"/>
            <w:vAlign w:val="bottom"/>
            <w:gridSpan w:val="2"/>
            <w:shd w:val="clear" w:color="auto" w:fill="CCEEFF"/>
          </w:tcPr>
          <w:p>
            <w:pPr>
              <w:jc w:val="right"/>
              <w:ind w:right="292"/>
              <w:spacing w:after="0" w:line="192" w:lineRule="exact"/>
              <w:rPr>
                <w:sz w:val="20"/>
                <w:szCs w:val="20"/>
                <w:color w:val="auto"/>
              </w:rPr>
            </w:pPr>
            <w:r>
              <w:rPr>
                <w:rFonts w:ascii="Arial" w:cs="Arial" w:eastAsia="Arial" w:hAnsi="Arial"/>
                <w:sz w:val="17"/>
                <w:szCs w:val="17"/>
                <w:color w:val="auto"/>
              </w:rPr>
              <w:t>5.9%</w:t>
            </w:r>
          </w:p>
        </w:tc>
        <w:tc>
          <w:tcPr>
            <w:tcW w:w="740" w:type="dxa"/>
            <w:vAlign w:val="bottom"/>
            <w:gridSpan w:val="2"/>
            <w:shd w:val="clear" w:color="auto" w:fill="CCEEFF"/>
          </w:tcPr>
          <w:p>
            <w:pPr>
              <w:jc w:val="right"/>
              <w:ind w:right="60"/>
              <w:spacing w:after="0" w:line="192" w:lineRule="exact"/>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192"/>
        </w:trPr>
        <w:tc>
          <w:tcPr>
            <w:tcW w:w="7480" w:type="dxa"/>
            <w:vAlign w:val="bottom"/>
            <w:gridSpan w:val="2"/>
          </w:tcPr>
          <w:p>
            <w:pPr>
              <w:spacing w:after="0" w:line="192" w:lineRule="exact"/>
              <w:rPr>
                <w:sz w:val="20"/>
                <w:szCs w:val="20"/>
                <w:color w:val="auto"/>
              </w:rPr>
            </w:pPr>
            <w:r>
              <w:rPr>
                <w:rFonts w:ascii="Arial" w:cs="Arial" w:eastAsia="Arial" w:hAnsi="Arial"/>
                <w:sz w:val="17"/>
                <w:szCs w:val="17"/>
                <w:b w:val="1"/>
                <w:bCs w:val="1"/>
                <w:color w:val="auto"/>
              </w:rPr>
              <w:t>Named Executive Officers and Directors</w:t>
            </w: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480" w:type="dxa"/>
            <w:vAlign w:val="bottom"/>
            <w:gridSpan w:val="2"/>
            <w:shd w:val="clear" w:color="auto" w:fill="CCEEFF"/>
          </w:tcPr>
          <w:p>
            <w:pPr>
              <w:spacing w:after="0" w:line="191" w:lineRule="exact"/>
              <w:rPr>
                <w:sz w:val="20"/>
                <w:szCs w:val="20"/>
                <w:color w:val="auto"/>
              </w:rPr>
            </w:pPr>
            <w:r>
              <w:rPr>
                <w:rFonts w:ascii="Arial" w:cs="Arial" w:eastAsia="Arial" w:hAnsi="Arial"/>
                <w:sz w:val="15"/>
                <w:szCs w:val="15"/>
                <w:color w:val="auto"/>
              </w:rPr>
              <w:t>Zachary D. Hornby</w:t>
            </w:r>
            <w:r>
              <w:rPr>
                <w:rFonts w:ascii="Arial" w:cs="Arial" w:eastAsia="Arial" w:hAnsi="Arial"/>
                <w:sz w:val="22"/>
                <w:szCs w:val="22"/>
                <w:color w:val="auto"/>
                <w:vertAlign w:val="superscript"/>
              </w:rPr>
              <w:t>(7)</w:t>
            </w:r>
          </w:p>
        </w:tc>
        <w:tc>
          <w:tcPr>
            <w:tcW w:w="1160" w:type="dxa"/>
            <w:vAlign w:val="bottom"/>
            <w:gridSpan w:val="2"/>
            <w:shd w:val="clear" w:color="auto" w:fill="CCEEFF"/>
          </w:tcPr>
          <w:p>
            <w:pPr>
              <w:jc w:val="right"/>
              <w:ind w:right="340"/>
              <w:spacing w:after="0" w:line="192" w:lineRule="exact"/>
              <w:rPr>
                <w:sz w:val="20"/>
                <w:szCs w:val="20"/>
                <w:color w:val="auto"/>
              </w:rPr>
            </w:pPr>
            <w:r>
              <w:rPr>
                <w:rFonts w:ascii="Arial" w:cs="Arial" w:eastAsia="Arial" w:hAnsi="Arial"/>
                <w:sz w:val="17"/>
                <w:szCs w:val="17"/>
                <w:color w:val="auto"/>
              </w:rPr>
              <w:t>669,795</w:t>
            </w:r>
          </w:p>
        </w:tc>
        <w:tc>
          <w:tcPr>
            <w:tcW w:w="1040" w:type="dxa"/>
            <w:vAlign w:val="bottom"/>
            <w:gridSpan w:val="2"/>
            <w:shd w:val="clear" w:color="auto" w:fill="CCEEFF"/>
          </w:tcPr>
          <w:p>
            <w:pPr>
              <w:jc w:val="right"/>
              <w:ind w:right="292"/>
              <w:spacing w:after="0" w:line="192" w:lineRule="exact"/>
              <w:rPr>
                <w:sz w:val="20"/>
                <w:szCs w:val="20"/>
                <w:color w:val="auto"/>
              </w:rPr>
            </w:pPr>
            <w:r>
              <w:rPr>
                <w:rFonts w:ascii="Arial" w:cs="Arial" w:eastAsia="Arial" w:hAnsi="Arial"/>
                <w:sz w:val="17"/>
                <w:szCs w:val="17"/>
                <w:color w:val="auto"/>
              </w:rPr>
              <w:t>4.1%</w:t>
            </w:r>
          </w:p>
        </w:tc>
        <w:tc>
          <w:tcPr>
            <w:tcW w:w="740" w:type="dxa"/>
            <w:vAlign w:val="bottom"/>
            <w:gridSpan w:val="2"/>
            <w:shd w:val="clear" w:color="auto" w:fill="CCEEFF"/>
          </w:tcPr>
          <w:p>
            <w:pPr>
              <w:jc w:val="right"/>
              <w:ind w:right="60"/>
              <w:spacing w:after="0" w:line="192" w:lineRule="exact"/>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192"/>
        </w:trPr>
        <w:tc>
          <w:tcPr>
            <w:tcW w:w="7480" w:type="dxa"/>
            <w:vAlign w:val="bottom"/>
            <w:gridSpan w:val="2"/>
          </w:tcPr>
          <w:p>
            <w:pPr>
              <w:spacing w:after="0" w:line="191" w:lineRule="exact"/>
              <w:rPr>
                <w:sz w:val="20"/>
                <w:szCs w:val="20"/>
                <w:color w:val="auto"/>
              </w:rPr>
            </w:pPr>
            <w:r>
              <w:rPr>
                <w:rFonts w:ascii="Arial" w:cs="Arial" w:eastAsia="Arial" w:hAnsi="Arial"/>
                <w:sz w:val="15"/>
                <w:szCs w:val="15"/>
                <w:color w:val="auto"/>
              </w:rPr>
              <w:t>Klaus Wagner, M.D., Ph.D.</w:t>
            </w:r>
            <w:r>
              <w:rPr>
                <w:rFonts w:ascii="Arial" w:cs="Arial" w:eastAsia="Arial" w:hAnsi="Arial"/>
                <w:sz w:val="22"/>
                <w:szCs w:val="22"/>
                <w:color w:val="auto"/>
                <w:vertAlign w:val="superscript"/>
              </w:rPr>
              <w:t>(8)</w:t>
            </w:r>
          </w:p>
        </w:tc>
        <w:tc>
          <w:tcPr>
            <w:tcW w:w="1160" w:type="dxa"/>
            <w:vAlign w:val="bottom"/>
            <w:gridSpan w:val="2"/>
          </w:tcPr>
          <w:p>
            <w:pPr>
              <w:jc w:val="right"/>
              <w:ind w:right="340"/>
              <w:spacing w:after="0" w:line="192" w:lineRule="exact"/>
              <w:rPr>
                <w:sz w:val="20"/>
                <w:szCs w:val="20"/>
                <w:color w:val="auto"/>
              </w:rPr>
            </w:pPr>
            <w:r>
              <w:rPr>
                <w:rFonts w:ascii="Arial" w:cs="Arial" w:eastAsia="Arial" w:hAnsi="Arial"/>
                <w:sz w:val="17"/>
                <w:szCs w:val="17"/>
                <w:color w:val="auto"/>
              </w:rPr>
              <w:t>79,229</w:t>
            </w:r>
          </w:p>
        </w:tc>
        <w:tc>
          <w:tcPr>
            <w:tcW w:w="1040" w:type="dxa"/>
            <w:vAlign w:val="bottom"/>
            <w:gridSpan w:val="2"/>
          </w:tcPr>
          <w:p>
            <w:pPr>
              <w:jc w:val="right"/>
              <w:ind w:right="432"/>
              <w:spacing w:after="0" w:line="192" w:lineRule="exact"/>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0"/>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7480" w:type="dxa"/>
            <w:vAlign w:val="bottom"/>
            <w:gridSpan w:val="2"/>
            <w:shd w:val="clear" w:color="auto" w:fill="CCEEFF"/>
          </w:tcPr>
          <w:p>
            <w:pPr>
              <w:spacing w:after="0" w:line="191" w:lineRule="exact"/>
              <w:rPr>
                <w:sz w:val="20"/>
                <w:szCs w:val="20"/>
                <w:color w:val="auto"/>
              </w:rPr>
            </w:pPr>
            <w:r>
              <w:rPr>
                <w:rFonts w:ascii="Arial" w:cs="Arial" w:eastAsia="Arial" w:hAnsi="Arial"/>
                <w:sz w:val="15"/>
                <w:szCs w:val="15"/>
                <w:color w:val="auto"/>
              </w:rPr>
              <w:t>Chris Hassig, Ph.D.</w:t>
            </w:r>
            <w:r>
              <w:rPr>
                <w:rFonts w:ascii="Arial" w:cs="Arial" w:eastAsia="Arial" w:hAnsi="Arial"/>
                <w:sz w:val="22"/>
                <w:szCs w:val="22"/>
                <w:color w:val="auto"/>
                <w:vertAlign w:val="superscript"/>
              </w:rPr>
              <w:t>(9)</w:t>
            </w:r>
          </w:p>
        </w:tc>
        <w:tc>
          <w:tcPr>
            <w:tcW w:w="1160" w:type="dxa"/>
            <w:vAlign w:val="bottom"/>
            <w:gridSpan w:val="2"/>
            <w:shd w:val="clear" w:color="auto" w:fill="CCEEFF"/>
          </w:tcPr>
          <w:p>
            <w:pPr>
              <w:jc w:val="right"/>
              <w:ind w:right="340"/>
              <w:spacing w:after="0" w:line="192" w:lineRule="exact"/>
              <w:rPr>
                <w:sz w:val="20"/>
                <w:szCs w:val="20"/>
                <w:color w:val="auto"/>
              </w:rPr>
            </w:pPr>
            <w:r>
              <w:rPr>
                <w:rFonts w:ascii="Arial" w:cs="Arial" w:eastAsia="Arial" w:hAnsi="Arial"/>
                <w:sz w:val="17"/>
                <w:szCs w:val="17"/>
                <w:color w:val="auto"/>
              </w:rPr>
              <w:t>139,869</w:t>
            </w:r>
          </w:p>
        </w:tc>
        <w:tc>
          <w:tcPr>
            <w:tcW w:w="1040" w:type="dxa"/>
            <w:vAlign w:val="bottom"/>
            <w:gridSpan w:val="2"/>
            <w:shd w:val="clear" w:color="auto" w:fill="CCEEFF"/>
          </w:tcPr>
          <w:p>
            <w:pPr>
              <w:jc w:val="right"/>
              <w:ind w:right="432"/>
              <w:spacing w:after="0" w:line="192"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00"/>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7480" w:type="dxa"/>
            <w:vAlign w:val="bottom"/>
            <w:gridSpan w:val="2"/>
          </w:tcPr>
          <w:p>
            <w:pPr>
              <w:spacing w:after="0" w:line="191" w:lineRule="exact"/>
              <w:rPr>
                <w:sz w:val="20"/>
                <w:szCs w:val="20"/>
                <w:color w:val="auto"/>
              </w:rPr>
            </w:pPr>
            <w:r>
              <w:rPr>
                <w:rFonts w:ascii="Arial" w:cs="Arial" w:eastAsia="Arial" w:hAnsi="Arial"/>
                <w:sz w:val="15"/>
                <w:szCs w:val="15"/>
                <w:color w:val="auto"/>
              </w:rPr>
              <w:t>Jonathan E. Lim, M.D.</w:t>
            </w:r>
            <w:r>
              <w:rPr>
                <w:rFonts w:ascii="Arial" w:cs="Arial" w:eastAsia="Arial" w:hAnsi="Arial"/>
                <w:sz w:val="22"/>
                <w:szCs w:val="22"/>
                <w:color w:val="auto"/>
                <w:vertAlign w:val="superscript"/>
              </w:rPr>
              <w:t>(10)</w:t>
            </w:r>
          </w:p>
        </w:tc>
        <w:tc>
          <w:tcPr>
            <w:tcW w:w="1160" w:type="dxa"/>
            <w:vAlign w:val="bottom"/>
            <w:gridSpan w:val="2"/>
          </w:tcPr>
          <w:p>
            <w:pPr>
              <w:jc w:val="right"/>
              <w:ind w:right="340"/>
              <w:spacing w:after="0" w:line="192" w:lineRule="exact"/>
              <w:rPr>
                <w:sz w:val="20"/>
                <w:szCs w:val="20"/>
                <w:color w:val="auto"/>
              </w:rPr>
            </w:pPr>
            <w:r>
              <w:rPr>
                <w:rFonts w:ascii="Arial" w:cs="Arial" w:eastAsia="Arial" w:hAnsi="Arial"/>
                <w:sz w:val="17"/>
                <w:szCs w:val="17"/>
                <w:color w:val="auto"/>
              </w:rPr>
              <w:t>669,347</w:t>
            </w:r>
          </w:p>
        </w:tc>
        <w:tc>
          <w:tcPr>
            <w:tcW w:w="1040" w:type="dxa"/>
            <w:vAlign w:val="bottom"/>
            <w:gridSpan w:val="2"/>
          </w:tcPr>
          <w:p>
            <w:pPr>
              <w:jc w:val="right"/>
              <w:ind w:right="292"/>
              <w:spacing w:after="0" w:line="192" w:lineRule="exact"/>
              <w:rPr>
                <w:sz w:val="20"/>
                <w:szCs w:val="20"/>
                <w:color w:val="auto"/>
              </w:rPr>
            </w:pPr>
            <w:r>
              <w:rPr>
                <w:rFonts w:ascii="Arial" w:cs="Arial" w:eastAsia="Arial" w:hAnsi="Arial"/>
                <w:sz w:val="17"/>
                <w:szCs w:val="17"/>
                <w:color w:val="auto"/>
              </w:rPr>
              <w:t>4.2%</w:t>
            </w:r>
          </w:p>
        </w:tc>
        <w:tc>
          <w:tcPr>
            <w:tcW w:w="740" w:type="dxa"/>
            <w:vAlign w:val="bottom"/>
            <w:gridSpan w:val="2"/>
          </w:tcPr>
          <w:p>
            <w:pPr>
              <w:jc w:val="right"/>
              <w:ind w:right="60"/>
              <w:spacing w:after="0" w:line="192" w:lineRule="exact"/>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192"/>
        </w:trPr>
        <w:tc>
          <w:tcPr>
            <w:tcW w:w="7480" w:type="dxa"/>
            <w:vAlign w:val="bottom"/>
            <w:gridSpan w:val="2"/>
            <w:shd w:val="clear" w:color="auto" w:fill="CCEEFF"/>
          </w:tcPr>
          <w:p>
            <w:pPr>
              <w:spacing w:after="0" w:line="192" w:lineRule="exact"/>
              <w:rPr>
                <w:sz w:val="20"/>
                <w:szCs w:val="20"/>
                <w:color w:val="auto"/>
              </w:rPr>
            </w:pPr>
            <w:r>
              <w:rPr>
                <w:rFonts w:ascii="Arial" w:cs="Arial" w:eastAsia="Arial" w:hAnsi="Arial"/>
                <w:sz w:val="17"/>
                <w:szCs w:val="17"/>
                <w:color w:val="auto"/>
              </w:rPr>
              <w:t>Christine Brennan, Ph.D.</w:t>
            </w:r>
          </w:p>
        </w:tc>
        <w:tc>
          <w:tcPr>
            <w:tcW w:w="1160" w:type="dxa"/>
            <w:vAlign w:val="bottom"/>
            <w:gridSpan w:val="2"/>
            <w:shd w:val="clear" w:color="auto" w:fill="CCEEFF"/>
          </w:tcPr>
          <w:p>
            <w:pPr>
              <w:jc w:val="right"/>
              <w:ind w:right="340"/>
              <w:spacing w:after="0" w:line="192"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432"/>
              <w:spacing w:after="0" w:line="192"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00"/>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7480" w:type="dxa"/>
            <w:vAlign w:val="bottom"/>
            <w:gridSpan w:val="2"/>
          </w:tcPr>
          <w:p>
            <w:pPr>
              <w:spacing w:after="0" w:line="192" w:lineRule="exact"/>
              <w:rPr>
                <w:sz w:val="20"/>
                <w:szCs w:val="20"/>
                <w:color w:val="auto"/>
              </w:rPr>
            </w:pPr>
            <w:r>
              <w:rPr>
                <w:rFonts w:ascii="Arial" w:cs="Arial" w:eastAsia="Arial" w:hAnsi="Arial"/>
                <w:sz w:val="17"/>
                <w:szCs w:val="17"/>
                <w:color w:val="auto"/>
              </w:rPr>
              <w:t>Kristina Burow</w:t>
            </w:r>
          </w:p>
        </w:tc>
        <w:tc>
          <w:tcPr>
            <w:tcW w:w="1160" w:type="dxa"/>
            <w:vAlign w:val="bottom"/>
            <w:gridSpan w:val="2"/>
          </w:tcPr>
          <w:p>
            <w:pPr>
              <w:jc w:val="right"/>
              <w:ind w:right="340"/>
              <w:spacing w:after="0" w:line="192"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432"/>
              <w:spacing w:after="0" w:line="192" w:lineRule="exact"/>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0"/>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7480" w:type="dxa"/>
            <w:vAlign w:val="bottom"/>
            <w:gridSpan w:val="2"/>
            <w:shd w:val="clear" w:color="auto" w:fill="CCEEFF"/>
          </w:tcPr>
          <w:p>
            <w:pPr>
              <w:spacing w:after="0" w:line="191" w:lineRule="exact"/>
              <w:rPr>
                <w:sz w:val="20"/>
                <w:szCs w:val="20"/>
                <w:color w:val="auto"/>
              </w:rPr>
            </w:pPr>
            <w:r>
              <w:rPr>
                <w:rFonts w:ascii="Arial" w:cs="Arial" w:eastAsia="Arial" w:hAnsi="Arial"/>
                <w:sz w:val="15"/>
                <w:szCs w:val="15"/>
                <w:color w:val="auto"/>
              </w:rPr>
              <w:t>Jamie Christensen, Ph.D.</w:t>
            </w:r>
            <w:r>
              <w:rPr>
                <w:rFonts w:ascii="Arial" w:cs="Arial" w:eastAsia="Arial" w:hAnsi="Arial"/>
                <w:sz w:val="22"/>
                <w:szCs w:val="22"/>
                <w:color w:val="auto"/>
                <w:vertAlign w:val="superscript"/>
              </w:rPr>
              <w:t>(11)</w:t>
            </w:r>
          </w:p>
        </w:tc>
        <w:tc>
          <w:tcPr>
            <w:tcW w:w="1160" w:type="dxa"/>
            <w:vAlign w:val="bottom"/>
            <w:gridSpan w:val="2"/>
            <w:shd w:val="clear" w:color="auto" w:fill="CCEEFF"/>
          </w:tcPr>
          <w:p>
            <w:pPr>
              <w:jc w:val="right"/>
              <w:ind w:right="340"/>
              <w:spacing w:after="0" w:line="192" w:lineRule="exact"/>
              <w:rPr>
                <w:sz w:val="20"/>
                <w:szCs w:val="20"/>
                <w:color w:val="auto"/>
              </w:rPr>
            </w:pPr>
            <w:r>
              <w:rPr>
                <w:rFonts w:ascii="Arial" w:cs="Arial" w:eastAsia="Arial" w:hAnsi="Arial"/>
                <w:sz w:val="17"/>
                <w:szCs w:val="17"/>
                <w:color w:val="auto"/>
              </w:rPr>
              <w:t>28,461</w:t>
            </w:r>
          </w:p>
        </w:tc>
        <w:tc>
          <w:tcPr>
            <w:tcW w:w="1040" w:type="dxa"/>
            <w:vAlign w:val="bottom"/>
            <w:gridSpan w:val="2"/>
            <w:shd w:val="clear" w:color="auto" w:fill="CCEEFF"/>
          </w:tcPr>
          <w:p>
            <w:pPr>
              <w:jc w:val="right"/>
              <w:ind w:right="432"/>
              <w:spacing w:after="0" w:line="192"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00"/>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7480" w:type="dxa"/>
            <w:vAlign w:val="bottom"/>
            <w:gridSpan w:val="2"/>
          </w:tcPr>
          <w:p>
            <w:pPr>
              <w:spacing w:after="0" w:line="191" w:lineRule="exact"/>
              <w:rPr>
                <w:sz w:val="20"/>
                <w:szCs w:val="20"/>
                <w:color w:val="auto"/>
              </w:rPr>
            </w:pPr>
            <w:r>
              <w:rPr>
                <w:rFonts w:ascii="Arial" w:cs="Arial" w:eastAsia="Arial" w:hAnsi="Arial"/>
                <w:sz w:val="15"/>
                <w:szCs w:val="15"/>
                <w:color w:val="auto"/>
              </w:rPr>
              <w:t>Jennifer Lew</w:t>
            </w:r>
            <w:r>
              <w:rPr>
                <w:rFonts w:ascii="Arial" w:cs="Arial" w:eastAsia="Arial" w:hAnsi="Arial"/>
                <w:sz w:val="22"/>
                <w:szCs w:val="22"/>
                <w:color w:val="auto"/>
                <w:vertAlign w:val="superscript"/>
              </w:rPr>
              <w:t>(12)</w:t>
            </w:r>
          </w:p>
        </w:tc>
        <w:tc>
          <w:tcPr>
            <w:tcW w:w="1160" w:type="dxa"/>
            <w:vAlign w:val="bottom"/>
            <w:gridSpan w:val="2"/>
          </w:tcPr>
          <w:p>
            <w:pPr>
              <w:jc w:val="right"/>
              <w:ind w:right="340"/>
              <w:spacing w:after="0" w:line="192" w:lineRule="exact"/>
              <w:rPr>
                <w:sz w:val="20"/>
                <w:szCs w:val="20"/>
                <w:color w:val="auto"/>
              </w:rPr>
            </w:pPr>
            <w:r>
              <w:rPr>
                <w:rFonts w:ascii="Arial" w:cs="Arial" w:eastAsia="Arial" w:hAnsi="Arial"/>
                <w:sz w:val="17"/>
                <w:szCs w:val="17"/>
                <w:color w:val="auto"/>
              </w:rPr>
              <w:t>21,423</w:t>
            </w:r>
          </w:p>
        </w:tc>
        <w:tc>
          <w:tcPr>
            <w:tcW w:w="1040" w:type="dxa"/>
            <w:vAlign w:val="bottom"/>
            <w:gridSpan w:val="2"/>
          </w:tcPr>
          <w:p>
            <w:pPr>
              <w:jc w:val="right"/>
              <w:ind w:right="432"/>
              <w:spacing w:after="0" w:line="192" w:lineRule="exact"/>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0"/>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7480" w:type="dxa"/>
            <w:vAlign w:val="bottom"/>
            <w:gridSpan w:val="2"/>
            <w:shd w:val="clear" w:color="auto" w:fill="CCEEFF"/>
          </w:tcPr>
          <w:p>
            <w:pPr>
              <w:spacing w:after="0" w:line="191" w:lineRule="exact"/>
              <w:rPr>
                <w:sz w:val="20"/>
                <w:szCs w:val="20"/>
                <w:color w:val="auto"/>
              </w:rPr>
            </w:pPr>
            <w:r>
              <w:rPr>
                <w:rFonts w:ascii="Arial" w:cs="Arial" w:eastAsia="Arial" w:hAnsi="Arial"/>
                <w:sz w:val="15"/>
                <w:szCs w:val="15"/>
                <w:color w:val="auto"/>
              </w:rPr>
              <w:t>Jakob Loven, Ph.D.</w:t>
            </w:r>
            <w:r>
              <w:rPr>
                <w:rFonts w:ascii="Arial" w:cs="Arial" w:eastAsia="Arial" w:hAnsi="Arial"/>
                <w:sz w:val="22"/>
                <w:szCs w:val="22"/>
                <w:color w:val="auto"/>
                <w:vertAlign w:val="superscript"/>
              </w:rPr>
              <w:t>(13)</w:t>
            </w:r>
          </w:p>
        </w:tc>
        <w:tc>
          <w:tcPr>
            <w:tcW w:w="1160" w:type="dxa"/>
            <w:vAlign w:val="bottom"/>
            <w:gridSpan w:val="2"/>
            <w:shd w:val="clear" w:color="auto" w:fill="CCEEFF"/>
          </w:tcPr>
          <w:p>
            <w:pPr>
              <w:jc w:val="right"/>
              <w:ind w:right="340"/>
              <w:spacing w:after="0" w:line="192"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432"/>
              <w:spacing w:after="0" w:line="192"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00"/>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7480" w:type="dxa"/>
            <w:vAlign w:val="bottom"/>
            <w:gridSpan w:val="2"/>
          </w:tcPr>
          <w:p>
            <w:pPr>
              <w:spacing w:after="0" w:line="191" w:lineRule="exact"/>
              <w:rPr>
                <w:sz w:val="20"/>
                <w:szCs w:val="20"/>
                <w:color w:val="auto"/>
              </w:rPr>
            </w:pPr>
            <w:r>
              <w:rPr>
                <w:rFonts w:ascii="Arial" w:cs="Arial" w:eastAsia="Arial" w:hAnsi="Arial"/>
                <w:sz w:val="15"/>
                <w:szCs w:val="15"/>
                <w:color w:val="auto"/>
              </w:rPr>
              <w:t>Fabio Pucci, Ph.D.</w:t>
            </w:r>
            <w:r>
              <w:rPr>
                <w:rFonts w:ascii="Arial" w:cs="Arial" w:eastAsia="Arial" w:hAnsi="Arial"/>
                <w:sz w:val="22"/>
                <w:szCs w:val="22"/>
                <w:color w:val="auto"/>
                <w:vertAlign w:val="superscript"/>
              </w:rPr>
              <w:t>(14)</w:t>
            </w:r>
          </w:p>
        </w:tc>
        <w:tc>
          <w:tcPr>
            <w:tcW w:w="1160" w:type="dxa"/>
            <w:vAlign w:val="bottom"/>
            <w:gridSpan w:val="2"/>
          </w:tcPr>
          <w:p>
            <w:pPr>
              <w:jc w:val="right"/>
              <w:ind w:right="340"/>
              <w:spacing w:after="0" w:line="192"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432"/>
              <w:spacing w:after="0" w:line="192" w:lineRule="exact"/>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0"/>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7480" w:type="dxa"/>
            <w:vAlign w:val="bottom"/>
            <w:gridSpan w:val="2"/>
            <w:shd w:val="clear" w:color="auto" w:fill="CCEEFF"/>
          </w:tcPr>
          <w:p>
            <w:pPr>
              <w:spacing w:after="0" w:line="191" w:lineRule="exact"/>
              <w:rPr>
                <w:sz w:val="20"/>
                <w:szCs w:val="20"/>
                <w:color w:val="auto"/>
              </w:rPr>
            </w:pPr>
            <w:r>
              <w:rPr>
                <w:rFonts w:ascii="Arial" w:cs="Arial" w:eastAsia="Arial" w:hAnsi="Arial"/>
                <w:sz w:val="15"/>
                <w:szCs w:val="15"/>
                <w:color w:val="auto"/>
              </w:rPr>
              <w:t>Nancy Whiting, Pharm.D.</w:t>
            </w:r>
            <w:r>
              <w:rPr>
                <w:rFonts w:ascii="Arial" w:cs="Arial" w:eastAsia="Arial" w:hAnsi="Arial"/>
                <w:sz w:val="22"/>
                <w:szCs w:val="22"/>
                <w:color w:val="auto"/>
                <w:vertAlign w:val="superscript"/>
              </w:rPr>
              <w:t>(15)</w:t>
            </w:r>
          </w:p>
        </w:tc>
        <w:tc>
          <w:tcPr>
            <w:tcW w:w="1160" w:type="dxa"/>
            <w:vAlign w:val="bottom"/>
            <w:gridSpan w:val="2"/>
            <w:shd w:val="clear" w:color="auto" w:fill="CCEEFF"/>
          </w:tcPr>
          <w:p>
            <w:pPr>
              <w:jc w:val="right"/>
              <w:ind w:right="340"/>
              <w:spacing w:after="0" w:line="192" w:lineRule="exact"/>
              <w:rPr>
                <w:sz w:val="20"/>
                <w:szCs w:val="20"/>
                <w:color w:val="auto"/>
              </w:rPr>
            </w:pPr>
            <w:r>
              <w:rPr>
                <w:rFonts w:ascii="Arial" w:cs="Arial" w:eastAsia="Arial" w:hAnsi="Arial"/>
                <w:sz w:val="17"/>
                <w:szCs w:val="17"/>
                <w:color w:val="auto"/>
              </w:rPr>
              <w:t>28,461</w:t>
            </w:r>
          </w:p>
        </w:tc>
        <w:tc>
          <w:tcPr>
            <w:tcW w:w="1040" w:type="dxa"/>
            <w:vAlign w:val="bottom"/>
            <w:gridSpan w:val="2"/>
            <w:shd w:val="clear" w:color="auto" w:fill="CCEEFF"/>
          </w:tcPr>
          <w:p>
            <w:pPr>
              <w:jc w:val="right"/>
              <w:ind w:right="432"/>
              <w:spacing w:after="0" w:line="192"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00"/>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41"/>
        </w:trPr>
        <w:tc>
          <w:tcPr>
            <w:tcW w:w="7480" w:type="dxa"/>
            <w:vAlign w:val="bottom"/>
            <w:gridSpan w:val="2"/>
          </w:tcPr>
          <w:p>
            <w:pPr>
              <w:spacing w:after="0"/>
              <w:rPr>
                <w:sz w:val="20"/>
                <w:szCs w:val="20"/>
                <w:color w:val="auto"/>
              </w:rPr>
            </w:pPr>
            <w:r>
              <w:rPr>
                <w:rFonts w:ascii="Arial" w:cs="Arial" w:eastAsia="Arial" w:hAnsi="Arial"/>
                <w:sz w:val="17"/>
                <w:szCs w:val="17"/>
                <w:color w:val="auto"/>
              </w:rPr>
              <w:t>All executive officers and directors as a group (14 persons)</w:t>
            </w:r>
            <w:r>
              <w:rPr>
                <w:rFonts w:ascii="Arial" w:cs="Arial" w:eastAsia="Arial" w:hAnsi="Arial"/>
                <w:sz w:val="25"/>
                <w:szCs w:val="25"/>
                <w:color w:val="auto"/>
                <w:vertAlign w:val="superscript"/>
              </w:rPr>
              <w:t>(16)</w:t>
            </w: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1,769,827</w:t>
            </w:r>
          </w:p>
        </w:tc>
        <w:tc>
          <w:tcPr>
            <w:tcW w:w="1040" w:type="dxa"/>
            <w:vAlign w:val="bottom"/>
            <w:gridSpan w:val="2"/>
          </w:tcPr>
          <w:p>
            <w:pPr>
              <w:jc w:val="right"/>
              <w:ind w:right="292"/>
              <w:spacing w:after="0"/>
              <w:rPr>
                <w:sz w:val="20"/>
                <w:szCs w:val="20"/>
                <w:color w:val="auto"/>
              </w:rPr>
            </w:pPr>
            <w:r>
              <w:rPr>
                <w:rFonts w:ascii="Arial" w:cs="Arial" w:eastAsia="Arial" w:hAnsi="Arial"/>
                <w:sz w:val="17"/>
                <w:szCs w:val="17"/>
                <w:color w:val="auto"/>
              </w:rPr>
              <w:t>10.5%</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-5080</wp:posOffset>
            </wp:positionV>
            <wp:extent cx="73025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15" w:lineRule="exact"/>
        <w:rPr>
          <w:sz w:val="20"/>
          <w:szCs w:val="20"/>
          <w:color w:val="auto"/>
        </w:rPr>
      </w:pPr>
    </w:p>
    <w:p>
      <w:pPr>
        <w:ind w:left="820" w:hanging="409"/>
        <w:spacing w:after="0"/>
        <w:tabs>
          <w:tab w:leader="none" w:pos="8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4" w:lineRule="exact"/>
        <w:rPr>
          <w:sz w:val="20"/>
          <w:szCs w:val="20"/>
          <w:color w:val="auto"/>
        </w:rPr>
      </w:pPr>
    </w:p>
    <w:p>
      <w:pPr>
        <w:ind w:left="820" w:right="80" w:hanging="409"/>
        <w:spacing w:after="0" w:line="270" w:lineRule="auto"/>
        <w:tabs>
          <w:tab w:leader="none" w:pos="820" w:val="left"/>
        </w:tabs>
        <w:numPr>
          <w:ilvl w:val="0"/>
          <w:numId w:val="91"/>
        </w:numPr>
        <w:rPr>
          <w:rFonts w:ascii="Arial" w:cs="Arial" w:eastAsia="Arial" w:hAnsi="Arial"/>
          <w:sz w:val="12"/>
          <w:szCs w:val="12"/>
          <w:color w:val="auto"/>
        </w:rPr>
      </w:pPr>
      <w:r>
        <w:rPr>
          <w:rFonts w:ascii="Arial" w:cs="Arial" w:eastAsia="Arial" w:hAnsi="Arial"/>
          <w:sz w:val="12"/>
          <w:szCs w:val="12"/>
          <w:color w:val="auto"/>
        </w:rPr>
        <w:t>Consists of 617,092 shares of common stock held by ARCH Venture Fund IX, L.P. (AVF IX), 828,570 shares of common stock held by ARCH Venture Fund IX Overage, L.P. (AVF IX Overage), and 1,048,433 shares of common stock held by ARCH Venture Fund X Overage, L.P. (AVF X Overage). ARCH Venture Partners IX, L.P. (AVP IX LP) is the sole general partner of AVF IX. ARCH Venture Partners IX Overage, L.P. (AVP IX Overage LP) is the sole general partner of AVF IX Overage. ARCH Venture Partners IX, LLC (AVP IX LLC) is the sole general partner of each of AVP IX LP and AVP IX Overage LP. Keith Crandell, Robert Nelsen, and Clinton Bybee comprise the managing directors of AVP IX LLC (the AVP IX Managing Directors). AVP IX LP may be deemed to beneficially own the shares held by AVF IX; AVP IX Overage LP may be deemed to beneficially own the shares held by AVF IX Overage; AVP IX LLC may be deemed to beneficially own the shares held by AVF IX and AVF IX Overage; and each of the Managing Directors may be deemed to beneficially own the shares held by AVF IX and AVF IX Overage. ARCH Venture Partners X Overage, L.P. (AVP X Overage LP) is the sole general partner of AVF X Overage. ARCH Venture Partners X, LLC (AVP X LLC) is the sole general partner of AVP X Overage LP. Keith Crandell, Kristina Burow, Steven Gillis, and Robert Nelsen comprise the investment committee of AVP X LLC (the AVP X Committee Members). AVP X Overage LP may be deemed to beneficially own the shares held by AVF X Overage; AVP X LLC may be deemed to beneficially own the shares held by AVF X Overage; and each of the AVP X Committee Members may be deemed to share the power to direct the disposition and vote of the shares held by AVF X Overage. Each of AVP IX LP, AVP IX Overage LP, AVP IX LLC, the Managing Directors, AVP X Overage LP, AVP X LLC, and the AVP X Committee Members disclaims beneficial ownership except to any pecuniary interest therein. The address of the ARCH Venture Funds is 8755 W. Higgins Road, Suite 1025, Chicago, IL 60631. Ms. Burow, a member of our board of directors, owns an interest in AVP IX LP and AVP IX Overage LP but does not have voting or dispositive power over the shares held by AVF IX and AVF IX Overage and disclaims beneficial ownership of such shares, except to the extent of any pecuniary interest therein.</w:t>
      </w:r>
    </w:p>
    <w:p>
      <w:pPr>
        <w:spacing w:after="0" w:line="152" w:lineRule="exact"/>
        <w:rPr>
          <w:rFonts w:ascii="Arial" w:cs="Arial" w:eastAsia="Arial" w:hAnsi="Arial"/>
          <w:sz w:val="12"/>
          <w:szCs w:val="12"/>
          <w:color w:val="auto"/>
        </w:rPr>
      </w:pPr>
    </w:p>
    <w:p>
      <w:pPr>
        <w:ind w:left="820" w:right="20" w:hanging="409"/>
        <w:spacing w:after="0" w:line="242" w:lineRule="auto"/>
        <w:tabs>
          <w:tab w:leader="none" w:pos="820" w:val="left"/>
        </w:tabs>
        <w:numPr>
          <w:ilvl w:val="0"/>
          <w:numId w:val="91"/>
        </w:numPr>
        <w:rPr>
          <w:rFonts w:ascii="Arial" w:cs="Arial" w:eastAsia="Arial" w:hAnsi="Arial"/>
          <w:sz w:val="14"/>
          <w:szCs w:val="14"/>
          <w:color w:val="auto"/>
        </w:rPr>
      </w:pPr>
      <w:r>
        <w:rPr>
          <w:rFonts w:ascii="Arial" w:cs="Arial" w:eastAsia="Arial" w:hAnsi="Arial"/>
          <w:sz w:val="14"/>
          <w:szCs w:val="14"/>
          <w:color w:val="auto"/>
        </w:rPr>
        <w:t>All of the securities listed in the table above are beneficially owned, or may be deemed to be beneficially owned, by FMR LLC, certain of its subsidiaries and affiliates, and other companies. Abigail P. Johnson is a Director, the Chairman, and the Chief Executive Officer of FMR LLC. Members of the Johnson family, including Abigail P. Johnson, are the predominant owners,</w:t>
      </w:r>
    </w:p>
    <w:p>
      <w:pPr>
        <w:spacing w:after="0" w:line="10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198</w:t>
      </w:r>
    </w:p>
    <w:p>
      <w:pPr>
        <w:sectPr>
          <w:pgSz w:w="11900" w:h="16838" w:orient="portrait"/>
          <w:cols w:equalWidth="0" w:num="1">
            <w:col w:w="10840"/>
          </w:cols>
          <w:pgMar w:left="320" w:top="439" w:right="7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302" w:lineRule="exact"/>
        <w:rPr>
          <w:sz w:val="20"/>
          <w:szCs w:val="20"/>
          <w:color w:val="auto"/>
        </w:rPr>
      </w:pPr>
    </w:p>
    <w:p>
      <w:pPr>
        <w:ind w:left="820" w:right="100"/>
        <w:spacing w:after="0" w:line="236" w:lineRule="auto"/>
        <w:rPr>
          <w:sz w:val="20"/>
          <w:szCs w:val="20"/>
          <w:color w:val="auto"/>
        </w:rPr>
      </w:pPr>
      <w:r>
        <w:rPr>
          <w:rFonts w:ascii="Arial" w:cs="Arial" w:eastAsia="Arial" w:hAnsi="Arial"/>
          <w:sz w:val="14"/>
          <w:szCs w:val="14"/>
          <w:color w:val="auto"/>
        </w:rPr>
        <w:t>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FMR LLC is 245 Summer Street, Boston, MA 02210.</w:t>
      </w:r>
    </w:p>
    <w:p>
      <w:pPr>
        <w:spacing w:after="0" w:line="13" w:lineRule="exact"/>
        <w:rPr>
          <w:sz w:val="20"/>
          <w:szCs w:val="20"/>
          <w:color w:val="auto"/>
        </w:rPr>
      </w:pPr>
    </w:p>
    <w:p>
      <w:pPr>
        <w:ind w:left="820" w:hanging="409"/>
        <w:spacing w:after="0" w:line="234" w:lineRule="auto"/>
        <w:tabs>
          <w:tab w:leader="none" w:pos="8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Consists of 1,587,912 shares of common stock held by RA Capital Healthcare Fund, L.P. (RA Healthcare) and 280,219 shares of common stock held by RA Capital Nexus Fund II, L.P. (Nexus II). RA Capital Management, L.P. is the investment manager for RA Healthcare and Nexus II. The general partner of RA Capital Management, L.P. is RA Capital Management GP, LLC, of which Peter Kolchinsky, Ph.D. and Rajeev Shah are the managing members. RA Capital Management, L.P., RA Capital Management GP, LLC, Peter Kolchinsky, Ph.D., and Rajeev Shah may be deemed to have voting and investment power over the shares held of record by RA Healthcare and Nexus II. RA Capital Management, L.P., RA Capital Management GP, LLC, Peter Kolchinsky, Ph.D., and Rajeev Shah disclaim beneficial ownership of such shares, except to the extent of any pecuniary interest therein. The address of the entities listed above is 200 Berkeley Street, 18th Floor, Boston, Massachusetts 02116.</w:t>
      </w:r>
    </w:p>
    <w:p>
      <w:pPr>
        <w:spacing w:after="0" w:line="12" w:lineRule="exact"/>
        <w:rPr>
          <w:rFonts w:ascii="Arial" w:cs="Arial" w:eastAsia="Arial" w:hAnsi="Arial"/>
          <w:sz w:val="14"/>
          <w:szCs w:val="14"/>
          <w:color w:val="auto"/>
        </w:rPr>
      </w:pPr>
    </w:p>
    <w:p>
      <w:pPr>
        <w:ind w:left="820" w:right="80" w:hanging="409"/>
        <w:spacing w:after="0" w:line="235" w:lineRule="auto"/>
        <w:tabs>
          <w:tab w:leader="none" w:pos="8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Consists of 1,465,201 shares of common stock held by Bayer HealthCare LLC (BHC). Each of BHC, Bayer US Holding LP (BUSH LP), Bayer World Investments B.V. (BWI), and Bayer Aktiengesellschaft (Bayer AG) share voting and dispositive power over the shares of common stock held by BHC. BHC is controlled by BUSH LP. BWI is the general partner of BUSH LP. BWI is an indirect, wholly owned subsidiary of Bayer AG. Accordingly, Bayer AG may be deemed to be an indirect beneficial owner of the shares of common stock beneficially owned directly by BHC. The business address for BHC and BUSH LP is 100 Bayer Boulevard, Whippany, New Jersey 07981. The business address for BWI is Siriusdreef 36, 2132 WT Hoofddorp, The Netherlands 2132WT. The business address for Bayer AG is Bayerwerk, Gebaeude W11, Kaiser-Wilhelm-Allee 1, Leverkusen, Germany 51373.</w:t>
      </w:r>
    </w:p>
    <w:p>
      <w:pPr>
        <w:spacing w:after="0" w:line="12" w:lineRule="exact"/>
        <w:rPr>
          <w:rFonts w:ascii="Arial" w:cs="Arial" w:eastAsia="Arial" w:hAnsi="Arial"/>
          <w:sz w:val="14"/>
          <w:szCs w:val="14"/>
          <w:color w:val="auto"/>
        </w:rPr>
      </w:pPr>
    </w:p>
    <w:p>
      <w:pPr>
        <w:ind w:left="820" w:right="140" w:hanging="409"/>
        <w:spacing w:after="0" w:line="234" w:lineRule="auto"/>
        <w:tabs>
          <w:tab w:leader="none" w:pos="8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Consists of 1,178,069 shares of common stock held by Nextech VI Oncology SCSp (Nextech VI LP). Nextech VI GP S.à r.l. (Nextech VI GP) serves as the sole general partner of Nextech VI LP and has sole voting and investment control over the shares owned by Nextech VI LP and may be deemed to own beneficially the shares held by Nextech VI LP. Nextech VI GP owns no securities of the Company directly. Rocco Sgobbo, Costas Constantinides, and Ian Charoub are members of the board of managers of Nextech VI GP and share voting and dispositive power over the shares held by Nextech VI LP, and may be deemed to own beneficially the shares held by Nextech VI LP. The members of the board of managers own no securities of the Company directly. Each of the individuals and entities listed above expressly disclaims beneficial interest of the shares listed above except to the extent of any pecuniary interest therein. The principal business address of Nextech VI LP is: 8 rue Lou Hemmer, L-1748 Senningerberg, Grand-Duché de Luxembourg.</w:t>
      </w:r>
    </w:p>
    <w:p>
      <w:pPr>
        <w:spacing w:after="0" w:line="12" w:lineRule="exact"/>
        <w:rPr>
          <w:rFonts w:ascii="Arial" w:cs="Arial" w:eastAsia="Arial" w:hAnsi="Arial"/>
          <w:sz w:val="14"/>
          <w:szCs w:val="14"/>
          <w:color w:val="auto"/>
        </w:rPr>
      </w:pPr>
    </w:p>
    <w:p>
      <w:pPr>
        <w:ind w:left="820" w:right="80" w:hanging="409"/>
        <w:spacing w:after="0" w:line="236" w:lineRule="auto"/>
        <w:tabs>
          <w:tab w:leader="none" w:pos="8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Consists of 942,455 shares of common stock held by Vertex Global HC Fund II Pte. Ltd. (Vertex). Vertex is managed by Vertex Venture Management Pte. Ltd. (VVM) which is a private company limited by shares. VVM is deemed to have voting and dispositive power over the shares held by Vertex pursuant to a management agreement between Vertex and VVM whereby the divestment and voting decisions require the unanimous approval of the members of an investment committee established by VVM. The members of the investment committee are Ming Kian Teo, Kheng Nam Lee, and Kee Lock Chua. The address of Vertex is 250 North Bridge Road, #11-01 Raffles City Tower, Singapore 179101.</w:t>
      </w:r>
    </w:p>
    <w:p>
      <w:pPr>
        <w:spacing w:after="0" w:line="13" w:lineRule="exact"/>
        <w:rPr>
          <w:rFonts w:ascii="Arial" w:cs="Arial" w:eastAsia="Arial" w:hAnsi="Arial"/>
          <w:sz w:val="14"/>
          <w:szCs w:val="14"/>
          <w:color w:val="auto"/>
        </w:rPr>
      </w:pPr>
    </w:p>
    <w:p>
      <w:pPr>
        <w:ind w:left="820" w:right="340" w:hanging="409"/>
        <w:spacing w:after="0" w:line="255" w:lineRule="auto"/>
        <w:tabs>
          <w:tab w:leader="none" w:pos="8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Consists of 256,410 shares of common stock held directly and 413,385 shares of common stock underlying options held by Mr. Hornby that are exercisable as of February 15, 2024 or that will become exercisable within 60 days after such date.</w:t>
      </w:r>
    </w:p>
    <w:p>
      <w:pPr>
        <w:spacing w:after="0" w:line="2" w:lineRule="exact"/>
        <w:rPr>
          <w:rFonts w:ascii="Arial" w:cs="Arial" w:eastAsia="Arial" w:hAnsi="Arial"/>
          <w:sz w:val="14"/>
          <w:szCs w:val="14"/>
          <w:color w:val="auto"/>
        </w:rPr>
      </w:pPr>
    </w:p>
    <w:p>
      <w:pPr>
        <w:ind w:left="820" w:right="40" w:hanging="409"/>
        <w:spacing w:after="0" w:line="255" w:lineRule="auto"/>
        <w:tabs>
          <w:tab w:leader="none" w:pos="8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Consists of 79,229 shares of common stock underlying options held by Dr. Wagner that are exercisable as of February 15, 2024 or that will become exercisable within 60 days after such date.</w:t>
      </w:r>
    </w:p>
    <w:p>
      <w:pPr>
        <w:spacing w:after="0" w:line="2" w:lineRule="exact"/>
        <w:rPr>
          <w:rFonts w:ascii="Arial" w:cs="Arial" w:eastAsia="Arial" w:hAnsi="Arial"/>
          <w:sz w:val="14"/>
          <w:szCs w:val="14"/>
          <w:color w:val="auto"/>
        </w:rPr>
      </w:pPr>
    </w:p>
    <w:p>
      <w:pPr>
        <w:ind w:left="820" w:right="120" w:hanging="409"/>
        <w:spacing w:after="0" w:line="255" w:lineRule="auto"/>
        <w:tabs>
          <w:tab w:leader="none" w:pos="8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Consists of (i) 25,641 shares of common stock held directly and (ii) 114,228 shares of common stock underlying options held by Dr. Hassig that are exercisable as of February 15, 2024 or that will become exercisable within 60 days after such date.</w:t>
      </w:r>
    </w:p>
    <w:p>
      <w:pPr>
        <w:spacing w:after="0" w:line="2" w:lineRule="exact"/>
        <w:rPr>
          <w:rFonts w:ascii="Arial" w:cs="Arial" w:eastAsia="Arial" w:hAnsi="Arial"/>
          <w:sz w:val="14"/>
          <w:szCs w:val="14"/>
          <w:color w:val="auto"/>
        </w:rPr>
      </w:pPr>
    </w:p>
    <w:p>
      <w:pPr>
        <w:ind w:left="820" w:right="360" w:hanging="409"/>
        <w:spacing w:after="0" w:line="255" w:lineRule="auto"/>
        <w:tabs>
          <w:tab w:leader="none" w:pos="8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Consists of (i) 102,564 shares of common stock held directly, (ii) 550,915 shares of common stock held by City Hill, LLC and (iii) 15,868 shares of common stock underlying options held by Dr. Lim that are exercisable as of February 15, 2024 or that will become exercisable within 60 days after such date.</w:t>
      </w:r>
    </w:p>
    <w:p>
      <w:pPr>
        <w:spacing w:after="0" w:line="2" w:lineRule="exact"/>
        <w:rPr>
          <w:rFonts w:ascii="Arial" w:cs="Arial" w:eastAsia="Arial" w:hAnsi="Arial"/>
          <w:sz w:val="14"/>
          <w:szCs w:val="14"/>
          <w:color w:val="auto"/>
        </w:rPr>
      </w:pPr>
    </w:p>
    <w:p>
      <w:pPr>
        <w:ind w:left="820" w:right="180" w:hanging="409"/>
        <w:spacing w:after="0" w:line="255" w:lineRule="auto"/>
        <w:tabs>
          <w:tab w:leader="none" w:pos="8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Consists of 28,461 shares of common stock underlying options held by Dr. Christensen that are exercisable as of February 15, 2024 or that will become exercisable within 60 days after such date.</w:t>
      </w:r>
    </w:p>
    <w:p>
      <w:pPr>
        <w:spacing w:after="0" w:line="2" w:lineRule="exact"/>
        <w:rPr>
          <w:rFonts w:ascii="Arial" w:cs="Arial" w:eastAsia="Arial" w:hAnsi="Arial"/>
          <w:sz w:val="14"/>
          <w:szCs w:val="14"/>
          <w:color w:val="auto"/>
        </w:rPr>
      </w:pPr>
    </w:p>
    <w:p>
      <w:pPr>
        <w:ind w:left="820" w:right="40" w:hanging="409"/>
        <w:spacing w:after="0" w:line="255" w:lineRule="auto"/>
        <w:tabs>
          <w:tab w:leader="none" w:pos="8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Consists of 21,423 shares of common stock underlying options held by Ms. Lew that are exercisable as of February 15, 2024 or that will become exercisable within 60 days after such date.</w:t>
      </w:r>
    </w:p>
    <w:p>
      <w:pPr>
        <w:spacing w:after="0" w:line="2" w:lineRule="exact"/>
        <w:rPr>
          <w:rFonts w:ascii="Arial" w:cs="Arial" w:eastAsia="Arial" w:hAnsi="Arial"/>
          <w:sz w:val="14"/>
          <w:szCs w:val="14"/>
          <w:color w:val="auto"/>
        </w:rPr>
      </w:pPr>
    </w:p>
    <w:p>
      <w:pPr>
        <w:ind w:left="820" w:hanging="409"/>
        <w:spacing w:after="0"/>
        <w:tabs>
          <w:tab w:leader="none" w:pos="8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Dr. Loven will resign from our board of directors immediately prior to the effectiveness of the registration statement of which this prospectus forms a part.</w:t>
      </w:r>
    </w:p>
    <w:p>
      <w:pPr>
        <w:spacing w:after="0" w:line="30" w:lineRule="exact"/>
        <w:rPr>
          <w:rFonts w:ascii="Arial" w:cs="Arial" w:eastAsia="Arial" w:hAnsi="Arial"/>
          <w:sz w:val="14"/>
          <w:szCs w:val="14"/>
          <w:color w:val="auto"/>
        </w:rPr>
      </w:pPr>
    </w:p>
    <w:p>
      <w:pPr>
        <w:ind w:left="820" w:hanging="409"/>
        <w:spacing w:after="0"/>
        <w:tabs>
          <w:tab w:leader="none" w:pos="8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Dr. Pucci will resign from our board of directors immediately prior to the effectiveness of the registration statement of which this prospectus forms a part.</w:t>
      </w:r>
    </w:p>
    <w:p>
      <w:pPr>
        <w:spacing w:after="0" w:line="30" w:lineRule="exact"/>
        <w:rPr>
          <w:rFonts w:ascii="Arial" w:cs="Arial" w:eastAsia="Arial" w:hAnsi="Arial"/>
          <w:sz w:val="14"/>
          <w:szCs w:val="14"/>
          <w:color w:val="auto"/>
        </w:rPr>
      </w:pPr>
    </w:p>
    <w:p>
      <w:pPr>
        <w:ind w:left="820" w:right="60" w:hanging="409"/>
        <w:spacing w:after="0" w:line="255" w:lineRule="auto"/>
        <w:tabs>
          <w:tab w:leader="none" w:pos="8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Consists of 28,461 shares of common stock underlying options held by Dr. Whiting that are exercisable as of February 15, 2024 or that will become exercisable within 60 days after such date.</w:t>
      </w:r>
    </w:p>
    <w:p>
      <w:pPr>
        <w:spacing w:after="0" w:line="2" w:lineRule="exact"/>
        <w:rPr>
          <w:rFonts w:ascii="Arial" w:cs="Arial" w:eastAsia="Arial" w:hAnsi="Arial"/>
          <w:sz w:val="14"/>
          <w:szCs w:val="14"/>
          <w:color w:val="auto"/>
        </w:rPr>
      </w:pPr>
    </w:p>
    <w:p>
      <w:pPr>
        <w:ind w:left="820" w:right="120" w:hanging="409"/>
        <w:spacing w:after="0" w:line="255" w:lineRule="auto"/>
        <w:tabs>
          <w:tab w:leader="none" w:pos="8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Includes the shares described in footnotes 7 through 15 above and an additional 834,297 shares of common stock underlying options exercisable as of February 15, 2024 or that will become exercisable within 60 days after such date held by our other executive officers.</w:t>
      </w:r>
    </w:p>
    <w:p>
      <w:pPr>
        <w:spacing w:after="0" w:line="96"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199</w:t>
      </w:r>
    </w:p>
    <w:p>
      <w:pPr>
        <w:sectPr>
          <w:pgSz w:w="11900" w:h="16838" w:orient="portrait"/>
          <w:cols w:equalWidth="0" w:num="1">
            <w:col w:w="10840"/>
          </w:cols>
          <w:pgMar w:left="320" w:top="439" w:right="7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DESCRIPTION OF CAPITAL STOCK</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General</w:t>
      </w:r>
    </w:p>
    <w:p>
      <w:pPr>
        <w:spacing w:after="0" w:line="201" w:lineRule="exact"/>
        <w:rPr>
          <w:sz w:val="20"/>
          <w:szCs w:val="20"/>
          <w:color w:val="auto"/>
        </w:rPr>
      </w:pPr>
    </w:p>
    <w:p>
      <w:pPr>
        <w:ind w:left="420" w:firstLine="521"/>
        <w:spacing w:after="0" w:line="244" w:lineRule="auto"/>
        <w:rPr>
          <w:sz w:val="20"/>
          <w:szCs w:val="20"/>
          <w:color w:val="auto"/>
        </w:rPr>
      </w:pPr>
      <w:r>
        <w:rPr>
          <w:rFonts w:ascii="Arial" w:cs="Arial" w:eastAsia="Arial" w:hAnsi="Arial"/>
          <w:sz w:val="17"/>
          <w:szCs w:val="17"/>
          <w:color w:val="auto"/>
        </w:rPr>
        <w:t>The following description summarizes some of the terms of our amended and restated certificate of incorporation and amended and restated bylaws that will be in effect upon the closing of this offering, our investors’ rights agreement and of the Delaware General Corporation Law. Because it is only a summary, it does not contain all the information that may be important to you. For a complete description you should refer to our amended and restated certificate of incorporation, amended and restated bylaws and our investors’ rights agreement, copies of which have been filed as exhibits to the registration statement of which this prospectus is a part.</w:t>
      </w:r>
    </w:p>
    <w:p>
      <w:pPr>
        <w:spacing w:after="0" w:line="169" w:lineRule="exact"/>
        <w:rPr>
          <w:sz w:val="20"/>
          <w:szCs w:val="20"/>
          <w:color w:val="auto"/>
        </w:rPr>
      </w:pPr>
    </w:p>
    <w:p>
      <w:pPr>
        <w:ind w:left="420" w:right="100" w:firstLine="521"/>
        <w:spacing w:after="0" w:line="270" w:lineRule="auto"/>
        <w:rPr>
          <w:sz w:val="20"/>
          <w:szCs w:val="20"/>
          <w:color w:val="auto"/>
        </w:rPr>
      </w:pPr>
      <w:r>
        <w:rPr>
          <w:rFonts w:ascii="Arial" w:cs="Arial" w:eastAsia="Arial" w:hAnsi="Arial"/>
          <w:sz w:val="17"/>
          <w:szCs w:val="17"/>
          <w:color w:val="auto"/>
        </w:rPr>
        <w:t>Following the closing of this offering, our authorized capital stock will consist of 700,000,000 shares of common stock, $0.0001 par value per share, and 70,000,000 shares of preferred stock, $0.0001 par value per share.</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Common Stock</w:t>
      </w:r>
    </w:p>
    <w:p>
      <w:pPr>
        <w:spacing w:after="0" w:line="201" w:lineRule="exact"/>
        <w:rPr>
          <w:sz w:val="20"/>
          <w:szCs w:val="20"/>
          <w:color w:val="auto"/>
        </w:rPr>
      </w:pPr>
    </w:p>
    <w:p>
      <w:pPr>
        <w:ind w:left="420" w:right="20" w:firstLine="521"/>
        <w:spacing w:after="0" w:line="237" w:lineRule="auto"/>
        <w:rPr>
          <w:sz w:val="20"/>
          <w:szCs w:val="20"/>
          <w:color w:val="auto"/>
        </w:rPr>
      </w:pPr>
      <w:r>
        <w:rPr>
          <w:rFonts w:ascii="Arial" w:cs="Arial" w:eastAsia="Arial" w:hAnsi="Arial"/>
          <w:sz w:val="17"/>
          <w:szCs w:val="17"/>
          <w:color w:val="auto"/>
        </w:rPr>
        <w:t>As of December 31, 2023, there were 15,989,333 shares of our common stock outstanding and held of record by 104 stockholders, including 1,481 shares of restricted common stock, which are subject to our right of repurchase, after giving effect to the automatic conversion of all outstanding shares of our convertible preferred stock into 14,740,840 shares of common stock, which will automatically occur immediately prior to the closing of this offering. Based on the number of shares of common stock outstanding as of December 31, 2023, and further assuming the issuance by us of 6,250,000 shares of common stock in this offering, there will be 22,239,333 shares of common stock outstanding upon the closing of this offering. 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the supermajority votes for some matters, other matters shall be decided by the affirmative vote of our stockholders having a majority in voting power of the votes cast by the stockholders present or represented and voting on such matter. Our amended and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amended and restated certificate of incorporation. See the subsection titled“—Anti-Takeover Effects of Delaware Law and Our Certificate of Incorporation and Bylaws-Amendment of Charter Provisions” below.</w:t>
      </w:r>
    </w:p>
    <w:p>
      <w:pPr>
        <w:spacing w:after="0" w:line="181" w:lineRule="exact"/>
        <w:rPr>
          <w:sz w:val="20"/>
          <w:szCs w:val="20"/>
          <w:color w:val="auto"/>
        </w:rPr>
      </w:pPr>
    </w:p>
    <w:p>
      <w:pPr>
        <w:ind w:left="420" w:right="20" w:firstLine="521"/>
        <w:spacing w:after="0"/>
        <w:rPr>
          <w:sz w:val="20"/>
          <w:szCs w:val="20"/>
          <w:color w:val="auto"/>
        </w:rPr>
      </w:pPr>
      <w:r>
        <w:rPr>
          <w:rFonts w:ascii="Arial" w:cs="Arial" w:eastAsia="Arial" w:hAnsi="Arial"/>
          <w:sz w:val="17"/>
          <w:szCs w:val="17"/>
          <w:color w:val="auto"/>
        </w:rPr>
        <w:t>Subject to preferences that may be applicable to any then outstanding preferred stock, holders of common stock are entitled to receive ratably those dividends, if any, as may be declared by the board of directors out of legally available funds. 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 Holders of common stock have no preemptive or conversion rights or other subscription rights, and there are no redemption or sinking funds provisions applicable to the common stock. All outstanding shares of common stock are, and the common stock to be outstanding upon the closing of this offering will be, duly authorized, validly issued, fully paid and nonassessable. The rights, preferences, and privileges of holders of common stock are subject to and</w:t>
      </w:r>
    </w:p>
    <w:p>
      <w:pPr>
        <w:spacing w:after="0" w:line="11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200</w:t>
      </w:r>
    </w:p>
    <w:p>
      <w:pPr>
        <w:sectPr>
          <w:pgSz w:w="11900" w:h="16838" w:orient="portrait"/>
          <w:cols w:equalWidth="0" w:num="1">
            <w:col w:w="10840"/>
          </w:cols>
          <w:pgMar w:left="320" w:top="439" w:right="7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220"/>
        <w:spacing w:after="0" w:line="270" w:lineRule="auto"/>
        <w:rPr>
          <w:sz w:val="20"/>
          <w:szCs w:val="20"/>
          <w:color w:val="auto"/>
        </w:rPr>
      </w:pPr>
      <w:r>
        <w:rPr>
          <w:rFonts w:ascii="Arial" w:cs="Arial" w:eastAsia="Arial" w:hAnsi="Arial"/>
          <w:sz w:val="17"/>
          <w:szCs w:val="17"/>
          <w:color w:val="auto"/>
        </w:rPr>
        <w:t>may be adversely affected by the rights of the holders of shares of any series of preferred stock that we may designate and issue in the future.</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Preferred Stock</w:t>
      </w:r>
    </w:p>
    <w:p>
      <w:pPr>
        <w:spacing w:after="0" w:line="201" w:lineRule="exact"/>
        <w:rPr>
          <w:sz w:val="20"/>
          <w:szCs w:val="20"/>
          <w:color w:val="auto"/>
        </w:rPr>
      </w:pPr>
    </w:p>
    <w:p>
      <w:pPr>
        <w:ind w:left="420" w:firstLine="521"/>
        <w:spacing w:after="0"/>
        <w:rPr>
          <w:sz w:val="20"/>
          <w:szCs w:val="20"/>
          <w:color w:val="auto"/>
        </w:rPr>
      </w:pPr>
      <w:r>
        <w:rPr>
          <w:rFonts w:ascii="Arial" w:cs="Arial" w:eastAsia="Arial" w:hAnsi="Arial"/>
          <w:sz w:val="17"/>
          <w:szCs w:val="17"/>
          <w:color w:val="auto"/>
        </w:rPr>
        <w:t>Upon the closing of this offering, all of our previously outstanding shares of convertible preferred stock will have been converted into common stock, there will be no authorized shares of our previously outstanding convertible preferred stock, and we will have no shares of preferred stock outstanding. Under the terms of our amended and restated certificate of incorporation, which will become effective immediately prior to the closing of this offering, our board of directors has the authority, without further action by our stockholders, to issue up to 70,000,000 shares of preferred stock in one or more series, to establish from time to time the number of shares to be included in each such series, to fix the dividend, voting and other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74" w:lineRule="exact"/>
        <w:rPr>
          <w:sz w:val="20"/>
          <w:szCs w:val="20"/>
          <w:color w:val="auto"/>
        </w:rPr>
      </w:pPr>
    </w:p>
    <w:p>
      <w:pPr>
        <w:ind w:left="420" w:right="20" w:firstLine="521"/>
        <w:spacing w:after="0" w:line="244" w:lineRule="auto"/>
        <w:rPr>
          <w:sz w:val="20"/>
          <w:szCs w:val="20"/>
          <w:color w:val="auto"/>
        </w:rPr>
      </w:pPr>
      <w:r>
        <w:rPr>
          <w:rFonts w:ascii="Arial" w:cs="Arial" w:eastAsia="Arial" w:hAnsi="Arial"/>
          <w:sz w:val="17"/>
          <w:szCs w:val="17"/>
          <w:color w:val="auto"/>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deterring, or preventing a change in our control and may adversely affect the market price of the common stock and the voting and other rights of the holders of common stock. We have no current plans to issue any shares of preferred stock.</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Options</w:t>
      </w:r>
    </w:p>
    <w:p>
      <w:pPr>
        <w:spacing w:after="0" w:line="201" w:lineRule="exact"/>
        <w:rPr>
          <w:sz w:val="20"/>
          <w:szCs w:val="20"/>
          <w:color w:val="auto"/>
        </w:rPr>
      </w:pPr>
    </w:p>
    <w:p>
      <w:pPr>
        <w:jc w:val="both"/>
        <w:ind w:left="420" w:right="220" w:firstLine="521"/>
        <w:spacing w:after="0" w:line="252" w:lineRule="auto"/>
        <w:rPr>
          <w:sz w:val="20"/>
          <w:szCs w:val="20"/>
          <w:color w:val="auto"/>
        </w:rPr>
      </w:pPr>
      <w:r>
        <w:rPr>
          <w:rFonts w:ascii="Arial" w:cs="Arial" w:eastAsia="Arial" w:hAnsi="Arial"/>
          <w:sz w:val="17"/>
          <w:szCs w:val="17"/>
          <w:color w:val="auto"/>
        </w:rPr>
        <w:t>As of December 31, 2023, options to purchase 2,813,937 shares of our common stock were outstanding, of which 932,923 were vested and 1,007,739 were exercisable as of that date. For additional information regarding the terms of our 2018 Plan, see the section titled “Executive and Director Compensation— Equity Incentive Plans—2018 Equity Incentive Plan.”</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Registration Rights</w:t>
      </w:r>
    </w:p>
    <w:p>
      <w:pPr>
        <w:spacing w:after="0" w:line="201" w:lineRule="exact"/>
        <w:rPr>
          <w:sz w:val="20"/>
          <w:szCs w:val="20"/>
          <w:color w:val="auto"/>
        </w:rPr>
      </w:pPr>
    </w:p>
    <w:p>
      <w:pPr>
        <w:ind w:left="420" w:firstLine="521"/>
        <w:spacing w:after="0" w:line="242" w:lineRule="auto"/>
        <w:rPr>
          <w:sz w:val="20"/>
          <w:szCs w:val="20"/>
          <w:color w:val="auto"/>
        </w:rPr>
      </w:pPr>
      <w:r>
        <w:rPr>
          <w:rFonts w:ascii="Arial" w:cs="Arial" w:eastAsia="Arial" w:hAnsi="Arial"/>
          <w:sz w:val="17"/>
          <w:szCs w:val="17"/>
          <w:color w:val="auto"/>
        </w:rPr>
        <w:t>As of December 31, 2023, upon the closing of this offering holders of 14,740,840 shares of our common stock, which includes all of the shares of common stock issuable upon the automatic conversion convertible preferred stock immediately prior to the closing of this offering, will be entitled to the following rights with respect to the registration of such shares for public resale under the Securities Act, pursuant to an investors’ rights agreement by and among us and certain investors.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98" w:lineRule="exact"/>
        <w:rPr>
          <w:sz w:val="20"/>
          <w:szCs w:val="20"/>
          <w:color w:val="auto"/>
        </w:rPr>
      </w:pPr>
    </w:p>
    <w:p>
      <w:pPr>
        <w:ind w:left="420" w:right="180" w:firstLine="521"/>
        <w:spacing w:after="0" w:line="241" w:lineRule="auto"/>
        <w:rPr>
          <w:sz w:val="20"/>
          <w:szCs w:val="20"/>
          <w:color w:val="auto"/>
        </w:rPr>
      </w:pPr>
      <w:r>
        <w:rPr>
          <w:rFonts w:ascii="Arial" w:cs="Arial" w:eastAsia="Arial" w:hAnsi="Arial"/>
          <w:sz w:val="17"/>
          <w:szCs w:val="17"/>
          <w:i w:val="1"/>
          <w:iCs w:val="1"/>
          <w:color w:val="auto"/>
        </w:rPr>
        <w:t xml:space="preserve">Form S-1. </w:t>
      </w:r>
      <w:r>
        <w:rPr>
          <w:rFonts w:ascii="Arial" w:cs="Arial" w:eastAsia="Arial" w:hAnsi="Arial"/>
          <w:sz w:val="17"/>
          <w:szCs w:val="17"/>
          <w:color w:val="auto"/>
        </w:rPr>
        <w:t>If at any time beginning six months following the effective date of the registration statement of which this prospectus</w:t>
      </w:r>
      <w:r>
        <w:rPr>
          <w:rFonts w:ascii="Arial" w:cs="Arial" w:eastAsia="Arial" w:hAnsi="Arial"/>
          <w:sz w:val="17"/>
          <w:szCs w:val="17"/>
          <w:i w:val="1"/>
          <w:iCs w:val="1"/>
          <w:color w:val="auto"/>
        </w:rPr>
        <w:t xml:space="preserve"> </w:t>
      </w:r>
      <w:r>
        <w:rPr>
          <w:rFonts w:ascii="Arial" w:cs="Arial" w:eastAsia="Arial" w:hAnsi="Arial"/>
          <w:sz w:val="17"/>
          <w:szCs w:val="17"/>
          <w:color w:val="auto"/>
        </w:rPr>
        <w:t>forms a part, the holders of at least 60% of the registrable securities then-held by major investors (as defined therein) request in writing that we effect a registration with respect to at least 40% of the registrable securities then outstanding, we may be required to provide notice of such request to all holders of registrable securities and offer them the opportunity to participate in such registration, and to use commercially reasonable efforts to effect such registration; provided, however, that we will not be required to effect such a registration if, among other things, we have already effected two registrations for the holders of registrable securities in response to these demand registration rights.</w:t>
      </w:r>
    </w:p>
    <w:p>
      <w:pPr>
        <w:spacing w:after="0" w:line="10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201</w:t>
      </w:r>
    </w:p>
    <w:p>
      <w:pPr>
        <w:sectPr>
          <w:pgSz w:w="11900" w:h="16838" w:orient="portrait"/>
          <w:cols w:equalWidth="0" w:num="1">
            <w:col w:w="10800"/>
          </w:cols>
          <w:pgMar w:left="320" w:top="439" w:right="77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40" w:firstLine="521"/>
        <w:spacing w:after="0" w:line="241" w:lineRule="auto"/>
        <w:rPr>
          <w:sz w:val="20"/>
          <w:szCs w:val="20"/>
          <w:color w:val="auto"/>
        </w:rPr>
      </w:pPr>
      <w:r>
        <w:rPr>
          <w:rFonts w:ascii="Arial" w:cs="Arial" w:eastAsia="Arial" w:hAnsi="Arial"/>
          <w:sz w:val="17"/>
          <w:szCs w:val="17"/>
          <w:i w:val="1"/>
          <w:iCs w:val="1"/>
          <w:color w:val="auto"/>
        </w:rPr>
        <w:t>Form S-</w:t>
      </w:r>
      <w:r>
        <w:rPr>
          <w:rFonts w:ascii="Arial" w:cs="Arial" w:eastAsia="Arial" w:hAnsi="Arial"/>
          <w:sz w:val="17"/>
          <w:szCs w:val="17"/>
          <w:color w:val="auto"/>
        </w:rPr>
        <w:t>3. If at any time we become entitled under the Securities Act to register our shares on Form S-3, and the holders of at least</w:t>
      </w:r>
      <w:r>
        <w:rPr>
          <w:rFonts w:ascii="Arial" w:cs="Arial" w:eastAsia="Arial" w:hAnsi="Arial"/>
          <w:sz w:val="17"/>
          <w:szCs w:val="17"/>
          <w:i w:val="1"/>
          <w:iCs w:val="1"/>
          <w:color w:val="auto"/>
        </w:rPr>
        <w:t xml:space="preserve"> </w:t>
      </w:r>
      <w:r>
        <w:rPr>
          <w:rFonts w:ascii="Arial" w:cs="Arial" w:eastAsia="Arial" w:hAnsi="Arial"/>
          <w:sz w:val="17"/>
          <w:szCs w:val="17"/>
          <w:color w:val="auto"/>
        </w:rPr>
        <w:t>60% of the registrable securities then-held by major investors request in writing that we effect a registration with respect to all or a part of the registrable securities then outstanding where the anticipated aggregate offering price, net of expenses, is at least $15.0 million, we may be required to provide notice of such request to all holders of registrable securities and offer them the opportunity to participate in such registration, and to use commercially reasonable efforts to effect such registration; provided, however, that we will not be required to effect such a registration if, among other things, within the preceding 12 months, we have already effected two registrations on Form S-3 for the holders of registrable securities.</w:t>
      </w:r>
    </w:p>
    <w:p>
      <w:pPr>
        <w:spacing w:after="0" w:line="172" w:lineRule="exact"/>
        <w:rPr>
          <w:sz w:val="20"/>
          <w:szCs w:val="20"/>
          <w:color w:val="auto"/>
        </w:rPr>
      </w:pPr>
    </w:p>
    <w:p>
      <w:pPr>
        <w:ind w:left="420" w:firstLine="521"/>
        <w:spacing w:after="0" w:line="252" w:lineRule="auto"/>
        <w:rPr>
          <w:sz w:val="20"/>
          <w:szCs w:val="20"/>
          <w:color w:val="auto"/>
        </w:rPr>
      </w:pPr>
      <w:r>
        <w:rPr>
          <w:rFonts w:ascii="Arial" w:cs="Arial" w:eastAsia="Arial" w:hAnsi="Arial"/>
          <w:sz w:val="17"/>
          <w:szCs w:val="17"/>
          <w:color w:val="auto"/>
        </w:rPr>
        <w:t>If the holders requesting registration intend to distribute their shares by means of an underwritten offering, the underwriter of such offering will have the right to limit the number of shares to be underwritten for reasons related to the marketing of the shares in accordance with the cut-back provisions of the investors’ rights agreements.</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98" w:lineRule="exact"/>
        <w:rPr>
          <w:sz w:val="20"/>
          <w:szCs w:val="20"/>
          <w:color w:val="auto"/>
        </w:rPr>
      </w:pPr>
    </w:p>
    <w:p>
      <w:pPr>
        <w:ind w:left="420" w:firstLine="521"/>
        <w:spacing w:after="0" w:line="244" w:lineRule="auto"/>
        <w:rPr>
          <w:sz w:val="20"/>
          <w:szCs w:val="20"/>
          <w:color w:val="auto"/>
        </w:rPr>
      </w:pPr>
      <w:r>
        <w:rPr>
          <w:rFonts w:ascii="Arial" w:cs="Arial" w:eastAsia="Arial" w:hAnsi="Arial"/>
          <w:sz w:val="17"/>
          <w:szCs w:val="17"/>
          <w:color w:val="auto"/>
        </w:rPr>
        <w:t>If at any time following the closing of this offering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underwritten offering, the managing underwriter of such offering will have the right to limit the number of shares to be underwritten for reasons related to the marketing of the shares in accordance with the cut-back provisions of the investors’ rights agreement.</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Indemnification</w:t>
      </w:r>
    </w:p>
    <w:p>
      <w:pPr>
        <w:spacing w:after="0" w:line="98" w:lineRule="exact"/>
        <w:rPr>
          <w:sz w:val="20"/>
          <w:szCs w:val="20"/>
          <w:color w:val="auto"/>
        </w:rPr>
      </w:pPr>
    </w:p>
    <w:p>
      <w:pPr>
        <w:ind w:left="420" w:right="80" w:firstLine="521"/>
        <w:spacing w:after="0" w:line="252" w:lineRule="auto"/>
        <w:rPr>
          <w:sz w:val="20"/>
          <w:szCs w:val="20"/>
          <w:color w:val="auto"/>
        </w:rPr>
      </w:pPr>
      <w:r>
        <w:rPr>
          <w:rFonts w:ascii="Arial" w:cs="Arial" w:eastAsia="Arial" w:hAnsi="Arial"/>
          <w:sz w:val="17"/>
          <w:szCs w:val="17"/>
          <w:color w:val="auto"/>
        </w:rPr>
        <w:t>Our investors’ rights agreement contains customary cross indemnification provisions, under which we are obligated to indemnify holders of registrable securities in the event of material misstatements or omissions in a registration statement attributable to us, and they are obligated to indemnify us for material misstatements or omissions attributable to them.</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Expenses</w:t>
      </w:r>
    </w:p>
    <w:p>
      <w:pPr>
        <w:spacing w:after="0" w:line="98" w:lineRule="exact"/>
        <w:rPr>
          <w:sz w:val="20"/>
          <w:szCs w:val="20"/>
          <w:color w:val="auto"/>
        </w:rPr>
      </w:pPr>
    </w:p>
    <w:p>
      <w:pPr>
        <w:ind w:left="420" w:firstLine="521"/>
        <w:spacing w:after="0" w:line="247" w:lineRule="auto"/>
        <w:rPr>
          <w:sz w:val="20"/>
          <w:szCs w:val="20"/>
          <w:color w:val="auto"/>
        </w:rPr>
      </w:pPr>
      <w:r>
        <w:rPr>
          <w:rFonts w:ascii="Arial" w:cs="Arial" w:eastAsia="Arial" w:hAnsi="Arial"/>
          <w:sz w:val="17"/>
          <w:szCs w:val="17"/>
          <w:color w:val="auto"/>
        </w:rPr>
        <w:t>Other than underwriting discounts and commissions, we will be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securityholders, blue sky fees and expenses, and the expenses of any special audits incident to the registration.</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Termination of Registration Rights</w:t>
      </w:r>
    </w:p>
    <w:p>
      <w:pPr>
        <w:spacing w:after="0" w:line="98" w:lineRule="exact"/>
        <w:rPr>
          <w:sz w:val="20"/>
          <w:szCs w:val="20"/>
          <w:color w:val="auto"/>
        </w:rPr>
      </w:pPr>
    </w:p>
    <w:p>
      <w:pPr>
        <w:jc w:val="both"/>
        <w:ind w:left="420" w:right="220" w:firstLine="521"/>
        <w:spacing w:after="0" w:line="252" w:lineRule="auto"/>
        <w:rPr>
          <w:sz w:val="20"/>
          <w:szCs w:val="20"/>
          <w:color w:val="auto"/>
        </w:rPr>
      </w:pPr>
      <w:r>
        <w:rPr>
          <w:rFonts w:ascii="Arial" w:cs="Arial" w:eastAsia="Arial" w:hAnsi="Arial"/>
          <w:sz w:val="17"/>
          <w:szCs w:val="17"/>
          <w:color w:val="auto"/>
        </w:rPr>
        <w:t>The registration rights terminate upon the earlier of (i) four years after the closing of this offering or (ii) with respect to a particular holder, such time as Rule 144 or another similar exemption under the Securities Act is available for the sale of all shares by such holder without limitation during a three-month period without registration.</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Anti-Takeover Effects of Delaware Law and Our Certificate of Incorporation and Bylaws</w:t>
      </w:r>
    </w:p>
    <w:p>
      <w:pPr>
        <w:spacing w:after="0" w:line="201" w:lineRule="exact"/>
        <w:rPr>
          <w:sz w:val="20"/>
          <w:szCs w:val="20"/>
          <w:color w:val="auto"/>
        </w:rPr>
      </w:pPr>
    </w:p>
    <w:p>
      <w:pPr>
        <w:ind w:left="420" w:right="100" w:firstLine="521"/>
        <w:spacing w:after="0" w:line="244" w:lineRule="auto"/>
        <w:rPr>
          <w:sz w:val="20"/>
          <w:szCs w:val="20"/>
          <w:color w:val="auto"/>
        </w:rPr>
      </w:pPr>
      <w:r>
        <w:rPr>
          <w:rFonts w:ascii="Arial" w:cs="Arial" w:eastAsia="Arial" w:hAnsi="Arial"/>
          <w:sz w:val="17"/>
          <w:szCs w:val="17"/>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provide for payment of a premium over the market price for our shares.</w:t>
      </w:r>
    </w:p>
    <w:p>
      <w:pPr>
        <w:spacing w:after="0" w:line="105"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202</w:t>
      </w:r>
    </w:p>
    <w:p>
      <w:pPr>
        <w:sectPr>
          <w:pgSz w:w="11900" w:h="16838" w:orient="portrait"/>
          <w:cols w:equalWidth="0" w:num="1">
            <w:col w:w="10820"/>
          </w:cols>
          <w:pgMar w:left="320" w:top="440" w:right="7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40" w:firstLine="521"/>
        <w:spacing w:after="0" w:line="244" w:lineRule="auto"/>
        <w:rPr>
          <w:sz w:val="20"/>
          <w:szCs w:val="20"/>
          <w:color w:val="auto"/>
        </w:rPr>
      </w:pPr>
      <w:r>
        <w:rPr>
          <w:rFonts w:ascii="Arial" w:cs="Arial" w:eastAsia="Arial" w:hAnsi="Arial"/>
          <w:sz w:val="17"/>
          <w:szCs w:val="17"/>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Undesignated Preferred Stock</w:t>
      </w:r>
    </w:p>
    <w:p>
      <w:pPr>
        <w:spacing w:after="0" w:line="98" w:lineRule="exact"/>
        <w:rPr>
          <w:sz w:val="20"/>
          <w:szCs w:val="20"/>
          <w:color w:val="auto"/>
        </w:rPr>
      </w:pPr>
    </w:p>
    <w:p>
      <w:pPr>
        <w:jc w:val="both"/>
        <w:ind w:left="420" w:firstLine="521"/>
        <w:spacing w:after="0" w:line="247" w:lineRule="auto"/>
        <w:rPr>
          <w:sz w:val="20"/>
          <w:szCs w:val="20"/>
          <w:color w:val="auto"/>
        </w:rPr>
      </w:pPr>
      <w:r>
        <w:rPr>
          <w:rFonts w:ascii="Arial" w:cs="Arial" w:eastAsia="Arial" w:hAnsi="Arial"/>
          <w:sz w:val="17"/>
          <w:szCs w:val="17"/>
          <w:color w:val="auto"/>
        </w:rPr>
        <w:t>The ability of our board of directors, without action by the stockholders, to issue up to 70,000,000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Stockholder Meetings</w:t>
      </w:r>
    </w:p>
    <w:p>
      <w:pPr>
        <w:spacing w:after="0" w:line="98" w:lineRule="exact"/>
        <w:rPr>
          <w:sz w:val="20"/>
          <w:szCs w:val="20"/>
          <w:color w:val="auto"/>
        </w:rPr>
      </w:pPr>
    </w:p>
    <w:p>
      <w:pPr>
        <w:ind w:left="420" w:right="120" w:firstLine="521"/>
        <w:spacing w:after="0" w:line="270" w:lineRule="auto"/>
        <w:rPr>
          <w:sz w:val="20"/>
          <w:szCs w:val="20"/>
          <w:color w:val="auto"/>
        </w:rPr>
      </w:pPr>
      <w:r>
        <w:rPr>
          <w:rFonts w:ascii="Arial" w:cs="Arial" w:eastAsia="Arial" w:hAnsi="Arial"/>
          <w:sz w:val="17"/>
          <w:szCs w:val="17"/>
          <w:color w:val="auto"/>
        </w:rPr>
        <w:t>Our amended and restated bylaws provide that a special meeting of stockholders may be called only by our chairman of the board of directors, chief executive officer or president, or by a resolution adopted by a majority of our board of directors.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Requirements for Advance Notification of Stockholder Nominations and Proposals</w:t>
      </w:r>
    </w:p>
    <w:p>
      <w:pPr>
        <w:spacing w:after="0" w:line="98" w:lineRule="exact"/>
        <w:rPr>
          <w:sz w:val="20"/>
          <w:szCs w:val="20"/>
          <w:color w:val="auto"/>
        </w:rPr>
      </w:pPr>
    </w:p>
    <w:p>
      <w:pPr>
        <w:jc w:val="both"/>
        <w:ind w:left="420" w:right="40" w:firstLine="521"/>
        <w:spacing w:after="0" w:line="252" w:lineRule="auto"/>
        <w:rPr>
          <w:sz w:val="20"/>
          <w:szCs w:val="20"/>
          <w:color w:val="auto"/>
        </w:rPr>
      </w:pPr>
      <w:r>
        <w:rPr>
          <w:rFonts w:ascii="Arial" w:cs="Arial" w:eastAsia="Arial" w:hAnsi="Arial"/>
          <w:sz w:val="17"/>
          <w:szCs w:val="17"/>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Elimination of Stockholder Action by Written Consent</w:t>
      </w:r>
    </w:p>
    <w:p>
      <w:pPr>
        <w:spacing w:after="0" w:line="98" w:lineRule="exact"/>
        <w:rPr>
          <w:sz w:val="20"/>
          <w:szCs w:val="20"/>
          <w:color w:val="auto"/>
        </w:rPr>
      </w:pPr>
    </w:p>
    <w:p>
      <w:pPr>
        <w:ind w:left="420" w:right="180" w:firstLine="521"/>
        <w:spacing w:after="0" w:line="270" w:lineRule="auto"/>
        <w:rPr>
          <w:sz w:val="20"/>
          <w:szCs w:val="20"/>
          <w:color w:val="auto"/>
        </w:rPr>
      </w:pPr>
      <w:r>
        <w:rPr>
          <w:rFonts w:ascii="Arial" w:cs="Arial" w:eastAsia="Arial" w:hAnsi="Arial"/>
          <w:sz w:val="17"/>
          <w:szCs w:val="17"/>
          <w:color w:val="auto"/>
        </w:rPr>
        <w:t>Our amended and restated certificate of incorporation and amended and restated bylaws eliminate the right of stockholders to act by written consent without a meeting.</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Staggered Board of Directors</w:t>
      </w:r>
    </w:p>
    <w:p>
      <w:pPr>
        <w:spacing w:after="0" w:line="98" w:lineRule="exact"/>
        <w:rPr>
          <w:sz w:val="20"/>
          <w:szCs w:val="20"/>
          <w:color w:val="auto"/>
        </w:rPr>
      </w:pPr>
    </w:p>
    <w:p>
      <w:pPr>
        <w:ind w:left="420" w:right="100" w:firstLine="521"/>
        <w:spacing w:after="0" w:line="244" w:lineRule="auto"/>
        <w:rPr>
          <w:sz w:val="20"/>
          <w:szCs w:val="20"/>
          <w:color w:val="auto"/>
        </w:rPr>
      </w:pPr>
      <w:r>
        <w:rPr>
          <w:rFonts w:ascii="Arial" w:cs="Arial" w:eastAsia="Arial" w:hAnsi="Arial"/>
          <w:sz w:val="17"/>
          <w:szCs w:val="17"/>
          <w:color w:val="auto"/>
        </w:rPr>
        <w:t>Our amended and restated bylaws provide that our board of directors will be divided into three classes. The directors in each class will serve for a three-year term, with one class being elected each year by our stockholders. For more information on the classified board of directors, see the section titled “Management—Board Composition and Election of Directors.” This system of electing directors may tend to discourage a third party from attempting to obtain control of us, because it generally makes it more difficult for stockholders to replace a majority of the directors.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Removal of Directors</w:t>
      </w:r>
    </w:p>
    <w:p>
      <w:pPr>
        <w:spacing w:after="0" w:line="98" w:lineRule="exact"/>
        <w:rPr>
          <w:sz w:val="20"/>
          <w:szCs w:val="20"/>
          <w:color w:val="auto"/>
        </w:rPr>
      </w:pPr>
    </w:p>
    <w:p>
      <w:pPr>
        <w:ind w:left="420" w:right="240" w:firstLine="521"/>
        <w:spacing w:after="0" w:line="252" w:lineRule="auto"/>
        <w:rPr>
          <w:sz w:val="20"/>
          <w:szCs w:val="20"/>
          <w:color w:val="auto"/>
        </w:rPr>
      </w:pPr>
      <w:r>
        <w:rPr>
          <w:rFonts w:ascii="Arial" w:cs="Arial" w:eastAsia="Arial" w:hAnsi="Arial"/>
          <w:sz w:val="17"/>
          <w:szCs w:val="17"/>
          <w:color w:val="auto"/>
        </w:rPr>
        <w:t>Our amended and restated certificate of incorporation provides that no member of our board of directors may be removed from office except for cause and, in addition to any other vote required by law, upon the approval of not less than two thirds of the total voting power of all of our outstanding voting stock then entitled to vote in the election of directors.</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Stockholders Not Entitled to Cumulative Voting</w:t>
      </w:r>
    </w:p>
    <w:p>
      <w:pPr>
        <w:spacing w:after="0" w:line="98" w:lineRule="exact"/>
        <w:rPr>
          <w:sz w:val="20"/>
          <w:szCs w:val="20"/>
          <w:color w:val="auto"/>
        </w:rPr>
      </w:pPr>
    </w:p>
    <w:p>
      <w:pPr>
        <w:ind w:left="420" w:right="140" w:firstLine="521"/>
        <w:spacing w:after="0" w:line="247" w:lineRule="auto"/>
        <w:rPr>
          <w:sz w:val="20"/>
          <w:szCs w:val="20"/>
          <w:color w:val="auto"/>
        </w:rPr>
      </w:pPr>
      <w:r>
        <w:rPr>
          <w:rFonts w:ascii="Arial" w:cs="Arial" w:eastAsia="Arial" w:hAnsi="Arial"/>
          <w:sz w:val="17"/>
          <w:szCs w:val="17"/>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0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203</w:t>
      </w:r>
    </w:p>
    <w:p>
      <w:pPr>
        <w:sectPr>
          <w:pgSz w:w="11900" w:h="16838" w:orient="portrait"/>
          <w:cols w:equalWidth="0" w:num="1">
            <w:col w:w="10840"/>
          </w:cols>
          <w:pgMar w:left="320" w:top="439" w:right="7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Delaware Anti-Takeover Statute</w:t>
      </w:r>
    </w:p>
    <w:p>
      <w:pPr>
        <w:spacing w:after="0" w:line="98" w:lineRule="exact"/>
        <w:rPr>
          <w:sz w:val="20"/>
          <w:szCs w:val="20"/>
          <w:color w:val="auto"/>
        </w:rPr>
      </w:pPr>
    </w:p>
    <w:p>
      <w:pPr>
        <w:ind w:left="420" w:right="20" w:firstLine="521"/>
        <w:spacing w:after="0"/>
        <w:rPr>
          <w:sz w:val="20"/>
          <w:szCs w:val="20"/>
          <w:color w:val="auto"/>
        </w:rPr>
      </w:pPr>
      <w:r>
        <w:rPr>
          <w:rFonts w:ascii="Arial" w:cs="Arial" w:eastAsia="Arial" w:hAnsi="Arial"/>
          <w:sz w:val="17"/>
          <w:szCs w:val="17"/>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Choice of Forum</w:t>
      </w:r>
    </w:p>
    <w:p>
      <w:pPr>
        <w:spacing w:after="0" w:line="98" w:lineRule="exact"/>
        <w:rPr>
          <w:sz w:val="20"/>
          <w:szCs w:val="20"/>
          <w:color w:val="auto"/>
        </w:rPr>
      </w:pPr>
    </w:p>
    <w:p>
      <w:pPr>
        <w:ind w:left="420" w:right="40" w:firstLine="521"/>
        <w:spacing w:after="0" w:line="237"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form, the Court of Chancery of the State of Delaware (the Court of Chancery) (or, in the event the Court of Chancery does not have jurisdiction, the federal district court for the District of Delaware or other state courts of the State of Delaware) will be the sole and exclusive forum for the following types of actions or proceedings under Delaware statutory or common law: (i) any derivative action or proceeding brought on our behalf; (ii) any action asserting a claim of breach of a fiduciary duty by any of our directors, officers, or stockholders to us or our stockholders; (iii) any action asserting a claim against us arising pursuant to any provision of the Delaware General Corporation Law or our amended and restated certificate of incorporation or amended and restated bylaws; or (iv) any action asserting a claim governed by the internal affairs doctrine, in all cases to the fullest extent permitted by law. The provision would not apply to suits brought to enforce a duty or liability created by the Exchange Act or any other claim for which the federal courts have exclusive jurisdiction. Furthermore,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In any case,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also provides that any person or entity purchasing or otherwise acquiring any interest in shares of our capital stock will be deemed to have notice of and to have consented to this choice of forum provision.</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Amendment of Charter Provisions</w:t>
      </w:r>
    </w:p>
    <w:p>
      <w:pPr>
        <w:spacing w:after="0" w:line="98" w:lineRule="exact"/>
        <w:rPr>
          <w:sz w:val="20"/>
          <w:szCs w:val="20"/>
          <w:color w:val="auto"/>
        </w:rPr>
      </w:pPr>
    </w:p>
    <w:p>
      <w:pPr>
        <w:ind w:left="420" w:right="400" w:firstLine="521"/>
        <w:spacing w:after="0" w:line="270" w:lineRule="auto"/>
        <w:rPr>
          <w:sz w:val="20"/>
          <w:szCs w:val="20"/>
          <w:color w:val="auto"/>
        </w:rPr>
      </w:pPr>
      <w:r>
        <w:rPr>
          <w:rFonts w:ascii="Arial" w:cs="Arial" w:eastAsia="Arial" w:hAnsi="Arial"/>
          <w:sz w:val="17"/>
          <w:szCs w:val="17"/>
          <w:color w:val="auto"/>
        </w:rPr>
        <w:t>The amendment of any of the above provisions, except for the provision making it possible for our board of directors to issue preferred stock, would require approval by holders of at least two thirds of the total voting power of all of our outstanding voting stock.</w:t>
      </w:r>
    </w:p>
    <w:p>
      <w:pPr>
        <w:spacing w:after="0" w:line="148" w:lineRule="exact"/>
        <w:rPr>
          <w:sz w:val="20"/>
          <w:szCs w:val="20"/>
          <w:color w:val="auto"/>
        </w:rPr>
      </w:pPr>
    </w:p>
    <w:p>
      <w:pPr>
        <w:ind w:left="420" w:firstLine="521"/>
        <w:spacing w:after="0" w:line="252" w:lineRule="auto"/>
        <w:rPr>
          <w:sz w:val="20"/>
          <w:szCs w:val="20"/>
          <w:color w:val="auto"/>
        </w:rPr>
      </w:pPr>
      <w:r>
        <w:rPr>
          <w:rFonts w:ascii="Arial" w:cs="Arial" w:eastAsia="Arial" w:hAnsi="Arial"/>
          <w:sz w:val="17"/>
          <w:szCs w:val="17"/>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204</w:t>
      </w:r>
    </w:p>
    <w:p>
      <w:pPr>
        <w:sectPr>
          <w:pgSz w:w="11900" w:h="16838" w:orient="portrait"/>
          <w:cols w:equalWidth="0" w:num="1">
            <w:col w:w="10820"/>
          </w:cols>
          <w:pgMar w:left="320" w:top="439" w:right="7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160"/>
        <w:spacing w:after="0" w:line="252" w:lineRule="auto"/>
        <w:rPr>
          <w:sz w:val="20"/>
          <w:szCs w:val="20"/>
          <w:color w:val="auto"/>
        </w:rPr>
      </w:pPr>
      <w:r>
        <w:rPr>
          <w:rFonts w:ascii="Arial" w:cs="Arial" w:eastAsia="Arial" w:hAnsi="Arial"/>
          <w:sz w:val="17"/>
          <w:szCs w:val="17"/>
          <w:color w:val="auto"/>
        </w:rPr>
        <w:t>our common stock that often result from actual or rumored hostile takeover attempts. These provisions may also have the effect of preventing changes in the composition of our board of directors and management. It is possible that these provisions could make it more difficult to accomplish transactions that stockholders may otherwise deem to be in their best interests.</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Transfer Agent and Registrar</w:t>
      </w:r>
    </w:p>
    <w:p>
      <w:pPr>
        <w:spacing w:after="0" w:line="201" w:lineRule="exact"/>
        <w:rPr>
          <w:sz w:val="20"/>
          <w:szCs w:val="20"/>
          <w:color w:val="auto"/>
        </w:rPr>
      </w:pPr>
    </w:p>
    <w:p>
      <w:pPr>
        <w:ind w:left="420" w:right="700" w:firstLine="521"/>
        <w:spacing w:after="0" w:line="270" w:lineRule="auto"/>
        <w:rPr>
          <w:sz w:val="20"/>
          <w:szCs w:val="20"/>
          <w:color w:val="auto"/>
        </w:rPr>
      </w:pPr>
      <w:r>
        <w:rPr>
          <w:rFonts w:ascii="Arial" w:cs="Arial" w:eastAsia="Arial" w:hAnsi="Arial"/>
          <w:sz w:val="17"/>
          <w:szCs w:val="17"/>
          <w:color w:val="auto"/>
        </w:rPr>
        <w:t>The transfer agent and registrar for our common stock will be Computershare Trust Company, N.A. The transfer agent and registrar’s address is 150 Royall Street, Canton, MA 02021.</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The Nasdaq Global Select Market Listing</w:t>
      </w:r>
    </w:p>
    <w:p>
      <w:pPr>
        <w:spacing w:after="0" w:line="201" w:lineRule="exact"/>
        <w:rPr>
          <w:sz w:val="20"/>
          <w:szCs w:val="20"/>
          <w:color w:val="auto"/>
        </w:rPr>
      </w:pPr>
    </w:p>
    <w:p>
      <w:pPr>
        <w:ind w:left="420" w:right="80" w:firstLine="521"/>
        <w:spacing w:after="0" w:line="270" w:lineRule="auto"/>
        <w:rPr>
          <w:sz w:val="20"/>
          <w:szCs w:val="20"/>
          <w:color w:val="auto"/>
        </w:rPr>
      </w:pPr>
      <w:r>
        <w:rPr>
          <w:rFonts w:ascii="Arial" w:cs="Arial" w:eastAsia="Arial" w:hAnsi="Arial"/>
          <w:sz w:val="17"/>
          <w:szCs w:val="17"/>
          <w:color w:val="auto"/>
        </w:rPr>
        <w:t>We have applied to list our common stock listed on the Nasdaq Global Select Market under the symbol “BOLD,” and this offering is contingent upon obtaining such approval.</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Limitations of Liability and Indemnification Matters</w:t>
      </w:r>
    </w:p>
    <w:p>
      <w:pPr>
        <w:spacing w:after="0" w:line="201" w:lineRule="exact"/>
        <w:rPr>
          <w:sz w:val="20"/>
          <w:szCs w:val="20"/>
          <w:color w:val="auto"/>
        </w:rPr>
      </w:pPr>
    </w:p>
    <w:p>
      <w:pPr>
        <w:ind w:left="420" w:firstLine="521"/>
        <w:spacing w:after="0" w:line="270" w:lineRule="auto"/>
        <w:rPr>
          <w:sz w:val="20"/>
          <w:szCs w:val="20"/>
          <w:color w:val="auto"/>
        </w:rPr>
      </w:pPr>
      <w:r>
        <w:rPr>
          <w:rFonts w:ascii="Arial" w:cs="Arial" w:eastAsia="Arial" w:hAnsi="Arial"/>
          <w:sz w:val="17"/>
          <w:szCs w:val="17"/>
          <w:color w:val="auto"/>
        </w:rPr>
        <w:t>For a discussion of liability and indemnification, see the section titled “Executive and Director Compensation—Limitations of Liability and Indemnification Matters.”</w:t>
      </w:r>
    </w:p>
    <w:p>
      <w:pPr>
        <w:spacing w:after="0" w:line="8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205</w:t>
      </w:r>
    </w:p>
    <w:p>
      <w:pPr>
        <w:sectPr>
          <w:pgSz w:w="11900" w:h="16838" w:orient="portrait"/>
          <w:cols w:equalWidth="0" w:num="1">
            <w:col w:w="10840"/>
          </w:cols>
          <w:pgMar w:left="320" w:top="439" w:right="7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SHARES ELIGIBLE FOR FUTURE SALE</w:t>
      </w:r>
    </w:p>
    <w:p>
      <w:pPr>
        <w:spacing w:after="0" w:line="201" w:lineRule="exact"/>
        <w:rPr>
          <w:sz w:val="20"/>
          <w:szCs w:val="20"/>
          <w:color w:val="auto"/>
        </w:rPr>
      </w:pPr>
    </w:p>
    <w:p>
      <w:pPr>
        <w:ind w:left="420" w:right="220" w:firstLine="521"/>
        <w:spacing w:after="0" w:line="247" w:lineRule="auto"/>
        <w:rPr>
          <w:sz w:val="20"/>
          <w:szCs w:val="20"/>
          <w:color w:val="auto"/>
        </w:rPr>
      </w:pPr>
      <w:r>
        <w:rPr>
          <w:rFonts w:ascii="Arial" w:cs="Arial" w:eastAsia="Arial" w:hAnsi="Arial"/>
          <w:sz w:val="17"/>
          <w:szCs w:val="17"/>
          <w:color w:val="auto"/>
        </w:rPr>
        <w:t>Immediately prior to this offering, there was no public market for our common stock. Future sales of substantial amounts of common stock in the public market, or the perception that such sales may occur, could adversely affect the market price of our common stock. Although we have applied to have our common stock listed on Nasdaq, we cannot assure you that there will be an active public market for our common stock.</w:t>
      </w:r>
    </w:p>
    <w:p>
      <w:pPr>
        <w:spacing w:after="0" w:line="166" w:lineRule="exact"/>
        <w:rPr>
          <w:sz w:val="20"/>
          <w:szCs w:val="20"/>
          <w:color w:val="auto"/>
        </w:rPr>
      </w:pPr>
    </w:p>
    <w:p>
      <w:pPr>
        <w:ind w:left="420" w:right="160" w:firstLine="521"/>
        <w:spacing w:after="0"/>
        <w:rPr>
          <w:sz w:val="20"/>
          <w:szCs w:val="20"/>
          <w:color w:val="auto"/>
        </w:rPr>
      </w:pPr>
      <w:r>
        <w:rPr>
          <w:rFonts w:ascii="Arial" w:cs="Arial" w:eastAsia="Arial" w:hAnsi="Arial"/>
          <w:sz w:val="17"/>
          <w:szCs w:val="17"/>
          <w:color w:val="auto"/>
        </w:rPr>
        <w:t>Based on the number of shares of our common stock outstanding as of December 31, 2023, and assuming (i) the issuance of 6,250,000 shares in this offering, (ii) the automatic conversion of all of our outstanding shares of convertible preferred stock into 14,740,840 shares of common stock and the related reclassification of the carrying value of the convertible preferred stock to permanent equity upon the closing of this offering, (iii) no exercise of the underwriters’ option to purchase additional shares of common stock and</w:t>
      </w:r>
    </w:p>
    <w:p>
      <w:pPr>
        <w:spacing w:after="0" w:line="1" w:lineRule="exact"/>
        <w:rPr>
          <w:sz w:val="20"/>
          <w:szCs w:val="20"/>
          <w:color w:val="auto"/>
        </w:rPr>
      </w:pPr>
    </w:p>
    <w:p>
      <w:pPr>
        <w:ind w:left="420" w:hanging="9"/>
        <w:spacing w:after="0" w:line="250" w:lineRule="auto"/>
        <w:tabs>
          <w:tab w:leader="none" w:pos="704" w:val="left"/>
        </w:tabs>
        <w:numPr>
          <w:ilvl w:val="0"/>
          <w:numId w:val="93"/>
        </w:numPr>
        <w:rPr>
          <w:rFonts w:ascii="Arial" w:cs="Arial" w:eastAsia="Arial" w:hAnsi="Arial"/>
          <w:sz w:val="17"/>
          <w:szCs w:val="17"/>
          <w:color w:val="auto"/>
        </w:rPr>
      </w:pPr>
      <w:r>
        <w:rPr>
          <w:rFonts w:ascii="Arial" w:cs="Arial" w:eastAsia="Arial" w:hAnsi="Arial"/>
          <w:sz w:val="17"/>
          <w:szCs w:val="17"/>
          <w:color w:val="auto"/>
        </w:rPr>
        <w:t>no exercise of outstanding options, we will have outstanding an aggregate of 22,239,333 shares of common stock following the closing of this offering.</w:t>
      </w:r>
    </w:p>
    <w:p>
      <w:pPr>
        <w:spacing w:after="0" w:line="164" w:lineRule="exact"/>
        <w:rPr>
          <w:sz w:val="20"/>
          <w:szCs w:val="20"/>
          <w:color w:val="auto"/>
        </w:rPr>
      </w:pPr>
    </w:p>
    <w:p>
      <w:pPr>
        <w:ind w:left="420" w:right="60" w:firstLine="521"/>
        <w:spacing w:after="0" w:line="252" w:lineRule="auto"/>
        <w:rPr>
          <w:sz w:val="20"/>
          <w:szCs w:val="20"/>
          <w:color w:val="auto"/>
        </w:rPr>
      </w:pPr>
      <w:r>
        <w:rPr>
          <w:rFonts w:ascii="Arial" w:cs="Arial" w:eastAsia="Arial" w:hAnsi="Arial"/>
          <w:sz w:val="17"/>
          <w:szCs w:val="17"/>
          <w:color w:val="auto"/>
        </w:rPr>
        <w:t>Of these shares, all shares sold in this offering will be freely tradable without restriction or further registration under the Securities Act, except for any shares purchased by our “affiliates,” as that term is defined in Rule 144 under the Securities Act. Shares purchased by our affiliates would be subject to the Rule 144 resale restrictions described below, other than the holding period requirement.</w:t>
      </w:r>
    </w:p>
    <w:p>
      <w:pPr>
        <w:spacing w:after="0" w:line="164" w:lineRule="exact"/>
        <w:rPr>
          <w:sz w:val="20"/>
          <w:szCs w:val="20"/>
          <w:color w:val="auto"/>
        </w:rPr>
      </w:pPr>
    </w:p>
    <w:p>
      <w:pPr>
        <w:ind w:left="420" w:right="20" w:firstLine="521"/>
        <w:spacing w:after="0" w:line="247" w:lineRule="auto"/>
        <w:rPr>
          <w:sz w:val="20"/>
          <w:szCs w:val="20"/>
          <w:color w:val="auto"/>
        </w:rPr>
      </w:pPr>
      <w:r>
        <w:rPr>
          <w:rFonts w:ascii="Arial" w:cs="Arial" w:eastAsia="Arial" w:hAnsi="Arial"/>
          <w:sz w:val="17"/>
          <w:szCs w:val="17"/>
          <w:color w:val="auto"/>
        </w:rPr>
        <w:t>The remaining 15,989,333 shares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 144 or Rule 701 under the Securities Act, each of which is summarized below. We expect that substantially all of these shares will be subject to the 180-day lock-up period under the lock-up agreements described below.</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Lock-Up Agreements</w:t>
      </w:r>
    </w:p>
    <w:p>
      <w:pPr>
        <w:spacing w:after="0" w:line="201" w:lineRule="exact"/>
        <w:rPr>
          <w:sz w:val="20"/>
          <w:szCs w:val="20"/>
          <w:color w:val="auto"/>
        </w:rPr>
      </w:pPr>
    </w:p>
    <w:p>
      <w:pPr>
        <w:ind w:left="420" w:firstLine="521"/>
        <w:spacing w:after="0" w:line="239" w:lineRule="auto"/>
        <w:rPr>
          <w:sz w:val="20"/>
          <w:szCs w:val="20"/>
          <w:color w:val="auto"/>
        </w:rPr>
      </w:pPr>
      <w:r>
        <w:rPr>
          <w:rFonts w:ascii="Arial" w:cs="Arial" w:eastAsia="Arial" w:hAnsi="Arial"/>
          <w:sz w:val="17"/>
          <w:szCs w:val="17"/>
          <w:color w:val="auto"/>
        </w:rPr>
        <w:t>We, our officers, directors, and substantially all of our securityholders, have agreed with the underwriters that for a period of 180 days, after the date of this prospectus, among other things and subject to certain exceptions, we or they will not offer, pledge, sell, contract to sell, sell any option or contract to purchase, purchase any option or contract to sell, grant any option, right, or warrant to sell, or otherwise dispose of or transfer any shares of common stock or any securities convertible into or exercisable or exchangeable for shares of common stock, request or demand that we file a registration statement related to our common stock, or enter into any swap or other agreement that transfers to another, in whole or in part, directly or indirectly, the economic consequence of ownership of the common stock, or publicly declare an intention to do any of the foregoing. Upon expiration of the lock-up period, certain of our stockholders will have the right to require us to register their shares under the Securities Act. See the subsection titled “—Registration Rights” below and the section titled “Description of Capital Stock—Registration Rights.”</w:t>
      </w:r>
    </w:p>
    <w:p>
      <w:pPr>
        <w:spacing w:after="0" w:line="177" w:lineRule="exact"/>
        <w:rPr>
          <w:sz w:val="20"/>
          <w:szCs w:val="20"/>
          <w:color w:val="auto"/>
        </w:rPr>
      </w:pPr>
    </w:p>
    <w:p>
      <w:pPr>
        <w:ind w:left="420" w:right="20" w:firstLine="521"/>
        <w:spacing w:after="0" w:line="247" w:lineRule="auto"/>
        <w:rPr>
          <w:sz w:val="20"/>
          <w:szCs w:val="20"/>
          <w:color w:val="auto"/>
        </w:rPr>
      </w:pPr>
      <w:r>
        <w:rPr>
          <w:rFonts w:ascii="Arial" w:cs="Arial" w:eastAsia="Arial" w:hAnsi="Arial"/>
          <w:sz w:val="17"/>
          <w:szCs w:val="17"/>
          <w:color w:val="auto"/>
        </w:rPr>
        <w:t>Goldman Sachs &amp; Co. LLC, Leerink Partners LLC, Piper Sandler &amp; Co., and Guggenheim Securities, LLC may, in their sole discretion and at any time or from time to time before the termination of the lock-up period, in certain cases without public notice, release all or any portion of the securities subject to lock-up agreements. There are no existing agreements between the underwriters and any of our stockholders who will execute a lock-up agreement providing consent to the sale of shares prior to the expiration of the lock-up period.</w:t>
      </w:r>
    </w:p>
    <w:p>
      <w:pPr>
        <w:spacing w:after="0" w:line="166" w:lineRule="exact"/>
        <w:rPr>
          <w:sz w:val="20"/>
          <w:szCs w:val="20"/>
          <w:color w:val="auto"/>
        </w:rPr>
      </w:pPr>
    </w:p>
    <w:p>
      <w:pPr>
        <w:ind w:left="420" w:right="120" w:firstLine="521"/>
        <w:spacing w:after="0" w:line="270" w:lineRule="auto"/>
        <w:rPr>
          <w:sz w:val="20"/>
          <w:szCs w:val="20"/>
          <w:color w:val="auto"/>
        </w:rPr>
      </w:pPr>
      <w:r>
        <w:rPr>
          <w:rFonts w:ascii="Arial" w:cs="Arial" w:eastAsia="Arial" w:hAnsi="Arial"/>
          <w:sz w:val="17"/>
          <w:szCs w:val="17"/>
          <w:color w:val="auto"/>
        </w:rPr>
        <w:t>Upon the expiration of the lock-up period, substantially all of the shares subject to such lock-up restrictions will become eligible for sale, subject to the limitations discussed above.</w:t>
      </w:r>
    </w:p>
    <w:p>
      <w:pPr>
        <w:spacing w:after="0" w:line="8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206</w:t>
      </w:r>
    </w:p>
    <w:p>
      <w:pPr>
        <w:sectPr>
          <w:pgSz w:w="11900" w:h="16838" w:orient="portrait"/>
          <w:cols w:equalWidth="0" w:num="1">
            <w:col w:w="10820"/>
          </w:cols>
          <w:pgMar w:left="320" w:top="439" w:right="7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Rule 10b5-1 Trading Plans</w:t>
      </w:r>
    </w:p>
    <w:p>
      <w:pPr>
        <w:spacing w:after="0" w:line="201" w:lineRule="exact"/>
        <w:rPr>
          <w:sz w:val="20"/>
          <w:szCs w:val="20"/>
          <w:color w:val="auto"/>
        </w:rPr>
      </w:pPr>
    </w:p>
    <w:p>
      <w:pPr>
        <w:ind w:left="420" w:firstLine="521"/>
        <w:spacing w:after="0" w:line="242" w:lineRule="auto"/>
        <w:rPr>
          <w:sz w:val="20"/>
          <w:szCs w:val="20"/>
          <w:color w:val="auto"/>
        </w:rPr>
      </w:pPr>
      <w:r>
        <w:rPr>
          <w:rFonts w:ascii="Arial" w:cs="Arial" w:eastAsia="Arial" w:hAnsi="Arial"/>
          <w:sz w:val="17"/>
          <w:szCs w:val="17"/>
          <w:color w:val="auto"/>
        </w:rPr>
        <w:t>Following the closing of this offering, certain of our officers, directors, and significant stockholders may adopt written plans, known as Rule 10b5-1 trading plans, in which they will contract with a broker to buy or sell shares of our common stock on a periodic basis to diversify their assets and investments. Under these 10b5-1 trading plans, a broker may execute trades pursuant to parameters established by the officer, director, or stockholder when entering into the plan, without further direction from such officer, director, or stockholder. Such sales would not commence until the expiration of the applicable lock-up agreements entered into by such officer, director, or stockholder in connection with this offering.</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Rule 144</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Affiliate Resales of Restricted Securities</w:t>
      </w:r>
    </w:p>
    <w:p>
      <w:pPr>
        <w:spacing w:after="0" w:line="98" w:lineRule="exact"/>
        <w:rPr>
          <w:sz w:val="20"/>
          <w:szCs w:val="20"/>
          <w:color w:val="auto"/>
        </w:rPr>
      </w:pPr>
    </w:p>
    <w:p>
      <w:pPr>
        <w:ind w:left="420" w:right="80" w:firstLine="521"/>
        <w:spacing w:after="0" w:line="244" w:lineRule="auto"/>
        <w:rPr>
          <w:sz w:val="20"/>
          <w:szCs w:val="20"/>
          <w:color w:val="auto"/>
        </w:rPr>
      </w:pPr>
      <w:r>
        <w:rPr>
          <w:rFonts w:ascii="Arial" w:cs="Arial" w:eastAsia="Arial" w:hAnsi="Arial"/>
          <w:sz w:val="17"/>
          <w:szCs w:val="17"/>
          <w:color w:val="auto"/>
        </w:rPr>
        <w:t>In general, under Rule 144 as currently in effect, beginning 90 days after the effective date of the registration statement of which this prospectus is a part, a person who is an affiliate of ours, or who was an affiliate at any time during the 90 days before a sale, and who has beneficially owned shares of our common stock for at least six months would be entitled to sell in “broker’s transactions” or certain “riskless principal transactions” or to market makers, a number of shares within any three-month period that does not exceed the greater of:</w:t>
      </w:r>
    </w:p>
    <w:p>
      <w:pPr>
        <w:spacing w:after="0" w:line="80" w:lineRule="exact"/>
        <w:rPr>
          <w:sz w:val="20"/>
          <w:szCs w:val="20"/>
          <w:color w:val="auto"/>
        </w:rPr>
      </w:pPr>
    </w:p>
    <w:p>
      <w:pPr>
        <w:ind w:left="1660" w:right="560" w:hanging="418"/>
        <w:spacing w:after="0" w:line="270" w:lineRule="auto"/>
        <w:tabs>
          <w:tab w:leader="none" w:pos="16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1% of the number of shares of our common stock then outstanding, which will equal approximately 222,393 shares immediately after this offering, assuming no exercise of the underwriters’ option to purchase additional shares; or</w:t>
      </w:r>
    </w:p>
    <w:p>
      <w:pPr>
        <w:spacing w:after="0" w:line="58" w:lineRule="exact"/>
        <w:rPr>
          <w:rFonts w:ascii="Arial" w:cs="Arial" w:eastAsia="Arial" w:hAnsi="Arial"/>
          <w:sz w:val="17"/>
          <w:szCs w:val="17"/>
          <w:color w:val="auto"/>
        </w:rPr>
      </w:pPr>
    </w:p>
    <w:p>
      <w:pPr>
        <w:ind w:left="1660" w:right="20" w:hanging="418"/>
        <w:spacing w:after="0" w:line="270" w:lineRule="auto"/>
        <w:tabs>
          <w:tab w:leader="none" w:pos="16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average weekly trading volume in our common stock on Nasdaq during the four calendar weeks preceding the filing of a notice on Form 144 with respect to such sale.</w:t>
      </w:r>
    </w:p>
    <w:p>
      <w:pPr>
        <w:spacing w:after="0" w:line="148" w:lineRule="exact"/>
        <w:rPr>
          <w:sz w:val="20"/>
          <w:szCs w:val="20"/>
          <w:color w:val="auto"/>
        </w:rPr>
      </w:pPr>
    </w:p>
    <w:p>
      <w:pPr>
        <w:ind w:left="420" w:right="40" w:firstLine="521"/>
        <w:spacing w:after="0" w:line="244" w:lineRule="auto"/>
        <w:rPr>
          <w:sz w:val="20"/>
          <w:szCs w:val="20"/>
          <w:color w:val="auto"/>
        </w:rPr>
      </w:pPr>
      <w:r>
        <w:rPr>
          <w:rFonts w:ascii="Arial" w:cs="Arial" w:eastAsia="Arial" w:hAnsi="Arial"/>
          <w:sz w:val="17"/>
          <w:szCs w:val="17"/>
          <w:color w:val="auto"/>
        </w:rPr>
        <w:t>An “affiliate” is a person that directly, or indirectly through one or more intermediaries, controls or is controlled by, or is under common control with an issuer. 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 Nasdaq concurrently with either the placing of a sale order with the broker or the execution of a sale directly with a market maker.</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Non-Affiliate Resales of Restricted Securities</w:t>
      </w:r>
    </w:p>
    <w:p>
      <w:pPr>
        <w:spacing w:after="0" w:line="98" w:lineRule="exact"/>
        <w:rPr>
          <w:sz w:val="20"/>
          <w:szCs w:val="20"/>
          <w:color w:val="auto"/>
        </w:rPr>
      </w:pPr>
    </w:p>
    <w:p>
      <w:pPr>
        <w:ind w:left="420" w:firstLine="521"/>
        <w:spacing w:after="0" w:line="242" w:lineRule="auto"/>
        <w:rPr>
          <w:sz w:val="20"/>
          <w:szCs w:val="20"/>
          <w:color w:val="auto"/>
        </w:rPr>
      </w:pPr>
      <w:r>
        <w:rPr>
          <w:rFonts w:ascii="Arial" w:cs="Arial" w:eastAsia="Arial" w:hAnsi="Arial"/>
          <w:sz w:val="17"/>
          <w:szCs w:val="17"/>
          <w:color w:val="auto"/>
        </w:rPr>
        <w:t>In general, under Rule 144 as currently in effect,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common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72" w:lineRule="exact"/>
        <w:rPr>
          <w:sz w:val="20"/>
          <w:szCs w:val="20"/>
          <w:color w:val="auto"/>
        </w:rPr>
      </w:pPr>
    </w:p>
    <w:p>
      <w:pPr>
        <w:ind w:left="940"/>
        <w:spacing w:after="0"/>
        <w:rPr>
          <w:sz w:val="20"/>
          <w:szCs w:val="20"/>
          <w:color w:val="auto"/>
        </w:rPr>
      </w:pPr>
      <w:r>
        <w:rPr>
          <w:rFonts w:ascii="Arial" w:cs="Arial" w:eastAsia="Arial" w:hAnsi="Arial"/>
          <w:sz w:val="17"/>
          <w:szCs w:val="17"/>
          <w:color w:val="auto"/>
        </w:rPr>
        <w:t>Non-affiliate resales are not subject to the manner of sale, volume limitation or notice filing provisions of Rule 144.</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Rule 701</w:t>
      </w:r>
    </w:p>
    <w:p>
      <w:pPr>
        <w:spacing w:after="0" w:line="201" w:lineRule="exact"/>
        <w:rPr>
          <w:sz w:val="20"/>
          <w:szCs w:val="20"/>
          <w:color w:val="auto"/>
        </w:rPr>
      </w:pPr>
    </w:p>
    <w:p>
      <w:pPr>
        <w:ind w:left="420" w:right="400" w:firstLine="521"/>
        <w:spacing w:after="0" w:line="270" w:lineRule="auto"/>
        <w:rPr>
          <w:sz w:val="20"/>
          <w:szCs w:val="20"/>
          <w:color w:val="auto"/>
        </w:rPr>
      </w:pPr>
      <w:r>
        <w:rPr>
          <w:rFonts w:ascii="Arial" w:cs="Arial" w:eastAsia="Arial" w:hAnsi="Arial"/>
          <w:sz w:val="17"/>
          <w:szCs w:val="17"/>
          <w:color w:val="auto"/>
        </w:rPr>
        <w:t>In general, under Rule 701 as currently in effect, any of an issuer’s employees, directors, officers, consultants, or advisors who purchase shares from the issuer in connection with a compensatory stock</w:t>
      </w:r>
    </w:p>
    <w:p>
      <w:pPr>
        <w:spacing w:after="0" w:line="8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207</w:t>
      </w:r>
    </w:p>
    <w:p>
      <w:pPr>
        <w:sectPr>
          <w:pgSz w:w="11900" w:h="16838" w:orient="portrait"/>
          <w:cols w:equalWidth="0" w:num="1">
            <w:col w:w="10840"/>
          </w:cols>
          <w:pgMar w:left="320" w:top="439" w:right="7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120"/>
        <w:spacing w:after="0" w:line="242" w:lineRule="auto"/>
        <w:rPr>
          <w:sz w:val="20"/>
          <w:szCs w:val="20"/>
          <w:color w:val="auto"/>
        </w:rPr>
      </w:pPr>
      <w:r>
        <w:rPr>
          <w:rFonts w:ascii="Arial" w:cs="Arial" w:eastAsia="Arial" w:hAnsi="Arial"/>
          <w:sz w:val="17"/>
          <w:szCs w:val="17"/>
          <w:color w:val="auto"/>
        </w:rPr>
        <w:t>or option plan or other written agreement before the effective date of a registration statement under the Securities Act are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 However, substantially all Rule 701 shares are subject to lock-up agreements as described above and will become eligible for sale in compliance with Rule 144 only upon the expiration of the restrictions set forth in those agreements.</w:t>
      </w:r>
    </w:p>
    <w:p>
      <w:pPr>
        <w:spacing w:after="0" w:line="172" w:lineRule="exact"/>
        <w:rPr>
          <w:sz w:val="20"/>
          <w:szCs w:val="20"/>
          <w:color w:val="auto"/>
        </w:rPr>
      </w:pPr>
    </w:p>
    <w:p>
      <w:pPr>
        <w:ind w:left="420" w:right="220" w:firstLine="521"/>
        <w:spacing w:after="0" w:line="252" w:lineRule="auto"/>
        <w:rPr>
          <w:sz w:val="20"/>
          <w:szCs w:val="20"/>
          <w:color w:val="auto"/>
        </w:rPr>
      </w:pPr>
      <w:r>
        <w:rPr>
          <w:rFonts w:ascii="Arial" w:cs="Arial" w:eastAsia="Arial" w:hAnsi="Arial"/>
          <w:sz w:val="17"/>
          <w:szCs w:val="17"/>
          <w:color w:val="auto"/>
        </w:rPr>
        <w:t>The SEC has indicated that Rule 701 will apply to typical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Equity Plans</w:t>
      </w:r>
    </w:p>
    <w:p>
      <w:pPr>
        <w:spacing w:after="0" w:line="201" w:lineRule="exact"/>
        <w:rPr>
          <w:sz w:val="20"/>
          <w:szCs w:val="20"/>
          <w:color w:val="auto"/>
        </w:rPr>
      </w:pPr>
    </w:p>
    <w:p>
      <w:pPr>
        <w:ind w:left="420" w:right="20" w:firstLine="521"/>
        <w:spacing w:after="0" w:line="244" w:lineRule="auto"/>
        <w:rPr>
          <w:sz w:val="20"/>
          <w:szCs w:val="20"/>
          <w:color w:val="auto"/>
        </w:rPr>
      </w:pPr>
      <w:r>
        <w:rPr>
          <w:rFonts w:ascii="Arial" w:cs="Arial" w:eastAsia="Arial" w:hAnsi="Arial"/>
          <w:sz w:val="17"/>
          <w:szCs w:val="17"/>
          <w:color w:val="auto"/>
        </w:rPr>
        <w:t>We intend to file one or more registration statements on Form S-8 under the Securities Act to register all shares of common stock subject to outstanding stock options and common stock issued or issuable under our equity incentive plans and employee stock purchase plan.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Registration Rights</w:t>
      </w:r>
    </w:p>
    <w:p>
      <w:pPr>
        <w:spacing w:after="0" w:line="201" w:lineRule="exact"/>
        <w:rPr>
          <w:sz w:val="20"/>
          <w:szCs w:val="20"/>
          <w:color w:val="auto"/>
        </w:rPr>
      </w:pPr>
    </w:p>
    <w:p>
      <w:pPr>
        <w:ind w:left="420" w:firstLine="521"/>
        <w:spacing w:after="0"/>
        <w:rPr>
          <w:sz w:val="20"/>
          <w:szCs w:val="20"/>
          <w:color w:val="auto"/>
        </w:rPr>
      </w:pPr>
      <w:r>
        <w:rPr>
          <w:rFonts w:ascii="Arial" w:cs="Arial" w:eastAsia="Arial" w:hAnsi="Arial"/>
          <w:sz w:val="17"/>
          <w:szCs w:val="17"/>
          <w:color w:val="auto"/>
        </w:rPr>
        <w:t>Upon the closing of this offering, holders of 14,740,840 shares of our common stock, which includes all of the shares of common stock issuable upon the automatic conversion of our convertible preferred stock into shares of our common stock immediately prior to the closing of this offering, will be entitled to various rights with respect to the registration of these shares under the Securities Act upon the closing of this offering. Registration of these shares under the Securities Act would result in these shares becoming freely tradable without restriction under the Securities Act immediately upon the effectiveness of the registration, except for shares purchased by our affiliates. See the section titled “Description of Capital Stock—Registration Rights” for additional information. Shares covered by a registration statement will be eligible for sale in the public market upon the expiration or release from the terms of the lock-up agreements described above.</w:t>
      </w:r>
    </w:p>
    <w:p>
      <w:pPr>
        <w:spacing w:after="0" w:line="11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208</w:t>
      </w:r>
    </w:p>
    <w:p>
      <w:pPr>
        <w:sectPr>
          <w:pgSz w:w="11900" w:h="16838" w:orient="portrait"/>
          <w:cols w:equalWidth="0" w:num="1">
            <w:col w:w="10780"/>
          </w:cols>
          <w:pgMar w:left="320" w:top="439" w:right="7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MATERIAL UNITED STATES FEDERAL INCOME TAX CONSEQUENCES TO NON-U.S. HOLDERS</w:t>
      </w:r>
    </w:p>
    <w:p>
      <w:pPr>
        <w:spacing w:after="0" w:line="201" w:lineRule="exact"/>
        <w:rPr>
          <w:sz w:val="20"/>
          <w:szCs w:val="20"/>
          <w:color w:val="auto"/>
        </w:rPr>
      </w:pPr>
    </w:p>
    <w:p>
      <w:pPr>
        <w:ind w:left="420" w:firstLine="521"/>
        <w:spacing w:after="0" w:line="239" w:lineRule="auto"/>
        <w:rPr>
          <w:sz w:val="20"/>
          <w:szCs w:val="20"/>
          <w:color w:val="auto"/>
        </w:rPr>
      </w:pPr>
      <w:r>
        <w:rPr>
          <w:rFonts w:ascii="Arial" w:cs="Arial" w:eastAsia="Arial" w:hAnsi="Arial"/>
          <w:sz w:val="17"/>
          <w:szCs w:val="17"/>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74" w:lineRule="exact"/>
        <w:rPr>
          <w:sz w:val="20"/>
          <w:szCs w:val="20"/>
          <w:color w:val="auto"/>
        </w:rPr>
      </w:pPr>
    </w:p>
    <w:p>
      <w:pPr>
        <w:ind w:left="420" w:right="40" w:firstLine="521"/>
        <w:spacing w:after="0" w:line="244" w:lineRule="auto"/>
        <w:rPr>
          <w:sz w:val="20"/>
          <w:szCs w:val="20"/>
          <w:color w:val="auto"/>
        </w:rPr>
      </w:pPr>
      <w:r>
        <w:rPr>
          <w:rFonts w:ascii="Arial" w:cs="Arial" w:eastAsia="Arial" w:hAnsi="Arial"/>
          <w:sz w:val="17"/>
          <w:szCs w:val="17"/>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provisions of the Code. In addition, it does not address consequences relevant to Non-U.S. Holders subject to special rules, including, without limitation:</w:t>
      </w:r>
    </w:p>
    <w:p>
      <w:pPr>
        <w:spacing w:after="0" w:line="80" w:lineRule="exact"/>
        <w:rPr>
          <w:sz w:val="20"/>
          <w:szCs w:val="20"/>
          <w:color w:val="auto"/>
        </w:rPr>
      </w:pPr>
    </w:p>
    <w:p>
      <w:pPr>
        <w:ind w:left="1660" w:hanging="418"/>
        <w:spacing w:after="0"/>
        <w:tabs>
          <w:tab w:leader="none" w:pos="1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U.S. expatriates and former citizens or long-term residents of the United States;</w:t>
      </w:r>
    </w:p>
    <w:p>
      <w:pPr>
        <w:spacing w:after="0" w:line="111" w:lineRule="exact"/>
        <w:rPr>
          <w:rFonts w:ascii="Arial" w:cs="Arial" w:eastAsia="Arial" w:hAnsi="Arial"/>
          <w:sz w:val="17"/>
          <w:szCs w:val="17"/>
          <w:color w:val="auto"/>
        </w:rPr>
      </w:pPr>
    </w:p>
    <w:p>
      <w:pPr>
        <w:ind w:left="1660" w:right="40" w:hanging="418"/>
        <w:spacing w:after="0" w:line="270" w:lineRule="auto"/>
        <w:tabs>
          <w:tab w:leader="none" w:pos="1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persons holding our common stock as part of a hedge, straddle, or other risk reduction strategy or as part of a conversion transaction or other integrated investment;</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banks, insurance companies, and other financial institutions;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brokers, dealers, or traders in securities;</w:t>
      </w:r>
    </w:p>
    <w:p>
      <w:pPr>
        <w:spacing w:after="0" w:line="111" w:lineRule="exact"/>
        <w:rPr>
          <w:rFonts w:ascii="Arial" w:cs="Arial" w:eastAsia="Arial" w:hAnsi="Arial"/>
          <w:sz w:val="17"/>
          <w:szCs w:val="17"/>
          <w:color w:val="auto"/>
        </w:rPr>
      </w:pPr>
    </w:p>
    <w:p>
      <w:pPr>
        <w:ind w:left="1660" w:right="160" w:hanging="418"/>
        <w:spacing w:after="0" w:line="270" w:lineRule="auto"/>
        <w:tabs>
          <w:tab w:leader="none" w:pos="1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“controlled foreign corporations,” “passive foreign investment companies,” and corporations that accumulate earnings to avoid U.S. federal income tax;</w:t>
      </w:r>
    </w:p>
    <w:p>
      <w:pPr>
        <w:spacing w:after="0" w:line="58" w:lineRule="exact"/>
        <w:rPr>
          <w:rFonts w:ascii="Arial" w:cs="Arial" w:eastAsia="Arial" w:hAnsi="Arial"/>
          <w:sz w:val="17"/>
          <w:szCs w:val="17"/>
          <w:color w:val="auto"/>
        </w:rPr>
      </w:pPr>
    </w:p>
    <w:p>
      <w:pPr>
        <w:ind w:left="1660" w:hanging="418"/>
        <w:spacing w:after="0" w:line="270" w:lineRule="auto"/>
        <w:tabs>
          <w:tab w:leader="none" w:pos="1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partnerships or other entities or arrangements treated as partnerships for U.S. federal income tax purposes (and investors therein);</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tax-exempt organizations or governmental organizations;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persons deemed to sell our common stock under the constructive sale provisions of the Code;</w:t>
      </w:r>
    </w:p>
    <w:p>
      <w:pPr>
        <w:spacing w:after="0" w:line="111" w:lineRule="exact"/>
        <w:rPr>
          <w:rFonts w:ascii="Arial" w:cs="Arial" w:eastAsia="Arial" w:hAnsi="Arial"/>
          <w:sz w:val="17"/>
          <w:szCs w:val="17"/>
          <w:color w:val="auto"/>
        </w:rPr>
      </w:pPr>
    </w:p>
    <w:p>
      <w:pPr>
        <w:ind w:left="1660" w:right="280" w:hanging="418"/>
        <w:spacing w:after="0" w:line="270" w:lineRule="auto"/>
        <w:tabs>
          <w:tab w:leader="none" w:pos="1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persons who hold or receive our common stock pursuant to the exercise of any employee stock option or otherwise as compensation;</w:t>
      </w:r>
    </w:p>
    <w:p>
      <w:pPr>
        <w:spacing w:after="0" w:line="58" w:lineRule="exact"/>
        <w:rPr>
          <w:rFonts w:ascii="Arial" w:cs="Arial" w:eastAsia="Arial" w:hAnsi="Arial"/>
          <w:sz w:val="17"/>
          <w:szCs w:val="17"/>
          <w:color w:val="auto"/>
        </w:rPr>
      </w:pPr>
    </w:p>
    <w:p>
      <w:pPr>
        <w:ind w:left="1660" w:hanging="418"/>
        <w:spacing w:after="0"/>
        <w:tabs>
          <w:tab w:leader="none" w:pos="1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tax-qualified retirement plans; and</w:t>
      </w:r>
    </w:p>
    <w:p>
      <w:pPr>
        <w:spacing w:after="0" w:line="111" w:lineRule="exact"/>
        <w:rPr>
          <w:rFonts w:ascii="Arial" w:cs="Arial" w:eastAsia="Arial" w:hAnsi="Arial"/>
          <w:sz w:val="17"/>
          <w:szCs w:val="17"/>
          <w:color w:val="auto"/>
        </w:rPr>
      </w:pPr>
    </w:p>
    <w:p>
      <w:pPr>
        <w:ind w:left="1660" w:right="240" w:hanging="418"/>
        <w:spacing w:after="0" w:line="270" w:lineRule="auto"/>
        <w:tabs>
          <w:tab w:leader="none" w:pos="1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“qualified foreign pension funds” as defined in Section 897(l)(2) of the Code and entities all of the interests of which are held by qualified foreign pension funds.</w:t>
      </w:r>
    </w:p>
    <w:p>
      <w:pPr>
        <w:spacing w:after="0" w:line="148" w:lineRule="exact"/>
        <w:rPr>
          <w:sz w:val="20"/>
          <w:szCs w:val="20"/>
          <w:color w:val="auto"/>
        </w:rPr>
      </w:pPr>
    </w:p>
    <w:p>
      <w:pPr>
        <w:ind w:left="420" w:right="480" w:firstLine="521"/>
        <w:spacing w:after="0" w:line="247" w:lineRule="auto"/>
        <w:rPr>
          <w:sz w:val="20"/>
          <w:szCs w:val="20"/>
          <w:color w:val="auto"/>
        </w:rPr>
      </w:pPr>
      <w:r>
        <w:rPr>
          <w:rFonts w:ascii="Arial" w:cs="Arial" w:eastAsia="Arial" w:hAnsi="Arial"/>
          <w:sz w:val="17"/>
          <w:szCs w:val="17"/>
          <w:color w:val="auto"/>
        </w:rPr>
        <w:t>If an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0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209</w:t>
      </w:r>
    </w:p>
    <w:p>
      <w:pPr>
        <w:sectPr>
          <w:pgSz w:w="11900" w:h="16838" w:orient="portrait"/>
          <w:cols w:equalWidth="0" w:num="1">
            <w:col w:w="10820"/>
          </w:cols>
          <w:pgMar w:left="320" w:top="439" w:right="7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40" w:firstLine="521"/>
        <w:spacing w:after="0" w:line="246" w:lineRule="auto"/>
        <w:rPr>
          <w:sz w:val="20"/>
          <w:szCs w:val="20"/>
          <w:color w:val="auto"/>
        </w:rPr>
      </w:pPr>
      <w:r>
        <w:rPr>
          <w:rFonts w:ascii="Arial" w:cs="Arial" w:eastAsia="Arial" w:hAnsi="Arial"/>
          <w:sz w:val="17"/>
          <w:szCs w:val="17"/>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Definition of a Non-U.S. Holder</w:t>
      </w:r>
    </w:p>
    <w:p>
      <w:pPr>
        <w:spacing w:after="0" w:line="201" w:lineRule="exact"/>
        <w:rPr>
          <w:sz w:val="20"/>
          <w:szCs w:val="20"/>
          <w:color w:val="auto"/>
        </w:rPr>
      </w:pPr>
    </w:p>
    <w:p>
      <w:pPr>
        <w:ind w:left="420" w:right="180" w:firstLine="521"/>
        <w:spacing w:after="0" w:line="252" w:lineRule="auto"/>
        <w:rPr>
          <w:sz w:val="20"/>
          <w:szCs w:val="20"/>
          <w:color w:val="auto"/>
        </w:rPr>
      </w:pPr>
      <w:r>
        <w:rPr>
          <w:rFonts w:ascii="Arial" w:cs="Arial" w:eastAsia="Arial" w:hAnsi="Arial"/>
          <w:sz w:val="17"/>
          <w:szCs w:val="17"/>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74" w:lineRule="exact"/>
        <w:rPr>
          <w:sz w:val="20"/>
          <w:szCs w:val="20"/>
          <w:color w:val="auto"/>
        </w:rPr>
      </w:pPr>
    </w:p>
    <w:p>
      <w:pPr>
        <w:ind w:left="1660" w:hanging="418"/>
        <w:spacing w:after="0"/>
        <w:tabs>
          <w:tab w:leader="none" w:pos="16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 corporation created or organized under the laws of the United States, any state thereof, or the District of Columbia;</w:t>
      </w:r>
    </w:p>
    <w:p>
      <w:pPr>
        <w:spacing w:after="0" w:line="111" w:lineRule="exact"/>
        <w:rPr>
          <w:rFonts w:ascii="Arial" w:cs="Arial" w:eastAsia="Arial" w:hAnsi="Arial"/>
          <w:sz w:val="17"/>
          <w:szCs w:val="17"/>
          <w:color w:val="auto"/>
        </w:rPr>
      </w:pPr>
    </w:p>
    <w:p>
      <w:pPr>
        <w:ind w:left="1660" w:hanging="418"/>
        <w:spacing w:after="0"/>
        <w:tabs>
          <w:tab w:leader="none" w:pos="16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 regardless of its source; or</w:t>
      </w:r>
    </w:p>
    <w:p>
      <w:pPr>
        <w:spacing w:after="0" w:line="111" w:lineRule="exact"/>
        <w:rPr>
          <w:rFonts w:ascii="Arial" w:cs="Arial" w:eastAsia="Arial" w:hAnsi="Arial"/>
          <w:sz w:val="17"/>
          <w:szCs w:val="17"/>
          <w:color w:val="auto"/>
        </w:rPr>
      </w:pPr>
    </w:p>
    <w:p>
      <w:pPr>
        <w:ind w:left="1660" w:right="140" w:hanging="418"/>
        <w:spacing w:after="0" w:line="252" w:lineRule="auto"/>
        <w:tabs>
          <w:tab w:leader="none" w:pos="16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 trust that (i) is subject to the primary supervision of a U.S. court and the control of one or more “United States persons” (within the meaning of Section 7701(a)(30) of the Code), or (ii) has a valid election in effect to be treated as a United States person for U.S. federal income tax purposes.</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Distributions</w:t>
      </w:r>
    </w:p>
    <w:p>
      <w:pPr>
        <w:spacing w:after="0" w:line="201" w:lineRule="exact"/>
        <w:rPr>
          <w:sz w:val="20"/>
          <w:szCs w:val="20"/>
          <w:color w:val="auto"/>
        </w:rPr>
      </w:pPr>
    </w:p>
    <w:p>
      <w:pPr>
        <w:ind w:left="420" w:right="20" w:firstLine="521"/>
        <w:spacing w:after="0" w:line="241" w:lineRule="auto"/>
        <w:rPr>
          <w:sz w:val="20"/>
          <w:szCs w:val="20"/>
          <w:color w:val="auto"/>
        </w:rPr>
      </w:pPr>
      <w:r>
        <w:rPr>
          <w:rFonts w:ascii="Arial" w:cs="Arial" w:eastAsia="Arial" w:hAnsi="Arial"/>
          <w:sz w:val="17"/>
          <w:szCs w:val="17"/>
          <w:color w:val="auto"/>
        </w:rPr>
        <w:t>As described in the section titled “Dividend Policy,” we do not anticipate declaring or paying cash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 -U.S. Holder’s adjusted tax basis in its common stock, but not below zero. Any excess will be treated as capital gain and will be treated as described in the subsection titled “—Sale or Other Taxable Disposition” below.</w:t>
      </w:r>
    </w:p>
    <w:p>
      <w:pPr>
        <w:spacing w:after="0" w:line="172" w:lineRule="exact"/>
        <w:rPr>
          <w:sz w:val="20"/>
          <w:szCs w:val="20"/>
          <w:color w:val="auto"/>
        </w:rPr>
      </w:pPr>
    </w:p>
    <w:p>
      <w:pPr>
        <w:ind w:left="420" w:firstLine="521"/>
        <w:spacing w:after="0" w:line="239" w:lineRule="auto"/>
        <w:rPr>
          <w:sz w:val="20"/>
          <w:szCs w:val="20"/>
          <w:color w:val="auto"/>
        </w:rPr>
      </w:pPr>
      <w:r>
        <w:rPr>
          <w:rFonts w:ascii="Arial" w:cs="Arial" w:eastAsia="Arial" w:hAnsi="Arial"/>
          <w:sz w:val="17"/>
          <w:szCs w:val="17"/>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If a Non-U.S. Holder holds the stock through a financial institution or other intermediary, the Non-U.S. Holder will be required to provide appropriate documentation to the intermediary, which then will be required to provide certification to the applicable withholding agent, either directly or through other intermediaries.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13"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210</w:t>
      </w:r>
    </w:p>
    <w:p>
      <w:pPr>
        <w:sectPr>
          <w:pgSz w:w="11900" w:h="16838" w:orient="portrait"/>
          <w:cols w:equalWidth="0" w:num="1">
            <w:col w:w="10840"/>
          </w:cols>
          <w:pgMar w:left="320" w:top="439" w:right="7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60" w:firstLine="521"/>
        <w:spacing w:after="0" w:line="242" w:lineRule="auto"/>
        <w:rPr>
          <w:sz w:val="20"/>
          <w:szCs w:val="20"/>
          <w:color w:val="auto"/>
        </w:rPr>
      </w:pPr>
      <w:r>
        <w:rPr>
          <w:rFonts w:ascii="Arial" w:cs="Arial" w:eastAsia="Arial" w:hAnsi="Arial"/>
          <w:sz w:val="17"/>
          <w:szCs w:val="17"/>
          <w:color w:val="auto"/>
        </w:rPr>
        <w:t>If dividends paid to a Non-U.S. Holder are effectively connected with the Non-U.S. Holder’s conduct of a trade or business within the United States (and, if required by an applicable income tax treaty, the Non-U.S. Holder maintains a permanent establishment or fixed base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72" w:lineRule="exact"/>
        <w:rPr>
          <w:sz w:val="20"/>
          <w:szCs w:val="20"/>
          <w:color w:val="auto"/>
        </w:rPr>
      </w:pPr>
    </w:p>
    <w:p>
      <w:pPr>
        <w:ind w:left="420" w:right="40" w:firstLine="521"/>
        <w:spacing w:after="0" w:line="247" w:lineRule="auto"/>
        <w:rPr>
          <w:sz w:val="20"/>
          <w:szCs w:val="20"/>
          <w:color w:val="auto"/>
        </w:rPr>
      </w:pPr>
      <w:r>
        <w:rPr>
          <w:rFonts w:ascii="Arial" w:cs="Arial" w:eastAsia="Arial" w:hAnsi="Arial"/>
          <w:sz w:val="17"/>
          <w:szCs w:val="17"/>
          <w:color w:val="auto"/>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Sale or Other Taxable Disposition</w:t>
      </w:r>
    </w:p>
    <w:p>
      <w:pPr>
        <w:spacing w:after="0" w:line="201" w:lineRule="exact"/>
        <w:rPr>
          <w:sz w:val="20"/>
          <w:szCs w:val="20"/>
          <w:color w:val="auto"/>
        </w:rPr>
      </w:pPr>
    </w:p>
    <w:p>
      <w:pPr>
        <w:ind w:left="420" w:right="40" w:firstLine="521"/>
        <w:spacing w:after="0" w:line="270" w:lineRule="auto"/>
        <w:rPr>
          <w:sz w:val="20"/>
          <w:szCs w:val="20"/>
          <w:color w:val="auto"/>
        </w:rPr>
      </w:pPr>
      <w:r>
        <w:rPr>
          <w:rFonts w:ascii="Arial" w:cs="Arial" w:eastAsia="Arial" w:hAnsi="Arial"/>
          <w:sz w:val="17"/>
          <w:szCs w:val="17"/>
          <w:color w:val="auto"/>
        </w:rPr>
        <w:t>Subject to the discussion below of backup withholding and withholding under FATCA (defined below), a Non-U.S. Holder will not be subject to U.S. federal income tax on any gain realized upon the sale or other taxable disposition of our common stock unless:</w:t>
      </w:r>
    </w:p>
    <w:p>
      <w:pPr>
        <w:spacing w:after="0" w:line="58" w:lineRule="exact"/>
        <w:rPr>
          <w:sz w:val="20"/>
          <w:szCs w:val="20"/>
          <w:color w:val="auto"/>
        </w:rPr>
      </w:pPr>
    </w:p>
    <w:p>
      <w:pPr>
        <w:jc w:val="both"/>
        <w:ind w:left="1660" w:right="120" w:hanging="418"/>
        <w:spacing w:after="0" w:line="252" w:lineRule="auto"/>
        <w:tabs>
          <w:tab w:leader="none" w:pos="16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within the United States (and, if required by an applicable income tax treaty, the Non-U.S. Holder maintains a permanent establishment or fixed base in the United States to which such gain is attributable);</w:t>
      </w:r>
    </w:p>
    <w:p>
      <w:pPr>
        <w:spacing w:after="0" w:line="74" w:lineRule="exact"/>
        <w:rPr>
          <w:rFonts w:ascii="Arial" w:cs="Arial" w:eastAsia="Arial" w:hAnsi="Arial"/>
          <w:sz w:val="17"/>
          <w:szCs w:val="17"/>
          <w:color w:val="auto"/>
        </w:rPr>
      </w:pPr>
    </w:p>
    <w:p>
      <w:pPr>
        <w:ind w:left="1660" w:right="80" w:hanging="418"/>
        <w:spacing w:after="0" w:line="270" w:lineRule="auto"/>
        <w:tabs>
          <w:tab w:leader="none" w:pos="16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Non-U.S. Holder is a nonresident alien individual present in the United States for 183 days or more during the taxable year of the disposition and certain other requirements are met; or</w:t>
      </w:r>
    </w:p>
    <w:p>
      <w:pPr>
        <w:spacing w:after="0" w:line="58" w:lineRule="exact"/>
        <w:rPr>
          <w:rFonts w:ascii="Arial" w:cs="Arial" w:eastAsia="Arial" w:hAnsi="Arial"/>
          <w:sz w:val="17"/>
          <w:szCs w:val="17"/>
          <w:color w:val="auto"/>
        </w:rPr>
      </w:pPr>
    </w:p>
    <w:p>
      <w:pPr>
        <w:ind w:left="1660" w:right="600" w:hanging="418"/>
        <w:spacing w:after="0" w:line="270" w:lineRule="auto"/>
        <w:tabs>
          <w:tab w:leader="none" w:pos="16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our common stock constitutes a U.S. real property interest (USRPI) by reason of our status as a U.S. real property holding corporation (USRPHC) for U.S. federal income tax purposes.</w:t>
      </w:r>
    </w:p>
    <w:p>
      <w:pPr>
        <w:spacing w:after="0" w:line="148" w:lineRule="exact"/>
        <w:rPr>
          <w:sz w:val="20"/>
          <w:szCs w:val="20"/>
          <w:color w:val="auto"/>
        </w:rPr>
      </w:pPr>
    </w:p>
    <w:p>
      <w:pPr>
        <w:jc w:val="both"/>
        <w:ind w:left="420" w:right="480" w:firstLine="521"/>
        <w:spacing w:after="0" w:line="252" w:lineRule="auto"/>
        <w:rPr>
          <w:sz w:val="20"/>
          <w:szCs w:val="20"/>
          <w:color w:val="auto"/>
        </w:rPr>
      </w:pPr>
      <w:r>
        <w:rPr>
          <w:rFonts w:ascii="Arial" w:cs="Arial" w:eastAsia="Arial" w:hAnsi="Arial"/>
          <w:sz w:val="17"/>
          <w:szCs w:val="17"/>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64" w:lineRule="exact"/>
        <w:rPr>
          <w:sz w:val="20"/>
          <w:szCs w:val="20"/>
          <w:color w:val="auto"/>
        </w:rPr>
      </w:pPr>
    </w:p>
    <w:p>
      <w:pPr>
        <w:jc w:val="both"/>
        <w:ind w:left="420" w:right="200" w:firstLine="521"/>
        <w:spacing w:after="0" w:line="247" w:lineRule="auto"/>
        <w:rPr>
          <w:sz w:val="20"/>
          <w:szCs w:val="20"/>
          <w:color w:val="auto"/>
        </w:rPr>
      </w:pPr>
      <w:r>
        <w:rPr>
          <w:rFonts w:ascii="Arial" w:cs="Arial" w:eastAsia="Arial" w:hAnsi="Arial"/>
          <w:sz w:val="17"/>
          <w:szCs w:val="17"/>
          <w:color w:val="auto"/>
        </w:rPr>
        <w:t>A Non-U.S. Holder described in the second bullet point above will be subject to U.S. federal income tax at a rate of 30% (or such lower rate specified by an applicable income tax treaty) on gain realized upon the sale or other taxable disposition of our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66" w:lineRule="exact"/>
        <w:rPr>
          <w:sz w:val="20"/>
          <w:szCs w:val="20"/>
          <w:color w:val="auto"/>
        </w:rPr>
      </w:pPr>
    </w:p>
    <w:p>
      <w:pPr>
        <w:ind w:left="420" w:firstLine="521"/>
        <w:spacing w:after="0" w:line="242" w:lineRule="auto"/>
        <w:rPr>
          <w:sz w:val="20"/>
          <w:szCs w:val="20"/>
          <w:color w:val="auto"/>
        </w:rPr>
      </w:pPr>
      <w:r>
        <w:rPr>
          <w:rFonts w:ascii="Arial" w:cs="Arial" w:eastAsia="Arial" w:hAnsi="Arial"/>
          <w:sz w:val="17"/>
          <w:szCs w:val="17"/>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common stock by a Non-U.S. Holder will not be subject to U.S. federal income tax if our common stock is “regularly traded,” as defined by applicable Treasury Regulations, on an established securities market, and such Non-U.S. Holder owned, actually and</w:t>
      </w:r>
    </w:p>
    <w:p>
      <w:pPr>
        <w:spacing w:after="0" w:line="10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211</w:t>
      </w:r>
    </w:p>
    <w:p>
      <w:pPr>
        <w:sectPr>
          <w:pgSz w:w="11900" w:h="16838" w:orient="portrait"/>
          <w:cols w:equalWidth="0" w:num="1">
            <w:col w:w="10840"/>
          </w:cols>
          <w:pgMar w:left="320" w:top="439" w:right="7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520"/>
        <w:spacing w:after="0" w:line="270" w:lineRule="auto"/>
        <w:rPr>
          <w:sz w:val="20"/>
          <w:szCs w:val="20"/>
          <w:color w:val="auto"/>
        </w:rPr>
      </w:pPr>
      <w:r>
        <w:rPr>
          <w:rFonts w:ascii="Arial" w:cs="Arial" w:eastAsia="Arial" w:hAnsi="Arial"/>
          <w:sz w:val="17"/>
          <w:szCs w:val="17"/>
          <w:color w:val="auto"/>
        </w:rPr>
        <w:t>constructively, 5% or less of our common stock throughout the shorter of the five-year period ending on the date of the sale or other taxable disposition or the Non-U.S. Holder’s holding period.</w:t>
      </w:r>
    </w:p>
    <w:p>
      <w:pPr>
        <w:spacing w:after="0" w:line="148" w:lineRule="exact"/>
        <w:rPr>
          <w:sz w:val="20"/>
          <w:szCs w:val="20"/>
          <w:color w:val="auto"/>
        </w:rPr>
      </w:pPr>
    </w:p>
    <w:p>
      <w:pPr>
        <w:ind w:left="940"/>
        <w:spacing w:after="0"/>
        <w:rPr>
          <w:sz w:val="20"/>
          <w:szCs w:val="20"/>
          <w:color w:val="auto"/>
        </w:rPr>
      </w:pPr>
      <w:r>
        <w:rPr>
          <w:rFonts w:ascii="Arial" w:cs="Arial" w:eastAsia="Arial" w:hAnsi="Arial"/>
          <w:sz w:val="17"/>
          <w:szCs w:val="17"/>
          <w:color w:val="auto"/>
        </w:rPr>
        <w:t>Non-U.S. Holders should consult their tax advisors regarding potentially applicable income tax treaties that may provide for different</w:t>
      </w:r>
    </w:p>
    <w:p>
      <w:pPr>
        <w:spacing w:after="0" w:line="1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rules.</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Information Reporting and Backup Withholding</w:t>
      </w:r>
    </w:p>
    <w:p>
      <w:pPr>
        <w:spacing w:after="0" w:line="201" w:lineRule="exact"/>
        <w:rPr>
          <w:sz w:val="20"/>
          <w:szCs w:val="20"/>
          <w:color w:val="auto"/>
        </w:rPr>
      </w:pPr>
    </w:p>
    <w:p>
      <w:pPr>
        <w:ind w:left="420" w:right="60" w:firstLine="521"/>
        <w:spacing w:after="0" w:line="239" w:lineRule="auto"/>
        <w:rPr>
          <w:sz w:val="20"/>
          <w:szCs w:val="20"/>
          <w:color w:val="auto"/>
        </w:rPr>
      </w:pPr>
      <w:r>
        <w:rPr>
          <w:rFonts w:ascii="Arial" w:cs="Arial" w:eastAsia="Arial" w:hAnsi="Arial"/>
          <w:sz w:val="17"/>
          <w:szCs w:val="17"/>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common stock paid to the 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be subject to backup withholding or information reporting unless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spacing w:after="0" w:line="174" w:lineRule="exact"/>
        <w:rPr>
          <w:sz w:val="20"/>
          <w:szCs w:val="20"/>
          <w:color w:val="auto"/>
        </w:rPr>
      </w:pPr>
    </w:p>
    <w:p>
      <w:pPr>
        <w:ind w:left="420" w:right="100" w:firstLine="521"/>
        <w:spacing w:after="0" w:line="270" w:lineRule="auto"/>
        <w:rPr>
          <w:sz w:val="20"/>
          <w:szCs w:val="20"/>
          <w:color w:val="auto"/>
        </w:rPr>
      </w:pPr>
      <w:r>
        <w:rPr>
          <w:rFonts w:ascii="Arial" w:cs="Arial" w:eastAsia="Arial" w:hAnsi="Arial"/>
          <w:sz w:val="17"/>
          <w:szCs w:val="17"/>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48" w:lineRule="exact"/>
        <w:rPr>
          <w:sz w:val="20"/>
          <w:szCs w:val="20"/>
          <w:color w:val="auto"/>
        </w:rPr>
      </w:pPr>
    </w:p>
    <w:p>
      <w:pPr>
        <w:ind w:left="420" w:right="100" w:firstLine="521"/>
        <w:spacing w:after="0" w:line="270"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Additional Withholding Tax on Payments Made to Foreign Accounts</w:t>
      </w:r>
    </w:p>
    <w:p>
      <w:pPr>
        <w:spacing w:after="0" w:line="201" w:lineRule="exact"/>
        <w:rPr>
          <w:sz w:val="20"/>
          <w:szCs w:val="20"/>
          <w:color w:val="auto"/>
        </w:rPr>
      </w:pPr>
    </w:p>
    <w:p>
      <w:pPr>
        <w:ind w:left="420" w:firstLine="521"/>
        <w:spacing w:after="0" w:line="238" w:lineRule="auto"/>
        <w:rPr>
          <w:sz w:val="20"/>
          <w:szCs w:val="20"/>
          <w:color w:val="auto"/>
        </w:rPr>
      </w:pPr>
      <w:r>
        <w:rPr>
          <w:rFonts w:ascii="Arial" w:cs="Arial" w:eastAsia="Arial" w:hAnsi="Arial"/>
          <w:sz w:val="17"/>
          <w:szCs w:val="17"/>
          <w:color w:val="auto"/>
        </w:rPr>
        <w:t>Withholding taxes may be imposed under Sections 1471 to 1474 of the Code (such Sections are commonly referred to as the Foreign Account Tax Compliance Act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(i) the foreign financial institution undertakes certain diligence and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1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212</w:t>
      </w:r>
    </w:p>
    <w:p>
      <w:pPr>
        <w:sectPr>
          <w:pgSz w:w="11900" w:h="16838" w:orient="portrait"/>
          <w:cols w:equalWidth="0" w:num="1">
            <w:col w:w="10820"/>
          </w:cols>
          <w:pgMar w:left="320" w:top="439" w:right="7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firstLine="521"/>
        <w:spacing w:after="0" w:line="242" w:lineRule="auto"/>
        <w:rPr>
          <w:sz w:val="20"/>
          <w:szCs w:val="20"/>
          <w:color w:val="auto"/>
        </w:rPr>
      </w:pPr>
      <w:r>
        <w:rPr>
          <w:rFonts w:ascii="Arial" w:cs="Arial" w:eastAsia="Arial" w:hAnsi="Arial"/>
          <w:sz w:val="17"/>
          <w:szCs w:val="17"/>
          <w:color w:val="auto"/>
        </w:rPr>
        <w:t>Under the applicable Treasury Regulations and administrative guidance, withholding under FATCA generally applies to payments of dividends on our common stock. While withholding under FATCA would also have applied to payments of gross proceeds from the sale or other disposition of stock on or after January 1, 2019, proposed Treasury Regulations eliminate FATCA withholding on payments of gross proceeds entirely. Taxpayers (including applicable withholding agents) generally may rely on these proposed Treasury Regulations until final Treasury Regulations are issued. There can be no assurance that final Treasury Regulations would provide an exemption from FATCA withholding for gross proceeds.</w:t>
      </w:r>
    </w:p>
    <w:p>
      <w:pPr>
        <w:spacing w:after="0" w:line="172" w:lineRule="exact"/>
        <w:rPr>
          <w:sz w:val="20"/>
          <w:szCs w:val="20"/>
          <w:color w:val="auto"/>
        </w:rPr>
      </w:pPr>
    </w:p>
    <w:p>
      <w:pPr>
        <w:ind w:left="420" w:right="480" w:firstLine="521"/>
        <w:spacing w:after="0" w:line="270" w:lineRule="auto"/>
        <w:rPr>
          <w:sz w:val="20"/>
          <w:szCs w:val="20"/>
          <w:color w:val="auto"/>
        </w:rPr>
      </w:pPr>
      <w:r>
        <w:rPr>
          <w:rFonts w:ascii="Arial" w:cs="Arial" w:eastAsia="Arial" w:hAnsi="Arial"/>
          <w:sz w:val="17"/>
          <w:szCs w:val="17"/>
          <w:color w:val="auto"/>
        </w:rPr>
        <w:t>Prospective investors should consult their tax advisors regarding the potential application of withholding under FATCA to their investment in our common stock.</w:t>
      </w:r>
    </w:p>
    <w:p>
      <w:pPr>
        <w:spacing w:after="0" w:line="8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213</w:t>
      </w:r>
    </w:p>
    <w:p>
      <w:pPr>
        <w:sectPr>
          <w:pgSz w:w="11900" w:h="16838" w:orient="portrait"/>
          <w:cols w:equalWidth="0" w:num="1">
            <w:col w:w="10820"/>
          </w:cols>
          <w:pgMar w:left="320" w:top="439" w:right="7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UNDERWRITING</w:t>
      </w:r>
    </w:p>
    <w:p>
      <w:pPr>
        <w:spacing w:after="0" w:line="201" w:lineRule="exact"/>
        <w:rPr>
          <w:sz w:val="20"/>
          <w:szCs w:val="20"/>
          <w:color w:val="auto"/>
        </w:rPr>
      </w:pPr>
    </w:p>
    <w:p>
      <w:pPr>
        <w:ind w:left="420" w:right="220" w:firstLine="521"/>
        <w:spacing w:after="0" w:line="247" w:lineRule="auto"/>
        <w:rPr>
          <w:sz w:val="20"/>
          <w:szCs w:val="20"/>
          <w:color w:val="auto"/>
        </w:rPr>
      </w:pPr>
      <w:r>
        <w:rPr>
          <w:rFonts w:ascii="Arial" w:cs="Arial" w:eastAsia="Arial" w:hAnsi="Arial"/>
          <w:sz w:val="17"/>
          <w:szCs w:val="17"/>
          <w:color w:val="auto"/>
        </w:rPr>
        <w:t>We and the underwriters named below have entered into an underwriting agreement with respect to the shares being offered. Subject to certain conditions, each underwriter has severally agreed to purchase the number of shares indicated in the following table. Goldman Sachs &amp; Co. LLC, Leerink Partners LLC, Piper Sandler &amp; Co., and Guggenheim Securities, LLC are the representatives of the underwriters.</w:t>
      </w:r>
    </w:p>
    <w:p>
      <w:pPr>
        <w:spacing w:after="0" w:line="19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4"/>
              </w:rPr>
              <w:t>Underwriters</w:t>
            </w:r>
          </w:p>
        </w:tc>
        <w:tc>
          <w:tcPr>
            <w:tcW w:w="7680" w:type="dxa"/>
            <w:vAlign w:val="bottom"/>
            <w:vMerge w:val="restart"/>
          </w:tcPr>
          <w:p>
            <w:pPr>
              <w:spacing w:after="0"/>
              <w:rPr>
                <w:sz w:val="14"/>
                <w:szCs w:val="14"/>
                <w:color w:val="auto"/>
              </w:rPr>
            </w:pPr>
          </w:p>
        </w:tc>
        <w:tc>
          <w:tcPr>
            <w:tcW w:w="1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70"/>
        </w:trPr>
        <w:tc>
          <w:tcPr>
            <w:tcW w:w="840" w:type="dxa"/>
            <w:vAlign w:val="bottom"/>
            <w:tcBorders>
              <w:bottom w:val="single" w:sz="8" w:color="auto"/>
            </w:tcBorders>
            <w:vMerge w:val="continue"/>
          </w:tcPr>
          <w:p>
            <w:pPr>
              <w:spacing w:after="0"/>
              <w:rPr>
                <w:sz w:val="14"/>
                <w:szCs w:val="14"/>
                <w:color w:val="auto"/>
              </w:rPr>
            </w:pPr>
          </w:p>
        </w:tc>
        <w:tc>
          <w:tcPr>
            <w:tcW w:w="7680" w:type="dxa"/>
            <w:vAlign w:val="bottom"/>
            <w:vMerge w:val="continue"/>
          </w:tcPr>
          <w:p>
            <w:pPr>
              <w:spacing w:after="0"/>
              <w:rPr>
                <w:sz w:val="14"/>
                <w:szCs w:val="14"/>
                <w:color w:val="auto"/>
              </w:rPr>
            </w:pPr>
          </w:p>
        </w:tc>
        <w:tc>
          <w:tcPr>
            <w:tcW w:w="1900" w:type="dxa"/>
            <w:vAlign w:val="bottom"/>
            <w:gridSpan w:val="2"/>
          </w:tcPr>
          <w:p>
            <w:pPr>
              <w:jc w:val="center"/>
              <w:ind w:right="80"/>
              <w:spacing w:after="0" w:line="150" w:lineRule="exact"/>
              <w:rPr>
                <w:sz w:val="20"/>
                <w:szCs w:val="20"/>
                <w:color w:val="auto"/>
              </w:rPr>
            </w:pPr>
            <w:r>
              <w:rPr>
                <w:rFonts w:ascii="Arial" w:cs="Arial" w:eastAsia="Arial" w:hAnsi="Arial"/>
                <w:sz w:val="14"/>
                <w:szCs w:val="14"/>
                <w:b w:val="1"/>
                <w:bCs w:val="1"/>
                <w:color w:val="auto"/>
                <w:w w:val="98"/>
              </w:rPr>
              <w:t>Shares</w:t>
            </w:r>
          </w:p>
        </w:tc>
        <w:tc>
          <w:tcPr>
            <w:tcW w:w="0" w:type="dxa"/>
            <w:vAlign w:val="bottom"/>
          </w:tcPr>
          <w:p>
            <w:pPr>
              <w:spacing w:after="0"/>
              <w:rPr>
                <w:sz w:val="1"/>
                <w:szCs w:val="1"/>
                <w:color w:val="auto"/>
              </w:rPr>
            </w:pPr>
          </w:p>
        </w:tc>
      </w:tr>
      <w:tr>
        <w:trPr>
          <w:trHeight w:val="177"/>
        </w:trPr>
        <w:tc>
          <w:tcPr>
            <w:tcW w:w="8520" w:type="dxa"/>
            <w:vAlign w:val="bottom"/>
            <w:tcBorders>
              <w:top w:val="single" w:sz="8" w:color="CCEEFF"/>
            </w:tcBorders>
            <w:gridSpan w:val="2"/>
            <w:shd w:val="clear" w:color="auto" w:fill="CCEEFF"/>
          </w:tcPr>
          <w:p>
            <w:pPr>
              <w:spacing w:after="0" w:line="177" w:lineRule="exact"/>
              <w:rPr>
                <w:sz w:val="20"/>
                <w:szCs w:val="20"/>
                <w:color w:val="auto"/>
              </w:rPr>
            </w:pPr>
            <w:r>
              <w:rPr>
                <w:rFonts w:ascii="Arial" w:cs="Arial" w:eastAsia="Arial" w:hAnsi="Arial"/>
                <w:sz w:val="17"/>
                <w:szCs w:val="17"/>
                <w:color w:val="auto"/>
              </w:rPr>
              <w:t>Goldman Sachs &amp; Co. LLC</w:t>
            </w:r>
          </w:p>
        </w:tc>
        <w:tc>
          <w:tcPr>
            <w:tcW w:w="1820" w:type="dxa"/>
            <w:vAlign w:val="bottom"/>
            <w:tcBorders>
              <w:top w:val="single" w:sz="8" w:color="auto"/>
            </w:tcBorders>
            <w:shd w:val="clear" w:color="auto" w:fill="CCEEFF"/>
          </w:tcPr>
          <w:p>
            <w:pPr>
              <w:ind w:left="460"/>
              <w:spacing w:after="0" w:line="177" w:lineRule="exact"/>
              <w:rPr>
                <w:sz w:val="20"/>
                <w:szCs w:val="20"/>
                <w:color w:val="auto"/>
              </w:rPr>
            </w:pPr>
            <w:r>
              <w:rPr>
                <w:rFonts w:ascii="Arial" w:cs="Arial" w:eastAsia="Arial" w:hAnsi="Arial"/>
                <w:sz w:val="17"/>
                <w:szCs w:val="17"/>
                <w:color w:val="auto"/>
              </w:rPr>
              <w:t xml:space="preserve">                      </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520" w:type="dxa"/>
            <w:vAlign w:val="bottom"/>
            <w:gridSpan w:val="2"/>
          </w:tcPr>
          <w:p>
            <w:pPr>
              <w:spacing w:after="0" w:line="192" w:lineRule="exact"/>
              <w:rPr>
                <w:sz w:val="20"/>
                <w:szCs w:val="20"/>
                <w:color w:val="auto"/>
              </w:rPr>
            </w:pPr>
            <w:r>
              <w:rPr>
                <w:rFonts w:ascii="Arial" w:cs="Arial" w:eastAsia="Arial" w:hAnsi="Arial"/>
                <w:sz w:val="17"/>
                <w:szCs w:val="17"/>
                <w:color w:val="auto"/>
              </w:rPr>
              <w:t>Leerink Partners LLC</w:t>
            </w: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520" w:type="dxa"/>
            <w:vAlign w:val="bottom"/>
            <w:gridSpan w:val="2"/>
            <w:shd w:val="clear" w:color="auto" w:fill="CCEEFF"/>
          </w:tcPr>
          <w:p>
            <w:pPr>
              <w:spacing w:after="0" w:line="192" w:lineRule="exact"/>
              <w:rPr>
                <w:sz w:val="20"/>
                <w:szCs w:val="20"/>
                <w:color w:val="auto"/>
              </w:rPr>
            </w:pPr>
            <w:r>
              <w:rPr>
                <w:rFonts w:ascii="Arial" w:cs="Arial" w:eastAsia="Arial" w:hAnsi="Arial"/>
                <w:sz w:val="17"/>
                <w:szCs w:val="17"/>
                <w:color w:val="auto"/>
              </w:rPr>
              <w:t>Piper Sandler &amp; Co</w:t>
            </w:r>
          </w:p>
        </w:tc>
        <w:tc>
          <w:tcPr>
            <w:tcW w:w="1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520" w:type="dxa"/>
            <w:vAlign w:val="bottom"/>
            <w:gridSpan w:val="2"/>
          </w:tcPr>
          <w:p>
            <w:pPr>
              <w:spacing w:after="0" w:line="192" w:lineRule="exact"/>
              <w:rPr>
                <w:sz w:val="20"/>
                <w:szCs w:val="20"/>
                <w:color w:val="auto"/>
              </w:rPr>
            </w:pPr>
            <w:r>
              <w:rPr>
                <w:rFonts w:ascii="Arial" w:cs="Arial" w:eastAsia="Arial" w:hAnsi="Arial"/>
                <w:sz w:val="17"/>
                <w:szCs w:val="17"/>
                <w:color w:val="auto"/>
              </w:rPr>
              <w:t>Guggenheim Securities, LLC</w:t>
            </w:r>
          </w:p>
        </w:tc>
        <w:tc>
          <w:tcPr>
            <w:tcW w:w="18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520" w:type="dxa"/>
            <w:vAlign w:val="bottom"/>
            <w:gridSpan w:val="2"/>
            <w:shd w:val="clear" w:color="auto" w:fill="CCEEFF"/>
          </w:tcPr>
          <w:p>
            <w:pPr>
              <w:ind w:left="340"/>
              <w:spacing w:after="0" w:line="192" w:lineRule="exact"/>
              <w:rPr>
                <w:sz w:val="20"/>
                <w:szCs w:val="20"/>
                <w:color w:val="auto"/>
              </w:rPr>
            </w:pPr>
            <w:r>
              <w:rPr>
                <w:rFonts w:ascii="Arial" w:cs="Arial" w:eastAsia="Arial" w:hAnsi="Arial"/>
                <w:sz w:val="17"/>
                <w:szCs w:val="17"/>
                <w:color w:val="auto"/>
              </w:rPr>
              <w:t>Total</w:t>
            </w:r>
          </w:p>
        </w:tc>
        <w:tc>
          <w:tcPr>
            <w:tcW w:w="1900" w:type="dxa"/>
            <w:vAlign w:val="bottom"/>
            <w:gridSpan w:val="2"/>
            <w:shd w:val="clear" w:color="auto" w:fill="CCEEFF"/>
          </w:tcPr>
          <w:p>
            <w:pPr>
              <w:jc w:val="right"/>
              <w:ind w:right="80"/>
              <w:spacing w:after="0" w:line="192" w:lineRule="exact"/>
              <w:rPr>
                <w:sz w:val="20"/>
                <w:szCs w:val="20"/>
                <w:color w:val="auto"/>
              </w:rPr>
            </w:pPr>
            <w:r>
              <w:rPr>
                <w:rFonts w:ascii="Arial" w:cs="Arial" w:eastAsia="Arial" w:hAnsi="Arial"/>
                <w:sz w:val="17"/>
                <w:szCs w:val="17"/>
                <w:color w:val="auto"/>
              </w:rPr>
              <w:t>6,250,000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420" w:right="140" w:firstLine="521"/>
        <w:spacing w:after="0" w:line="270" w:lineRule="auto"/>
        <w:rPr>
          <w:sz w:val="20"/>
          <w:szCs w:val="20"/>
          <w:color w:val="auto"/>
        </w:rPr>
      </w:pPr>
      <w:r>
        <w:rPr>
          <w:rFonts w:ascii="Arial" w:cs="Arial" w:eastAsia="Arial" w:hAnsi="Arial"/>
          <w:sz w:val="17"/>
          <w:szCs w:val="17"/>
          <w:color w:val="auto"/>
        </w:rPr>
        <w:t>The underwriters are committed to take and pay for all of the shares being offered, if any are taken, other than the shares covered by the option described below unless and until this option is exercised.</w:t>
      </w:r>
    </w:p>
    <w:p>
      <w:pPr>
        <w:spacing w:after="0" w:line="148" w:lineRule="exact"/>
        <w:rPr>
          <w:sz w:val="20"/>
          <w:szCs w:val="20"/>
          <w:color w:val="auto"/>
        </w:rPr>
      </w:pPr>
    </w:p>
    <w:p>
      <w:pPr>
        <w:ind w:left="420" w:right="40" w:firstLine="521"/>
        <w:spacing w:after="0" w:line="247" w:lineRule="auto"/>
        <w:rPr>
          <w:sz w:val="20"/>
          <w:szCs w:val="20"/>
          <w:color w:val="auto"/>
        </w:rPr>
      </w:pPr>
      <w:r>
        <w:rPr>
          <w:rFonts w:ascii="Arial" w:cs="Arial" w:eastAsia="Arial" w:hAnsi="Arial"/>
          <w:sz w:val="17"/>
          <w:szCs w:val="17"/>
          <w:color w:val="auto"/>
        </w:rPr>
        <w:t>The underwriters have an option to buy up to an additional 937,500 shares of our common stock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66" w:lineRule="exact"/>
        <w:rPr>
          <w:sz w:val="20"/>
          <w:szCs w:val="20"/>
          <w:color w:val="auto"/>
        </w:rPr>
      </w:pPr>
    </w:p>
    <w:p>
      <w:pPr>
        <w:ind w:left="420" w:right="120" w:firstLine="521"/>
        <w:spacing w:after="0" w:line="252" w:lineRule="auto"/>
        <w:rPr>
          <w:sz w:val="20"/>
          <w:szCs w:val="20"/>
          <w:color w:val="auto"/>
        </w:rPr>
      </w:pPr>
      <w:r>
        <w:rPr>
          <w:rFonts w:ascii="Arial" w:cs="Arial" w:eastAsia="Arial" w:hAnsi="Arial"/>
          <w:sz w:val="17"/>
          <w:szCs w:val="17"/>
          <w:color w:val="auto"/>
        </w:rPr>
        <w:t>The following table shows the per share and total underwriting discounts and commissions to be paid to the underwriters by us. Such amounts are shown assuming both no exercise and full exercise of the underwriters’ option to purchase up to an additional 937,500 shares of common stock from us.</w:t>
      </w:r>
    </w:p>
    <w:p>
      <w:pPr>
        <w:spacing w:after="0" w:line="197" w:lineRule="exact"/>
        <w:rPr>
          <w:sz w:val="20"/>
          <w:szCs w:val="20"/>
          <w:color w:val="auto"/>
        </w:rPr>
      </w:pPr>
    </w:p>
    <w:tbl>
      <w:tblPr>
        <w:tblLayout w:type="fixed"/>
        <w:tblInd w:w="420" w:type="dxa"/>
        <w:tblCellMar>
          <w:top w:w="0" w:type="dxa"/>
          <w:left w:w="0" w:type="dxa"/>
          <w:bottom w:w="0" w:type="dxa"/>
          <w:right w:w="0" w:type="dxa"/>
        </w:tblCellMar>
      </w:tblPr>
      <w:tr>
        <w:trPr>
          <w:trHeight w:val="163"/>
        </w:trPr>
        <w:tc>
          <w:tcPr>
            <w:tcW w:w="4180" w:type="dxa"/>
            <w:vAlign w:val="bottom"/>
            <w:tcBorders>
              <w:bottom w:val="single" w:sz="8" w:color="CCEEFF"/>
            </w:tcBorders>
          </w:tcPr>
          <w:p>
            <w:pPr>
              <w:spacing w:after="0"/>
              <w:rPr>
                <w:sz w:val="14"/>
                <w:szCs w:val="14"/>
                <w:color w:val="auto"/>
              </w:rPr>
            </w:pPr>
          </w:p>
        </w:tc>
        <w:tc>
          <w:tcPr>
            <w:tcW w:w="342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No Exercise</w:t>
            </w:r>
          </w:p>
        </w:tc>
        <w:tc>
          <w:tcPr>
            <w:tcW w:w="1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Full Exercise</w:t>
            </w:r>
          </w:p>
        </w:tc>
      </w:tr>
      <w:tr>
        <w:trPr>
          <w:trHeight w:val="184"/>
        </w:trPr>
        <w:tc>
          <w:tcPr>
            <w:tcW w:w="418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Per Share</w:t>
            </w:r>
          </w:p>
        </w:tc>
        <w:tc>
          <w:tcPr>
            <w:tcW w:w="3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 xml:space="preserve">$                </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 xml:space="preserve">$                </w:t>
            </w:r>
          </w:p>
        </w:tc>
      </w:tr>
      <w:tr>
        <w:trPr>
          <w:trHeight w:val="224"/>
        </w:trPr>
        <w:tc>
          <w:tcPr>
            <w:tcW w:w="4180" w:type="dxa"/>
            <w:vAlign w:val="bottom"/>
          </w:tcPr>
          <w:p>
            <w:pPr>
              <w:spacing w:after="0"/>
              <w:rPr>
                <w:sz w:val="20"/>
                <w:szCs w:val="20"/>
                <w:color w:val="auto"/>
              </w:rPr>
            </w:pPr>
            <w:r>
              <w:rPr>
                <w:rFonts w:ascii="Arial" w:cs="Arial" w:eastAsia="Arial" w:hAnsi="Arial"/>
                <w:sz w:val="17"/>
                <w:szCs w:val="17"/>
                <w:color w:val="auto"/>
              </w:rPr>
              <w:t>Total</w:t>
            </w:r>
          </w:p>
        </w:tc>
        <w:tc>
          <w:tcPr>
            <w:tcW w:w="4760" w:type="dxa"/>
            <w:vAlign w:val="bottom"/>
            <w:gridSpan w:val="2"/>
          </w:tcPr>
          <w:p>
            <w:pPr>
              <w:ind w:left="3420"/>
              <w:spacing w:after="0"/>
              <w:rPr>
                <w:sz w:val="20"/>
                <w:szCs w:val="20"/>
                <w:color w:val="auto"/>
              </w:rPr>
            </w:pPr>
            <w:r>
              <w:rPr>
                <w:rFonts w:ascii="Arial" w:cs="Arial" w:eastAsia="Arial" w:hAnsi="Arial"/>
                <w:sz w:val="17"/>
                <w:szCs w:val="17"/>
                <w:color w:val="auto"/>
              </w:rPr>
              <w:t>$</w:t>
            </w:r>
          </w:p>
        </w:tc>
        <w:tc>
          <w:tcPr>
            <w:tcW w:w="1480" w:type="dxa"/>
            <w:vAlign w:val="bottom"/>
            <w:gridSpan w:val="2"/>
          </w:tcPr>
          <w:p>
            <w:pPr>
              <w:ind w:left="100"/>
              <w:spacing w:after="0"/>
              <w:rPr>
                <w:sz w:val="20"/>
                <w:szCs w:val="20"/>
                <w:color w:val="auto"/>
              </w:rPr>
            </w:pPr>
            <w:r>
              <w:rPr>
                <w:rFonts w:ascii="Arial" w:cs="Arial" w:eastAsia="Arial" w:hAnsi="Arial"/>
                <w:sz w:val="17"/>
                <w:szCs w:val="17"/>
                <w:color w:val="auto"/>
              </w:rPr>
              <w:t>$</w:t>
            </w:r>
          </w:p>
        </w:tc>
      </w:tr>
    </w:tbl>
    <w:p>
      <w:pPr>
        <w:spacing w:after="0" w:line="155" w:lineRule="exact"/>
        <w:rPr>
          <w:sz w:val="20"/>
          <w:szCs w:val="20"/>
          <w:color w:val="auto"/>
        </w:rPr>
      </w:pPr>
    </w:p>
    <w:p>
      <w:pPr>
        <w:ind w:left="420" w:right="20" w:firstLine="521"/>
        <w:spacing w:after="0" w:line="244" w:lineRule="auto"/>
        <w:rPr>
          <w:sz w:val="20"/>
          <w:szCs w:val="20"/>
          <w:color w:val="auto"/>
        </w:rPr>
      </w:pPr>
      <w:r>
        <w:rPr>
          <w:rFonts w:ascii="Arial" w:cs="Arial" w:eastAsia="Arial" w:hAnsi="Arial"/>
          <w:sz w:val="17"/>
          <w:szCs w:val="17"/>
          <w:color w:val="auto"/>
        </w:rPr>
        <w:t>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69" w:lineRule="exact"/>
        <w:rPr>
          <w:sz w:val="20"/>
          <w:szCs w:val="20"/>
          <w:color w:val="auto"/>
        </w:rPr>
      </w:pPr>
    </w:p>
    <w:p>
      <w:pPr>
        <w:ind w:left="420" w:firstLine="521"/>
        <w:spacing w:after="0"/>
        <w:rPr>
          <w:sz w:val="20"/>
          <w:szCs w:val="20"/>
          <w:color w:val="auto"/>
        </w:rPr>
      </w:pPr>
      <w:r>
        <w:rPr>
          <w:rFonts w:ascii="Arial" w:cs="Arial" w:eastAsia="Arial" w:hAnsi="Arial"/>
          <w:sz w:val="17"/>
          <w:szCs w:val="17"/>
          <w:color w:val="auto"/>
        </w:rPr>
        <w:t>We and our officers, directors, and holders of substantially all of our capital stock and securities convertible into or exchangeable for our common stock have agreed or will agree with the underwriters, subject to certain exceptions, not to dispose of or hedge any of our or their common stock or securities convertible into or exchangeable for shares of common stock during the period from the date of this prospectus continuing through the date 180 days after the date of this prospectus, except with the prior written consent of Goldman Sachs</w:t>
      </w:r>
    </w:p>
    <w:p>
      <w:pPr>
        <w:spacing w:after="0" w:line="1" w:lineRule="exact"/>
        <w:rPr>
          <w:sz w:val="20"/>
          <w:szCs w:val="20"/>
          <w:color w:val="auto"/>
        </w:rPr>
      </w:pPr>
    </w:p>
    <w:p>
      <w:pPr>
        <w:ind w:left="420" w:right="160" w:hanging="9"/>
        <w:spacing w:after="0" w:line="250" w:lineRule="auto"/>
        <w:tabs>
          <w:tab w:leader="none" w:pos="581" w:val="left"/>
        </w:tabs>
        <w:numPr>
          <w:ilvl w:val="0"/>
          <w:numId w:val="98"/>
        </w:numPr>
        <w:rPr>
          <w:rFonts w:ascii="Arial" w:cs="Arial" w:eastAsia="Arial" w:hAnsi="Arial"/>
          <w:sz w:val="17"/>
          <w:szCs w:val="17"/>
          <w:color w:val="auto"/>
        </w:rPr>
      </w:pPr>
      <w:r>
        <w:rPr>
          <w:rFonts w:ascii="Arial" w:cs="Arial" w:eastAsia="Arial" w:hAnsi="Arial"/>
          <w:sz w:val="17"/>
          <w:szCs w:val="17"/>
          <w:color w:val="auto"/>
        </w:rPr>
        <w:t>Co. LLC, Leerink Partners LLC, Piper Sandler &amp; Co., and Guggenheim Securities, LLC. This agreement does not apply to any existing employee benefit plans. See the section titled “Shares Eligible for Future Sale” for a discussion of certain transfer restrictions.</w:t>
      </w:r>
    </w:p>
    <w:p>
      <w:pPr>
        <w:spacing w:after="0" w:line="164" w:lineRule="exact"/>
        <w:rPr>
          <w:sz w:val="20"/>
          <w:szCs w:val="20"/>
          <w:color w:val="auto"/>
        </w:rPr>
      </w:pPr>
    </w:p>
    <w:p>
      <w:pPr>
        <w:ind w:left="420" w:right="120" w:firstLine="521"/>
        <w:spacing w:after="0" w:line="270" w:lineRule="auto"/>
        <w:rPr>
          <w:sz w:val="20"/>
          <w:szCs w:val="20"/>
          <w:color w:val="auto"/>
        </w:rPr>
      </w:pPr>
      <w:r>
        <w:rPr>
          <w:rFonts w:ascii="Arial" w:cs="Arial" w:eastAsia="Arial" w:hAnsi="Arial"/>
          <w:sz w:val="17"/>
          <w:szCs w:val="17"/>
          <w:color w:val="auto"/>
        </w:rPr>
        <w:t>Prior to the offering, there has been no public market for the shares of our common stock. The initial public offering price has been negotiated among the Company and the representatives. Among</w:t>
      </w:r>
    </w:p>
    <w:p>
      <w:pPr>
        <w:spacing w:after="0" w:line="8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214</w:t>
      </w:r>
    </w:p>
    <w:p>
      <w:pPr>
        <w:sectPr>
          <w:pgSz w:w="11900" w:h="16838" w:orient="portrait"/>
          <w:cols w:equalWidth="0" w:num="1">
            <w:col w:w="10840"/>
          </w:cols>
          <w:pgMar w:left="320" w:top="439" w:right="7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both"/>
        <w:ind w:left="420" w:right="60"/>
        <w:spacing w:after="0" w:line="252" w:lineRule="auto"/>
        <w:rPr>
          <w:sz w:val="20"/>
          <w:szCs w:val="20"/>
          <w:color w:val="auto"/>
        </w:rPr>
      </w:pPr>
      <w:r>
        <w:rPr>
          <w:rFonts w:ascii="Arial" w:cs="Arial" w:eastAsia="Arial" w:hAnsi="Arial"/>
          <w:sz w:val="17"/>
          <w:szCs w:val="17"/>
          <w:color w:val="auto"/>
        </w:rPr>
        <w:t>the factors to be considered in determining the initial public offering price of the shares, in addition to prevailing market conditions, will be the company’s historical performance, estimates of the business potential and earnings prospects of the Company, an assessment of our management, and the consideration of the above factors in relation to market valuation of companies in related businesses.</w:t>
      </w:r>
    </w:p>
    <w:p>
      <w:pPr>
        <w:spacing w:after="0" w:line="164" w:lineRule="exact"/>
        <w:rPr>
          <w:sz w:val="20"/>
          <w:szCs w:val="20"/>
          <w:color w:val="auto"/>
        </w:rPr>
      </w:pPr>
    </w:p>
    <w:p>
      <w:pPr>
        <w:ind w:left="420" w:right="460" w:firstLine="521"/>
        <w:spacing w:after="0" w:line="270" w:lineRule="auto"/>
        <w:rPr>
          <w:sz w:val="20"/>
          <w:szCs w:val="20"/>
          <w:color w:val="auto"/>
        </w:rPr>
      </w:pPr>
      <w:r>
        <w:rPr>
          <w:rFonts w:ascii="Arial" w:cs="Arial" w:eastAsia="Arial" w:hAnsi="Arial"/>
          <w:sz w:val="17"/>
          <w:szCs w:val="17"/>
          <w:color w:val="auto"/>
        </w:rPr>
        <w:t>We have applied to list our common stock on the Nasdaq Global Select Market under the symbol “BOLD,” and this offering is contingent upon obtaining such approval.</w:t>
      </w:r>
    </w:p>
    <w:p>
      <w:pPr>
        <w:spacing w:after="0" w:line="148" w:lineRule="exact"/>
        <w:rPr>
          <w:sz w:val="20"/>
          <w:szCs w:val="20"/>
          <w:color w:val="auto"/>
        </w:rPr>
      </w:pPr>
    </w:p>
    <w:p>
      <w:pPr>
        <w:ind w:left="420" w:firstLine="521"/>
        <w:spacing w:after="0" w:line="238" w:lineRule="auto"/>
        <w:rPr>
          <w:sz w:val="20"/>
          <w:szCs w:val="20"/>
          <w:color w:val="auto"/>
        </w:rPr>
      </w:pPr>
      <w:r>
        <w:rPr>
          <w:rFonts w:ascii="Arial" w:cs="Arial" w:eastAsia="Arial" w:hAnsi="Arial"/>
          <w:sz w:val="17"/>
          <w:szCs w:val="17"/>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closing of the offering.</w:t>
      </w:r>
    </w:p>
    <w:p>
      <w:pPr>
        <w:spacing w:after="0" w:line="174" w:lineRule="exact"/>
        <w:rPr>
          <w:sz w:val="20"/>
          <w:szCs w:val="20"/>
          <w:color w:val="auto"/>
        </w:rPr>
      </w:pPr>
    </w:p>
    <w:p>
      <w:pPr>
        <w:ind w:left="420" w:right="100" w:firstLine="521"/>
        <w:spacing w:after="0" w:line="252" w:lineRule="auto"/>
        <w:rPr>
          <w:sz w:val="20"/>
          <w:szCs w:val="20"/>
          <w:color w:val="auto"/>
        </w:rPr>
      </w:pPr>
      <w:r>
        <w:rPr>
          <w:rFonts w:ascii="Arial" w:cs="Arial" w:eastAsia="Arial" w:hAnsi="Arial"/>
          <w:sz w:val="17"/>
          <w:szCs w:val="17"/>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64" w:lineRule="exact"/>
        <w:rPr>
          <w:sz w:val="20"/>
          <w:szCs w:val="20"/>
          <w:color w:val="auto"/>
        </w:rPr>
      </w:pPr>
    </w:p>
    <w:p>
      <w:pPr>
        <w:ind w:left="420" w:right="220" w:firstLine="521"/>
        <w:spacing w:after="0" w:line="242"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our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72" w:lineRule="exact"/>
        <w:rPr>
          <w:sz w:val="20"/>
          <w:szCs w:val="20"/>
          <w:color w:val="auto"/>
        </w:rPr>
      </w:pPr>
    </w:p>
    <w:p>
      <w:pPr>
        <w:ind w:left="420" w:right="480" w:firstLine="521"/>
        <w:spacing w:after="0" w:line="270" w:lineRule="auto"/>
        <w:rPr>
          <w:sz w:val="20"/>
          <w:szCs w:val="20"/>
          <w:color w:val="auto"/>
        </w:rPr>
      </w:pPr>
      <w:r>
        <w:rPr>
          <w:rFonts w:ascii="Arial" w:cs="Arial" w:eastAsia="Arial" w:hAnsi="Arial"/>
          <w:sz w:val="17"/>
          <w:szCs w:val="17"/>
          <w:color w:val="auto"/>
        </w:rPr>
        <w:t>We estimate that our share of the total expenses of the offering, excluding underwriting discounts and commissions, will be approximately $4.7 million. We have agreed to reimburse the underwriters for certain of their expenses in an amount up to $40,000.</w:t>
      </w:r>
    </w:p>
    <w:p>
      <w:pPr>
        <w:spacing w:after="0" w:line="148" w:lineRule="exact"/>
        <w:rPr>
          <w:sz w:val="20"/>
          <w:szCs w:val="20"/>
          <w:color w:val="auto"/>
        </w:rPr>
      </w:pPr>
    </w:p>
    <w:p>
      <w:pPr>
        <w:ind w:left="940"/>
        <w:spacing w:after="0"/>
        <w:rPr>
          <w:sz w:val="20"/>
          <w:szCs w:val="20"/>
          <w:color w:val="auto"/>
        </w:rPr>
      </w:pPr>
      <w:r>
        <w:rPr>
          <w:rFonts w:ascii="Arial" w:cs="Arial" w:eastAsia="Arial" w:hAnsi="Arial"/>
          <w:sz w:val="17"/>
          <w:szCs w:val="17"/>
          <w:color w:val="auto"/>
        </w:rPr>
        <w:t>We have agreed to indemnify the several underwriters against certain liabilities, including liabilities under the Securities Act.</w:t>
      </w:r>
    </w:p>
    <w:p>
      <w:pPr>
        <w:spacing w:after="0" w:line="201" w:lineRule="exact"/>
        <w:rPr>
          <w:sz w:val="20"/>
          <w:szCs w:val="20"/>
          <w:color w:val="auto"/>
        </w:rPr>
      </w:pPr>
    </w:p>
    <w:p>
      <w:pPr>
        <w:ind w:left="420" w:right="20" w:firstLine="521"/>
        <w:spacing w:after="0" w:line="252"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215</w:t>
      </w:r>
    </w:p>
    <w:p>
      <w:pPr>
        <w:sectPr>
          <w:pgSz w:w="11900" w:h="16838" w:orient="portrait"/>
          <w:cols w:equalWidth="0" w:num="1">
            <w:col w:w="10780"/>
          </w:cols>
          <w:pgMar w:left="320" w:top="439" w:right="79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140"/>
        <w:spacing w:after="0" w:line="270" w:lineRule="auto"/>
        <w:rPr>
          <w:sz w:val="20"/>
          <w:szCs w:val="20"/>
          <w:color w:val="auto"/>
        </w:rPr>
      </w:pPr>
      <w:r>
        <w:rPr>
          <w:rFonts w:ascii="Arial" w:cs="Arial" w:eastAsia="Arial" w:hAnsi="Arial"/>
          <w:sz w:val="17"/>
          <w:szCs w:val="17"/>
          <w:color w:val="auto"/>
        </w:rPr>
        <w:t>their respective affiliates may in the future provide, a variety of these services to us and to persons and entities with relationships with us, for which they will receive customary fees and expenses.</w:t>
      </w:r>
    </w:p>
    <w:p>
      <w:pPr>
        <w:spacing w:after="0" w:line="148" w:lineRule="exact"/>
        <w:rPr>
          <w:sz w:val="20"/>
          <w:szCs w:val="20"/>
          <w:color w:val="auto"/>
        </w:rPr>
      </w:pPr>
    </w:p>
    <w:p>
      <w:pPr>
        <w:ind w:left="420" w:firstLine="521"/>
        <w:spacing w:after="0"/>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74" w:lineRule="exact"/>
        <w:rPr>
          <w:sz w:val="20"/>
          <w:szCs w:val="20"/>
          <w:color w:val="auto"/>
        </w:rPr>
      </w:pPr>
    </w:p>
    <w:p>
      <w:pPr>
        <w:ind w:left="420" w:right="120" w:firstLine="521"/>
        <w:spacing w:after="0" w:line="247" w:lineRule="auto"/>
        <w:rPr>
          <w:sz w:val="20"/>
          <w:szCs w:val="20"/>
          <w:color w:val="auto"/>
        </w:rPr>
      </w:pPr>
      <w:r>
        <w:rPr>
          <w:rFonts w:ascii="Arial" w:cs="Arial" w:eastAsia="Arial" w:hAnsi="Arial"/>
          <w:sz w:val="17"/>
          <w:szCs w:val="17"/>
          <w:color w:val="auto"/>
        </w:rPr>
        <w:t>Affiliates of Piper Sandler &amp; Co. purchased 8,839,914 shares of our Series C convertible preferred stock in our May 2023 Series C convertible preferred stock financing. Those shares of Series C convertible preferred stock will automatically convert into 453,328 shares of our common stock immediately prior to and in connection with the closing of this offering. All such shares are subject to the 180-day lock-up restrictions pursuant to FINRA Rule 5110(g).</w:t>
      </w:r>
    </w:p>
    <w:p>
      <w:pPr>
        <w:spacing w:after="0" w:line="26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Selling Restrictions</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98" w:lineRule="exact"/>
        <w:rPr>
          <w:sz w:val="20"/>
          <w:szCs w:val="20"/>
          <w:color w:val="auto"/>
        </w:rPr>
      </w:pPr>
    </w:p>
    <w:p>
      <w:pPr>
        <w:ind w:left="420" w:right="180" w:firstLine="521"/>
        <w:spacing w:after="0" w:line="244" w:lineRule="auto"/>
        <w:rPr>
          <w:sz w:val="20"/>
          <w:szCs w:val="20"/>
          <w:color w:val="auto"/>
        </w:rPr>
      </w:pPr>
      <w:r>
        <w:rPr>
          <w:rFonts w:ascii="Arial" w:cs="Arial" w:eastAsia="Arial" w:hAnsi="Arial"/>
          <w:sz w:val="17"/>
          <w:szCs w:val="17"/>
          <w:color w:val="auto"/>
        </w:rPr>
        <w:t>In relation to each Member State of the European Economic Area (each a Relevant Member), no shares have been offered or will be offered pursuant to the offering to the public in that Relevant Member prior to the publication of a prospectus in relation to the shares which has been approved by the competent authority in that Relevant Member or, where appropriate, approved in another Relevant Member and notified to the competent authority in that Relevant Member, all in accordance with the Prospectus Regulation, except that the shares may be offered to the public in that Relevant Member at any time:</w:t>
      </w:r>
    </w:p>
    <w:p>
      <w:pPr>
        <w:spacing w:after="0" w:line="195" w:lineRule="exact"/>
        <w:rPr>
          <w:sz w:val="20"/>
          <w:szCs w:val="20"/>
          <w:color w:val="auto"/>
        </w:rPr>
      </w:pPr>
    </w:p>
    <w:p>
      <w:pPr>
        <w:ind w:left="1340" w:hanging="520"/>
        <w:spacing w:after="0"/>
        <w:tabs>
          <w:tab w:leader="none" w:pos="13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Article 2 of the Prospectus Regulation;</w:t>
      </w:r>
    </w:p>
    <w:p>
      <w:pPr>
        <w:spacing w:after="0" w:line="111" w:lineRule="exact"/>
        <w:rPr>
          <w:rFonts w:ascii="Arial" w:cs="Arial" w:eastAsia="Arial" w:hAnsi="Arial"/>
          <w:sz w:val="17"/>
          <w:szCs w:val="17"/>
          <w:color w:val="auto"/>
        </w:rPr>
      </w:pPr>
    </w:p>
    <w:p>
      <w:pPr>
        <w:ind w:left="1340" w:right="740" w:hanging="520"/>
        <w:spacing w:after="0" w:line="270" w:lineRule="auto"/>
        <w:tabs>
          <w:tab w:leader="none" w:pos="13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Article 2 of the Prospectus Regulation), subject to obtaining the prior consent of the representatives for any such offer; or</w:t>
      </w:r>
    </w:p>
    <w:p>
      <w:pPr>
        <w:spacing w:after="0" w:line="58" w:lineRule="exact"/>
        <w:rPr>
          <w:rFonts w:ascii="Arial" w:cs="Arial" w:eastAsia="Arial" w:hAnsi="Arial"/>
          <w:sz w:val="17"/>
          <w:szCs w:val="17"/>
          <w:color w:val="auto"/>
        </w:rPr>
      </w:pPr>
    </w:p>
    <w:p>
      <w:pPr>
        <w:ind w:left="1340" w:hanging="520"/>
        <w:spacing w:after="0"/>
        <w:tabs>
          <w:tab w:leader="none" w:pos="13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1(4) of the Prospectus Regulation,</w:t>
      </w:r>
    </w:p>
    <w:p>
      <w:pPr>
        <w:spacing w:after="0" w:line="201" w:lineRule="exact"/>
        <w:rPr>
          <w:sz w:val="20"/>
          <w:szCs w:val="20"/>
          <w:color w:val="auto"/>
        </w:rPr>
      </w:pPr>
    </w:p>
    <w:p>
      <w:pPr>
        <w:ind w:left="420" w:right="140"/>
        <w:spacing w:after="0" w:line="270" w:lineRule="auto"/>
        <w:rPr>
          <w:sz w:val="20"/>
          <w:szCs w:val="20"/>
          <w:color w:val="auto"/>
        </w:rPr>
      </w:pPr>
      <w:r>
        <w:rPr>
          <w:rFonts w:ascii="Arial" w:cs="Arial" w:eastAsia="Arial" w:hAnsi="Arial"/>
          <w:sz w:val="17"/>
          <w:szCs w:val="17"/>
          <w:color w:val="auto"/>
        </w:rPr>
        <w:t>provided that no such offer of the shares shall require us or any of the representatives to publish a prospectus pursuant to Article 3 of the Prospectus Regulation or supplement a prospectus pursuant to Article 23 of the Prospectus Regulation.</w:t>
      </w:r>
    </w:p>
    <w:p>
      <w:pPr>
        <w:spacing w:after="0" w:line="148" w:lineRule="exact"/>
        <w:rPr>
          <w:sz w:val="20"/>
          <w:szCs w:val="20"/>
          <w:color w:val="auto"/>
        </w:rPr>
      </w:pPr>
    </w:p>
    <w:p>
      <w:pPr>
        <w:ind w:left="420" w:right="40" w:firstLine="521"/>
        <w:spacing w:after="0" w:line="247" w:lineRule="auto"/>
        <w:rPr>
          <w:sz w:val="20"/>
          <w:szCs w:val="20"/>
          <w:color w:val="auto"/>
        </w:rPr>
      </w:pPr>
      <w:r>
        <w:rPr>
          <w:rFonts w:ascii="Arial" w:cs="Arial" w:eastAsia="Arial" w:hAnsi="Arial"/>
          <w:sz w:val="17"/>
          <w:szCs w:val="17"/>
          <w:color w:val="auto"/>
        </w:rPr>
        <w:t>For the purposes of this provision, the expression an “offer to the public” in relation to the shares in any Relevant Member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6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United Kingdom</w:t>
      </w:r>
    </w:p>
    <w:p>
      <w:pPr>
        <w:spacing w:after="0" w:line="98" w:lineRule="exact"/>
        <w:rPr>
          <w:sz w:val="20"/>
          <w:szCs w:val="20"/>
          <w:color w:val="auto"/>
        </w:rPr>
      </w:pPr>
    </w:p>
    <w:p>
      <w:pPr>
        <w:ind w:left="420" w:right="20" w:firstLine="521"/>
        <w:spacing w:after="0" w:line="270" w:lineRule="auto"/>
        <w:rPr>
          <w:sz w:val="20"/>
          <w:szCs w:val="20"/>
          <w:color w:val="auto"/>
        </w:rPr>
      </w:pPr>
      <w:r>
        <w:rPr>
          <w:rFonts w:ascii="Arial" w:cs="Arial" w:eastAsia="Arial" w:hAnsi="Arial"/>
          <w:sz w:val="17"/>
          <w:szCs w:val="17"/>
          <w:color w:val="auto"/>
        </w:rPr>
        <w:t>No shares have been offered or will be offered pursuant to the offering to the public in the United Kingdom prior to the publication of a prospectus in relation to the shares which has been approved by</w:t>
      </w:r>
    </w:p>
    <w:p>
      <w:pPr>
        <w:spacing w:after="0" w:line="8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216</w:t>
      </w:r>
    </w:p>
    <w:p>
      <w:pPr>
        <w:sectPr>
          <w:pgSz w:w="11900" w:h="16838" w:orient="portrait"/>
          <w:cols w:equalWidth="0" w:num="1">
            <w:col w:w="10840"/>
          </w:cols>
          <w:pgMar w:left="320" w:top="439" w:right="7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Financial Conduct Authority, except that the shares may be offered to the public in the United Kingdom at any time:</w:t>
      </w:r>
    </w:p>
    <w:p>
      <w:pPr>
        <w:spacing w:after="0" w:line="111" w:lineRule="exact"/>
        <w:rPr>
          <w:sz w:val="20"/>
          <w:szCs w:val="20"/>
          <w:color w:val="auto"/>
        </w:rPr>
      </w:pPr>
    </w:p>
    <w:p>
      <w:pPr>
        <w:ind w:left="1340" w:hanging="520"/>
        <w:spacing w:after="0"/>
        <w:tabs>
          <w:tab w:leader="none" w:pos="13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Article 2 of the UK Prospectus Regulation;</w:t>
      </w:r>
    </w:p>
    <w:p>
      <w:pPr>
        <w:spacing w:after="0" w:line="111" w:lineRule="exact"/>
        <w:rPr>
          <w:rFonts w:ascii="Arial" w:cs="Arial" w:eastAsia="Arial" w:hAnsi="Arial"/>
          <w:sz w:val="17"/>
          <w:szCs w:val="17"/>
          <w:color w:val="auto"/>
        </w:rPr>
      </w:pPr>
    </w:p>
    <w:p>
      <w:pPr>
        <w:ind w:left="1340" w:right="440" w:hanging="520"/>
        <w:spacing w:after="0" w:line="270" w:lineRule="auto"/>
        <w:tabs>
          <w:tab w:leader="none" w:pos="13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Article 2 of the UK Prospectus Regulation), subject to obtaining the prior consent of the representatives for any such offer; or</w:t>
      </w:r>
    </w:p>
    <w:p>
      <w:pPr>
        <w:spacing w:after="0" w:line="58" w:lineRule="exact"/>
        <w:rPr>
          <w:rFonts w:ascii="Arial" w:cs="Arial" w:eastAsia="Arial" w:hAnsi="Arial"/>
          <w:sz w:val="17"/>
          <w:szCs w:val="17"/>
          <w:color w:val="auto"/>
        </w:rPr>
      </w:pPr>
    </w:p>
    <w:p>
      <w:pPr>
        <w:ind w:left="1340" w:hanging="520"/>
        <w:spacing w:after="0"/>
        <w:tabs>
          <w:tab w:leader="none" w:pos="13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in any other circumstances falling within Section 86 of the FSMA,</w:t>
      </w:r>
    </w:p>
    <w:p>
      <w:pPr>
        <w:spacing w:after="0" w:line="201" w:lineRule="exact"/>
        <w:rPr>
          <w:sz w:val="20"/>
          <w:szCs w:val="20"/>
          <w:color w:val="auto"/>
        </w:rPr>
      </w:pPr>
    </w:p>
    <w:p>
      <w:pPr>
        <w:ind w:left="420" w:right="20"/>
        <w:spacing w:after="0" w:line="242" w:lineRule="auto"/>
        <w:rPr>
          <w:sz w:val="20"/>
          <w:szCs w:val="20"/>
          <w:color w:val="auto"/>
        </w:rPr>
      </w:pPr>
      <w:r>
        <w:rPr>
          <w:rFonts w:ascii="Arial" w:cs="Arial" w:eastAsia="Arial" w:hAnsi="Arial"/>
          <w:sz w:val="17"/>
          <w:szCs w:val="17"/>
          <w:color w:val="auto"/>
        </w:rPr>
        <w:t>provided that no such offer of the shares shall require the Issuer or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Canada</w:t>
      </w:r>
    </w:p>
    <w:p>
      <w:pPr>
        <w:spacing w:after="0" w:line="98" w:lineRule="exact"/>
        <w:rPr>
          <w:sz w:val="20"/>
          <w:szCs w:val="20"/>
          <w:color w:val="auto"/>
        </w:rPr>
      </w:pPr>
    </w:p>
    <w:p>
      <w:pPr>
        <w:ind w:left="420" w:right="120" w:firstLine="521"/>
        <w:spacing w:after="0" w:line="244" w:lineRule="auto"/>
        <w:rPr>
          <w:sz w:val="20"/>
          <w:szCs w:val="20"/>
          <w:color w:val="auto"/>
        </w:rPr>
      </w:pPr>
      <w:r>
        <w:rPr>
          <w:rFonts w:ascii="Arial" w:cs="Arial" w:eastAsia="Arial" w:hAnsi="Arial"/>
          <w:sz w:val="17"/>
          <w:szCs w:val="17"/>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69" w:lineRule="exact"/>
        <w:rPr>
          <w:sz w:val="20"/>
          <w:szCs w:val="20"/>
          <w:color w:val="auto"/>
        </w:rPr>
      </w:pPr>
    </w:p>
    <w:p>
      <w:pPr>
        <w:ind w:left="420" w:right="40" w:firstLine="521"/>
        <w:spacing w:after="0" w:line="244"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69" w:lineRule="exact"/>
        <w:rPr>
          <w:sz w:val="20"/>
          <w:szCs w:val="20"/>
          <w:color w:val="auto"/>
        </w:rPr>
      </w:pPr>
    </w:p>
    <w:p>
      <w:pPr>
        <w:ind w:left="420" w:right="400" w:firstLine="521"/>
        <w:spacing w:after="0" w:line="270" w:lineRule="auto"/>
        <w:rPr>
          <w:sz w:val="20"/>
          <w:szCs w:val="20"/>
          <w:color w:val="auto"/>
        </w:rPr>
      </w:pPr>
      <w:r>
        <w:rPr>
          <w:rFonts w:ascii="Arial" w:cs="Arial" w:eastAsia="Arial" w:hAnsi="Arial"/>
          <w:sz w:val="17"/>
          <w:szCs w:val="17"/>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5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Hong Kong</w:t>
      </w:r>
    </w:p>
    <w:p>
      <w:pPr>
        <w:spacing w:after="0" w:line="98" w:lineRule="exact"/>
        <w:rPr>
          <w:sz w:val="20"/>
          <w:szCs w:val="20"/>
          <w:color w:val="auto"/>
        </w:rPr>
      </w:pPr>
    </w:p>
    <w:p>
      <w:pPr>
        <w:ind w:left="420" w:firstLine="521"/>
        <w:spacing w:after="0"/>
        <w:rPr>
          <w:sz w:val="20"/>
          <w:szCs w:val="20"/>
          <w:color w:val="auto"/>
        </w:rPr>
      </w:pPr>
      <w:r>
        <w:rPr>
          <w:rFonts w:ascii="Arial" w:cs="Arial" w:eastAsia="Arial" w:hAnsi="Arial"/>
          <w:sz w:val="17"/>
          <w:szCs w:val="17"/>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w:t>
      </w:r>
    </w:p>
    <w:p>
      <w:pPr>
        <w:spacing w:after="0" w:line="11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217</w:t>
      </w:r>
    </w:p>
    <w:p>
      <w:pPr>
        <w:sectPr>
          <w:pgSz w:w="11900" w:h="16838" w:orient="portrait"/>
          <w:cols w:equalWidth="0" w:num="1">
            <w:col w:w="10840"/>
          </w:cols>
          <w:pgMar w:left="320" w:top="439" w:right="7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line="247" w:lineRule="auto"/>
        <w:rPr>
          <w:sz w:val="20"/>
          <w:szCs w:val="20"/>
          <w:color w:val="auto"/>
        </w:rPr>
      </w:pPr>
      <w:r>
        <w:rPr>
          <w:rFonts w:ascii="Arial" w:cs="Arial" w:eastAsia="Arial" w:hAnsi="Arial"/>
          <w:sz w:val="17"/>
          <w:szCs w:val="17"/>
          <w:color w:val="auto"/>
        </w:rPr>
        <w:t>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6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Singapore</w:t>
      </w:r>
    </w:p>
    <w:p>
      <w:pPr>
        <w:spacing w:after="0" w:line="98" w:lineRule="exact"/>
        <w:rPr>
          <w:sz w:val="20"/>
          <w:szCs w:val="20"/>
          <w:color w:val="auto"/>
        </w:rPr>
      </w:pPr>
    </w:p>
    <w:p>
      <w:pPr>
        <w:ind w:left="420" w:right="20" w:firstLine="521"/>
        <w:spacing w:after="0"/>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74" w:lineRule="exact"/>
        <w:rPr>
          <w:sz w:val="20"/>
          <w:szCs w:val="20"/>
          <w:color w:val="auto"/>
        </w:rPr>
      </w:pPr>
    </w:p>
    <w:p>
      <w:pPr>
        <w:ind w:left="420" w:right="80" w:firstLine="521"/>
        <w:spacing w:after="0" w:line="239"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(i) to an institutional investor under Section 274 of the SFA or to a relevant person (as defined in Section 275(2) of the SFA), (ii) where such transfer arises from an offer in that corporation’s securities pursuant to Section 275(1A) of the SFA, (iii) where no consideration is or will be given for the transfer, (iv) where the transfer is by operation of law, (v) as specified in Section 276(7) of the SFA, or (vi) as specified in Regulation 32 of the Securities and Futures (Offers of Investments) (Shares and Debentures) Regulations 2005 of Singapore (Regulation 32).</w:t>
      </w:r>
    </w:p>
    <w:p>
      <w:pPr>
        <w:spacing w:after="0" w:line="177" w:lineRule="exact"/>
        <w:rPr>
          <w:sz w:val="20"/>
          <w:szCs w:val="20"/>
          <w:color w:val="auto"/>
        </w:rPr>
      </w:pPr>
    </w:p>
    <w:p>
      <w:pPr>
        <w:ind w:left="420" w:right="60" w:firstLine="521"/>
        <w:spacing w:after="0" w:line="239"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(i) to an institutional investor under Section 274 of the SFA or to a relevant person (as defined in Section 275(2) of the SFA), (ii)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(iii) where no consideration is or will be given for the transfer, (iv) where the transfer is by operation of law, (v) as specified in Section 276(7) of the SFA, or (vi) as specified in Regulation 32.</w:t>
      </w:r>
    </w:p>
    <w:p>
      <w:pPr>
        <w:spacing w:after="0" w:line="177" w:lineRule="exact"/>
        <w:rPr>
          <w:sz w:val="20"/>
          <w:szCs w:val="20"/>
          <w:color w:val="auto"/>
        </w:rPr>
      </w:pPr>
    </w:p>
    <w:p>
      <w:pPr>
        <w:ind w:left="420" w:right="100" w:firstLine="521"/>
        <w:spacing w:after="0" w:line="247" w:lineRule="auto"/>
        <w:rPr>
          <w:sz w:val="20"/>
          <w:szCs w:val="20"/>
          <w:color w:val="auto"/>
        </w:rPr>
      </w:pPr>
      <w:r>
        <w:rPr>
          <w:rFonts w:ascii="Arial" w:cs="Arial" w:eastAsia="Arial" w:hAnsi="Arial"/>
          <w:sz w:val="17"/>
          <w:szCs w:val="17"/>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0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218</w:t>
      </w:r>
    </w:p>
    <w:p>
      <w:pPr>
        <w:sectPr>
          <w:pgSz w:w="11900" w:h="16838" w:orient="portrait"/>
          <w:cols w:equalWidth="0" w:num="1">
            <w:col w:w="10840"/>
          </w:cols>
          <w:pgMar w:left="320" w:top="439" w:right="7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Japan</w:t>
      </w:r>
    </w:p>
    <w:p>
      <w:pPr>
        <w:spacing w:after="0" w:line="98" w:lineRule="exact"/>
        <w:rPr>
          <w:sz w:val="20"/>
          <w:szCs w:val="20"/>
          <w:color w:val="auto"/>
        </w:rPr>
      </w:pPr>
    </w:p>
    <w:p>
      <w:pPr>
        <w:ind w:left="420" w:right="80" w:firstLine="521"/>
        <w:spacing w:after="0" w:line="244" w:lineRule="auto"/>
        <w:rPr>
          <w:sz w:val="20"/>
          <w:szCs w:val="20"/>
          <w:color w:val="auto"/>
        </w:rPr>
      </w:pPr>
      <w:r>
        <w:rPr>
          <w:rFonts w:ascii="Arial" w:cs="Arial" w:eastAsia="Arial" w:hAnsi="Arial"/>
          <w:sz w:val="17"/>
          <w:szCs w:val="17"/>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7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Australia</w:t>
      </w:r>
    </w:p>
    <w:p>
      <w:pPr>
        <w:spacing w:after="0" w:line="98" w:lineRule="exact"/>
        <w:rPr>
          <w:sz w:val="20"/>
          <w:szCs w:val="20"/>
          <w:color w:val="auto"/>
        </w:rPr>
      </w:pPr>
    </w:p>
    <w:p>
      <w:pPr>
        <w:ind w:left="420" w:right="20" w:firstLine="521"/>
        <w:spacing w:after="0" w:line="244"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(ASIC), in relation to the offering. This offering document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69" w:lineRule="exact"/>
        <w:rPr>
          <w:sz w:val="20"/>
          <w:szCs w:val="20"/>
          <w:color w:val="auto"/>
        </w:rPr>
      </w:pPr>
    </w:p>
    <w:p>
      <w:pPr>
        <w:ind w:left="420" w:right="20" w:firstLine="521"/>
        <w:spacing w:after="0" w:line="247" w:lineRule="auto"/>
        <w:rPr>
          <w:sz w:val="20"/>
          <w:szCs w:val="20"/>
          <w:color w:val="auto"/>
        </w:rPr>
      </w:pPr>
      <w:r>
        <w:rPr>
          <w:rFonts w:ascii="Arial" w:cs="Arial" w:eastAsia="Arial" w:hAnsi="Arial"/>
          <w:sz w:val="17"/>
          <w:szCs w:val="17"/>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66" w:lineRule="exact"/>
        <w:rPr>
          <w:sz w:val="20"/>
          <w:szCs w:val="20"/>
          <w:color w:val="auto"/>
        </w:rPr>
      </w:pPr>
    </w:p>
    <w:p>
      <w:pPr>
        <w:ind w:left="420" w:firstLine="521"/>
        <w:spacing w:after="0" w:line="244"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69" w:lineRule="exact"/>
        <w:rPr>
          <w:sz w:val="20"/>
          <w:szCs w:val="20"/>
          <w:color w:val="auto"/>
        </w:rPr>
      </w:pPr>
    </w:p>
    <w:p>
      <w:pPr>
        <w:ind w:left="420" w:right="60" w:firstLine="521"/>
        <w:spacing w:after="0" w:line="247" w:lineRule="auto"/>
        <w:rPr>
          <w:sz w:val="20"/>
          <w:szCs w:val="20"/>
          <w:color w:val="auto"/>
        </w:rPr>
      </w:pPr>
      <w:r>
        <w:rPr>
          <w:rFonts w:ascii="Arial" w:cs="Arial" w:eastAsia="Arial" w:hAnsi="Arial"/>
          <w:sz w:val="17"/>
          <w:szCs w:val="17"/>
          <w:color w:val="auto"/>
        </w:rPr>
        <w:t>This offering document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offering document is appropriate to their needs, objectives, and circumstances, and, if necessary, seek expert advice on those matters.</w:t>
      </w:r>
    </w:p>
    <w:p>
      <w:pPr>
        <w:spacing w:after="0" w:line="26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Dubai International Financial Centre</w:t>
      </w:r>
    </w:p>
    <w:p>
      <w:pPr>
        <w:spacing w:after="0" w:line="98" w:lineRule="exact"/>
        <w:rPr>
          <w:sz w:val="20"/>
          <w:szCs w:val="20"/>
          <w:color w:val="auto"/>
        </w:rPr>
      </w:pPr>
    </w:p>
    <w:p>
      <w:pPr>
        <w:ind w:left="420" w:right="80" w:firstLine="521"/>
        <w:spacing w:after="0"/>
        <w:rPr>
          <w:sz w:val="20"/>
          <w:szCs w:val="20"/>
          <w:color w:val="auto"/>
        </w:rPr>
      </w:pPr>
      <w:r>
        <w:rPr>
          <w:rFonts w:ascii="Arial" w:cs="Arial" w:eastAsia="Arial" w:hAnsi="Arial"/>
          <w:sz w:val="17"/>
          <w:szCs w:val="17"/>
          <w:color w:val="auto"/>
        </w:rPr>
        <w:t>This offering document relates to an Exempt Offer in accordance with the Offered Securities Rules of the Dubai Financial Services Authority (DFSA). This offering document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in this prospectus and has no responsibility for the offering document. The securities to which this offering document relates may be illiquid and/or subject to restrictions on their resale. Prospective purchasers of the securities offered should conduct their own due diligence on the securities. If you do not understand the contents of this offering document. you should consult an authorized financial advisor.</w:t>
      </w:r>
    </w:p>
    <w:p>
      <w:pPr>
        <w:spacing w:after="0" w:line="11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219</w:t>
      </w:r>
    </w:p>
    <w:p>
      <w:pPr>
        <w:sectPr>
          <w:pgSz w:w="11900" w:h="16838" w:orient="portrait"/>
          <w:cols w:equalWidth="0" w:num="1">
            <w:col w:w="10800"/>
          </w:cols>
          <w:pgMar w:left="320" w:top="439" w:right="77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Switzerland</w:t>
      </w:r>
    </w:p>
    <w:p>
      <w:pPr>
        <w:spacing w:after="0" w:line="98" w:lineRule="exact"/>
        <w:rPr>
          <w:sz w:val="20"/>
          <w:szCs w:val="20"/>
          <w:color w:val="auto"/>
        </w:rPr>
      </w:pPr>
    </w:p>
    <w:p>
      <w:pPr>
        <w:ind w:left="420" w:firstLine="521"/>
        <w:spacing w:after="0" w:line="242" w:lineRule="auto"/>
        <w:rPr>
          <w:sz w:val="20"/>
          <w:szCs w:val="20"/>
          <w:color w:val="auto"/>
        </w:rPr>
      </w:pPr>
      <w:r>
        <w:rPr>
          <w:rFonts w:ascii="Arial" w:cs="Arial" w:eastAsia="Arial" w:hAnsi="Arial"/>
          <w:sz w:val="17"/>
          <w:szCs w:val="17"/>
          <w:color w:val="auto"/>
        </w:rPr>
        <w:t>This offering document is not intended to constitute an offer or solicitation to purchase or invest in the shares of our common stock. The shares of common stock may not be publicly offered, directly or indirectly, in Switzerland within the meaning of the Swiss Financial Services Act (FinSA), and no application has or will be made to admit the shares of common stock to trading on any trading venue (exchange or multilateral trading facility) in Switzerland. Neither this offering document nor any other offering or marketing material relating to the shares of common stock constitutes a prospectus pursuant to the FinSA, and neither this offering document nor any other offering or marketing material relating to the shares of common stock may be publicly distributed or otherwise made publicly available in Switzerland.</w:t>
      </w:r>
    </w:p>
    <w:p>
      <w:pPr>
        <w:spacing w:after="0" w:line="172" w:lineRule="exact"/>
        <w:rPr>
          <w:sz w:val="20"/>
          <w:szCs w:val="20"/>
          <w:color w:val="auto"/>
        </w:rPr>
      </w:pPr>
    </w:p>
    <w:p>
      <w:pPr>
        <w:ind w:left="420" w:right="80" w:firstLine="521"/>
        <w:spacing w:after="0" w:line="244" w:lineRule="auto"/>
        <w:rPr>
          <w:sz w:val="20"/>
          <w:szCs w:val="20"/>
          <w:color w:val="auto"/>
        </w:rPr>
      </w:pPr>
      <w:r>
        <w:rPr>
          <w:rFonts w:ascii="Arial" w:cs="Arial" w:eastAsia="Arial" w:hAnsi="Arial"/>
          <w:sz w:val="17"/>
          <w:szCs w:val="17"/>
          <w:color w:val="auto"/>
        </w:rPr>
        <w:t>Neither this offering document nor any other offering or marketing material relating to the offering, us or the securities have been or will be filed with or approved by any Swiss regulatory authority. In particular, this offering document will not be filed with, and the offer of securities will not be supervised by, the Swiss Financial Market Supervisory Authority, or the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105"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220</w:t>
      </w:r>
    </w:p>
    <w:p>
      <w:pPr>
        <w:sectPr>
          <w:pgSz w:w="11900" w:h="16838" w:orient="portrait"/>
          <w:cols w:equalWidth="0" w:num="1">
            <w:col w:w="10840"/>
          </w:cols>
          <w:pgMar w:left="320" w:top="439" w:right="7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LEGAL MATTERS</w:t>
      </w:r>
    </w:p>
    <w:p>
      <w:pPr>
        <w:spacing w:after="0" w:line="201" w:lineRule="exact"/>
        <w:rPr>
          <w:sz w:val="20"/>
          <w:szCs w:val="20"/>
          <w:color w:val="auto"/>
        </w:rPr>
      </w:pPr>
    </w:p>
    <w:p>
      <w:pPr>
        <w:ind w:left="420" w:right="580" w:firstLine="521"/>
        <w:spacing w:after="0" w:line="270" w:lineRule="auto"/>
        <w:rPr>
          <w:sz w:val="20"/>
          <w:szCs w:val="20"/>
          <w:color w:val="auto"/>
        </w:rPr>
      </w:pPr>
      <w:r>
        <w:rPr>
          <w:rFonts w:ascii="Arial" w:cs="Arial" w:eastAsia="Arial" w:hAnsi="Arial"/>
          <w:sz w:val="17"/>
          <w:szCs w:val="17"/>
          <w:color w:val="auto"/>
        </w:rPr>
        <w:t>The validity of the shares of common stock offered hereby will be passed upon for us by Latham &amp; Watkins LLP, San Diego, California. The underwriters are being represented by Cooley LLP, San Diego, California.</w:t>
      </w:r>
    </w:p>
    <w:p>
      <w:pPr>
        <w:spacing w:after="0" w:line="352"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EXPERTS</w:t>
      </w:r>
    </w:p>
    <w:p>
      <w:pPr>
        <w:spacing w:after="0" w:line="201" w:lineRule="exact"/>
        <w:rPr>
          <w:sz w:val="20"/>
          <w:szCs w:val="20"/>
          <w:color w:val="auto"/>
        </w:rPr>
      </w:pPr>
    </w:p>
    <w:p>
      <w:pPr>
        <w:ind w:left="420" w:right="160" w:firstLine="521"/>
        <w:spacing w:after="0" w:line="247" w:lineRule="auto"/>
        <w:rPr>
          <w:sz w:val="20"/>
          <w:szCs w:val="20"/>
          <w:color w:val="auto"/>
        </w:rPr>
      </w:pPr>
      <w:r>
        <w:rPr>
          <w:rFonts w:ascii="Arial" w:cs="Arial" w:eastAsia="Arial" w:hAnsi="Arial"/>
          <w:sz w:val="17"/>
          <w:szCs w:val="17"/>
          <w:color w:val="auto"/>
        </w:rPr>
        <w:t>The financial statements of Boundless Bio, Inc. as of December 31, 2022 and 2023, and for each of the years in the two-year period ended December 31, 2023, have been included herein and in the registration statement in reliance upon the report of KPMG LLP, independent registered public accounting firm, appearing elsewhere herein, and upon the authority of said firm as experts in accounting and auditing.</w:t>
      </w:r>
    </w:p>
    <w:p>
      <w:pPr>
        <w:spacing w:after="0" w:line="371"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WHERE YOU CAN FIND MORE INFORMATION</w:t>
      </w:r>
    </w:p>
    <w:p>
      <w:pPr>
        <w:spacing w:after="0" w:line="201" w:lineRule="exact"/>
        <w:rPr>
          <w:sz w:val="20"/>
          <w:szCs w:val="20"/>
          <w:color w:val="auto"/>
        </w:rPr>
      </w:pPr>
    </w:p>
    <w:p>
      <w:pPr>
        <w:ind w:left="420" w:firstLine="521"/>
        <w:spacing w:after="0" w:line="241"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our common stock offered hereby. This prospectus, which constitutes a part of the registration statement, does not contain all of the information set forth in the registration statement or the exhibits and schedules filed therewith. For further information about us and the common stock offered hereby, we refer you to the registration statement and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172" w:lineRule="exact"/>
        <w:rPr>
          <w:sz w:val="20"/>
          <w:szCs w:val="20"/>
          <w:color w:val="auto"/>
        </w:rPr>
      </w:pPr>
    </w:p>
    <w:p>
      <w:pPr>
        <w:ind w:left="420" w:right="120" w:firstLine="521"/>
        <w:spacing w:after="0" w:line="244" w:lineRule="auto"/>
        <w:rPr>
          <w:sz w:val="20"/>
          <w:szCs w:val="20"/>
          <w:color w:val="auto"/>
        </w:rPr>
      </w:pPr>
      <w:r>
        <w:rPr>
          <w:rFonts w:ascii="Arial" w:cs="Arial" w:eastAsia="Arial" w:hAnsi="Arial"/>
          <w:sz w:val="17"/>
          <w:szCs w:val="17"/>
          <w:color w:val="auto"/>
        </w:rPr>
        <w:t>We are not currently subject to the information and periodic and current reporting requirements of the Exchange Act. Upon the closing of this offering, we will become subject to the information and periodic and current reporting requirements of the Exchange Act and, in accordance therewith, will file periodic reports, proxy statements, and other information with the SEC. The SEC maintains a website at www.sec.gov that contains reports, proxy statements, and other information regarding companies that file electronically with it. Our periodic and current reports, proxy statements and other information will be available at www.sec.gov.</w:t>
      </w:r>
    </w:p>
    <w:p>
      <w:pPr>
        <w:spacing w:after="0" w:line="169" w:lineRule="exact"/>
        <w:rPr>
          <w:sz w:val="20"/>
          <w:szCs w:val="20"/>
          <w:color w:val="auto"/>
        </w:rPr>
      </w:pPr>
    </w:p>
    <w:p>
      <w:pPr>
        <w:ind w:left="420" w:right="40" w:firstLine="521"/>
        <w:spacing w:after="0" w:line="241" w:lineRule="auto"/>
        <w:rPr>
          <w:sz w:val="20"/>
          <w:szCs w:val="20"/>
          <w:color w:val="auto"/>
        </w:rPr>
      </w:pPr>
      <w:r>
        <w:rPr>
          <w:rFonts w:ascii="Arial" w:cs="Arial" w:eastAsia="Arial" w:hAnsi="Arial"/>
          <w:sz w:val="17"/>
          <w:szCs w:val="17"/>
          <w:color w:val="auto"/>
        </w:rPr>
        <w:t>We also maintain a website at www.boundlessbio.com. Upon the closing of this offering, you may access our proxy statements, annual reports on Form 10-K, quarterly reports on Form 10-Q, current reports on Form 8-K, and amendments to those reports filed or furnished pursuant to Section 13(a) or 15(d) of the Exchange Act with the SEC free of charge at our website as soon as reasonably practicable after such material is electronically filed with, or furnished to, the SEC. The reference to our website address does not constitute incorporation by reference of the information contained on our website, and you should not consider the contents of our website in making an investment decision with respect to our common stock. We have included our website address in this prospectus solely as an inactive textual reference.</w:t>
      </w:r>
    </w:p>
    <w:p>
      <w:pPr>
        <w:spacing w:after="0" w:line="10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221</w:t>
      </w:r>
    </w:p>
    <w:p>
      <w:pPr>
        <w:sectPr>
          <w:pgSz w:w="11900" w:h="16838" w:orient="portrait"/>
          <w:cols w:equalWidth="0" w:num="1">
            <w:col w:w="10820"/>
          </w:cols>
          <w:pgMar w:left="320" w:top="439" w:right="7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BOUNDLESS BIO, INC.</w:t>
      </w:r>
    </w:p>
    <w:p>
      <w:pPr>
        <w:spacing w:after="0" w:line="12"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INDEX TO FINANCIAL STATEMENTS</w:t>
      </w:r>
    </w:p>
    <w:p>
      <w:pPr>
        <w:spacing w:after="0" w:line="217" w:lineRule="exact"/>
        <w:rPr>
          <w:sz w:val="20"/>
          <w:szCs w:val="20"/>
          <w:color w:val="auto"/>
        </w:rPr>
      </w:pPr>
    </w:p>
    <w:tbl>
      <w:tblPr>
        <w:tblLayout w:type="fixed"/>
        <w:tblInd w:w="420" w:type="dxa"/>
        <w:tblCellMar>
          <w:top w:w="0" w:type="dxa"/>
          <w:left w:w="0" w:type="dxa"/>
          <w:bottom w:w="0" w:type="dxa"/>
          <w:right w:w="0" w:type="dxa"/>
        </w:tblCellMar>
      </w:tblPr>
      <w:tr>
        <w:trPr>
          <w:trHeight w:val="163"/>
        </w:trPr>
        <w:tc>
          <w:tcPr>
            <w:tcW w:w="10040" w:type="dxa"/>
            <w:vAlign w:val="bottom"/>
            <w:gridSpan w:val="7"/>
            <w:vMerge w:val="restart"/>
          </w:tcPr>
          <w:p>
            <w:pPr>
              <w:spacing w:after="0"/>
              <w:rPr>
                <w:sz w:val="20"/>
                <w:szCs w:val="20"/>
                <w:color w:val="auto"/>
              </w:rPr>
            </w:pPr>
            <w:r>
              <w:rPr>
                <w:rFonts w:ascii="Arial" w:cs="Arial" w:eastAsia="Arial" w:hAnsi="Arial"/>
                <w:sz w:val="17"/>
                <w:szCs w:val="17"/>
                <w:b w:val="1"/>
                <w:bCs w:val="1"/>
                <w:color w:val="auto"/>
              </w:rPr>
              <w:t>Audited Financial Statements: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5"/>
        </w:trPr>
        <w:tc>
          <w:tcPr>
            <w:tcW w:w="10040" w:type="dxa"/>
            <w:vAlign w:val="bottom"/>
            <w:gridSpan w:val="7"/>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040" w:type="dxa"/>
            <w:vAlign w:val="bottom"/>
            <w:gridSpan w:val="7"/>
          </w:tcPr>
          <w:p>
            <w:pPr>
              <w:spacing w:after="0" w:line="183" w:lineRule="exact"/>
              <w:rPr>
                <w:sz w:val="20"/>
                <w:szCs w:val="20"/>
                <w:color w:val="auto"/>
              </w:rPr>
            </w:pPr>
            <w:r>
              <w:rPr>
                <w:rFonts w:ascii="Arial" w:cs="Arial" w:eastAsia="Arial" w:hAnsi="Arial"/>
                <w:sz w:val="17"/>
                <w:szCs w:val="17"/>
                <w:color w:val="0000EE"/>
              </w:rPr>
              <w:t>Report of Independent Registered Public Accounting Firm</w:t>
            </w:r>
          </w:p>
        </w:tc>
        <w:tc>
          <w:tcPr>
            <w:tcW w:w="320" w:type="dxa"/>
            <w:vAlign w:val="bottom"/>
          </w:tcPr>
          <w:p>
            <w:pPr>
              <w:jc w:val="right"/>
              <w:spacing w:after="0" w:line="183" w:lineRule="exact"/>
              <w:rPr>
                <w:sz w:val="20"/>
                <w:szCs w:val="20"/>
                <w:color w:val="auto"/>
              </w:rPr>
            </w:pPr>
            <w:r>
              <w:rPr>
                <w:rFonts w:ascii="Arial" w:cs="Arial" w:eastAsia="Arial" w:hAnsi="Arial"/>
                <w:sz w:val="17"/>
                <w:szCs w:val="17"/>
                <w:color w:val="auto"/>
              </w:rPr>
              <w:t>F-2</w:t>
            </w:r>
          </w:p>
        </w:tc>
        <w:tc>
          <w:tcPr>
            <w:tcW w:w="0" w:type="dxa"/>
            <w:vAlign w:val="bottom"/>
          </w:tcPr>
          <w:p>
            <w:pPr>
              <w:spacing w:after="0"/>
              <w:rPr>
                <w:sz w:val="1"/>
                <w:szCs w:val="1"/>
                <w:color w:val="auto"/>
              </w:rPr>
            </w:pPr>
          </w:p>
        </w:tc>
      </w:tr>
      <w:tr>
        <w:trPr>
          <w:trHeight w:val="172"/>
        </w:trPr>
        <w:tc>
          <w:tcPr>
            <w:tcW w:w="4340" w:type="dxa"/>
            <w:vAlign w:val="bottom"/>
            <w:tcBorders>
              <w:top w:val="single" w:sz="8" w:color="0000EE"/>
            </w:tcBorders>
            <w:gridSpan w:val="5"/>
          </w:tcPr>
          <w:p>
            <w:pPr>
              <w:spacing w:after="0" w:line="172" w:lineRule="exact"/>
              <w:rPr>
                <w:sz w:val="20"/>
                <w:szCs w:val="20"/>
                <w:color w:val="auto"/>
              </w:rPr>
            </w:pPr>
            <w:r>
              <w:rPr>
                <w:rFonts w:ascii="Arial" w:cs="Arial" w:eastAsia="Arial" w:hAnsi="Arial"/>
                <w:sz w:val="17"/>
                <w:szCs w:val="17"/>
                <w:color w:val="0000EE"/>
              </w:rPr>
              <w:t>Balance Sheets</w:t>
            </w:r>
          </w:p>
        </w:tc>
        <w:tc>
          <w:tcPr>
            <w:tcW w:w="7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20" w:type="dxa"/>
            <w:vAlign w:val="bottom"/>
          </w:tcPr>
          <w:p>
            <w:pPr>
              <w:jc w:val="right"/>
              <w:spacing w:after="0" w:line="172" w:lineRule="exact"/>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172"/>
        </w:trPr>
        <w:tc>
          <w:tcPr>
            <w:tcW w:w="1180" w:type="dxa"/>
            <w:vAlign w:val="bottom"/>
            <w:tcBorders>
              <w:top w:val="single" w:sz="8" w:color="0000EE"/>
            </w:tcBorders>
          </w:tcPr>
          <w:p>
            <w:pPr>
              <w:spacing w:after="0" w:line="172" w:lineRule="exact"/>
              <w:rPr>
                <w:sz w:val="20"/>
                <w:szCs w:val="20"/>
                <w:color w:val="auto"/>
              </w:rPr>
            </w:pPr>
            <w:r>
              <w:rPr>
                <w:rFonts w:ascii="Arial" w:cs="Arial" w:eastAsia="Arial" w:hAnsi="Arial"/>
                <w:sz w:val="17"/>
                <w:szCs w:val="17"/>
                <w:color w:val="0000EE"/>
              </w:rPr>
              <w:t>Statements of</w:t>
            </w:r>
          </w:p>
        </w:tc>
        <w:tc>
          <w:tcPr>
            <w:tcW w:w="8860" w:type="dxa"/>
            <w:vAlign w:val="bottom"/>
            <w:gridSpan w:val="6"/>
          </w:tcPr>
          <w:p>
            <w:pPr>
              <w:spacing w:after="0" w:line="172" w:lineRule="exact"/>
              <w:rPr>
                <w:sz w:val="20"/>
                <w:szCs w:val="20"/>
                <w:color w:val="auto"/>
              </w:rPr>
            </w:pPr>
            <w:r>
              <w:rPr>
                <w:rFonts w:ascii="Arial" w:cs="Arial" w:eastAsia="Arial" w:hAnsi="Arial"/>
                <w:sz w:val="17"/>
                <w:szCs w:val="17"/>
                <w:color w:val="0000EE"/>
              </w:rPr>
              <w:t>Operations and Comprehensive Loss</w:t>
            </w:r>
          </w:p>
        </w:tc>
        <w:tc>
          <w:tcPr>
            <w:tcW w:w="320" w:type="dxa"/>
            <w:vAlign w:val="bottom"/>
          </w:tcPr>
          <w:p>
            <w:pPr>
              <w:jc w:val="right"/>
              <w:spacing w:after="0" w:line="172" w:lineRule="exact"/>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20"/>
        </w:trPr>
        <w:tc>
          <w:tcPr>
            <w:tcW w:w="19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vMerge w:val="restart"/>
          </w:tcPr>
          <w:p>
            <w:pPr>
              <w:jc w:val="right"/>
              <w:spacing w:after="0" w:line="192" w:lineRule="exact"/>
              <w:rPr>
                <w:sz w:val="20"/>
                <w:szCs w:val="20"/>
                <w:color w:val="auto"/>
              </w:rPr>
            </w:pPr>
            <w:r>
              <w:rPr>
                <w:rFonts w:ascii="Arial" w:cs="Arial" w:eastAsia="Arial" w:hAnsi="Arial"/>
                <w:sz w:val="17"/>
                <w:szCs w:val="17"/>
                <w:color w:val="auto"/>
              </w:rPr>
              <w:t>F-5</w:t>
            </w:r>
          </w:p>
        </w:tc>
        <w:tc>
          <w:tcPr>
            <w:tcW w:w="0" w:type="dxa"/>
            <w:vAlign w:val="bottom"/>
          </w:tcPr>
          <w:p>
            <w:pPr>
              <w:spacing w:after="0" w:line="20" w:lineRule="exact"/>
              <w:rPr>
                <w:sz w:val="1"/>
                <w:szCs w:val="1"/>
                <w:color w:val="auto"/>
              </w:rPr>
            </w:pPr>
          </w:p>
        </w:tc>
      </w:tr>
      <w:tr>
        <w:trPr>
          <w:trHeight w:val="172"/>
        </w:trPr>
        <w:tc>
          <w:tcPr>
            <w:tcW w:w="10040" w:type="dxa"/>
            <w:vAlign w:val="bottom"/>
            <w:gridSpan w:val="7"/>
          </w:tcPr>
          <w:p>
            <w:pPr>
              <w:spacing w:after="0" w:line="172" w:lineRule="exact"/>
              <w:rPr>
                <w:sz w:val="20"/>
                <w:szCs w:val="20"/>
                <w:color w:val="auto"/>
              </w:rPr>
            </w:pPr>
            <w:r>
              <w:rPr>
                <w:rFonts w:ascii="Arial" w:cs="Arial" w:eastAsia="Arial" w:hAnsi="Arial"/>
                <w:sz w:val="17"/>
                <w:szCs w:val="17"/>
                <w:color w:val="0000EE"/>
              </w:rPr>
              <w:t>Statements of Convertible Preferred Stock and Stockholders’ Deficit</w:t>
            </w:r>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980" w:type="dxa"/>
            <w:vAlign w:val="bottom"/>
            <w:tcBorders>
              <w:top w:val="single" w:sz="8" w:color="0000EE"/>
              <w:bottom w:val="single" w:sz="8" w:color="0000EE"/>
            </w:tcBorders>
            <w:gridSpan w:val="2"/>
          </w:tcPr>
          <w:p>
            <w:pPr>
              <w:spacing w:after="0" w:line="172" w:lineRule="exact"/>
              <w:rPr>
                <w:sz w:val="20"/>
                <w:szCs w:val="20"/>
                <w:color w:val="auto"/>
              </w:rPr>
            </w:pPr>
            <w:r>
              <w:rPr>
                <w:rFonts w:ascii="Arial" w:cs="Arial" w:eastAsia="Arial" w:hAnsi="Arial"/>
                <w:sz w:val="17"/>
                <w:szCs w:val="17"/>
                <w:color w:val="0000EE"/>
                <w:w w:val="98"/>
              </w:rPr>
              <w:t>Statements of Cash Flows</w:t>
            </w:r>
          </w:p>
        </w:tc>
        <w:tc>
          <w:tcPr>
            <w:tcW w:w="3120" w:type="dxa"/>
            <w:vAlign w:val="bottom"/>
            <w:tcBorders>
              <w:top w:val="single" w:sz="8" w:color="0000EE"/>
            </w:tcBorders>
            <w:gridSpan w:val="4"/>
          </w:tcPr>
          <w:p>
            <w:pPr>
              <w:spacing w:after="0"/>
              <w:rPr>
                <w:sz w:val="14"/>
                <w:szCs w:val="14"/>
                <w:color w:val="auto"/>
              </w:rPr>
            </w:pPr>
          </w:p>
        </w:tc>
        <w:tc>
          <w:tcPr>
            <w:tcW w:w="4940" w:type="dxa"/>
            <w:vAlign w:val="bottom"/>
          </w:tcPr>
          <w:p>
            <w:pPr>
              <w:spacing w:after="0"/>
              <w:rPr>
                <w:sz w:val="14"/>
                <w:szCs w:val="14"/>
                <w:color w:val="auto"/>
              </w:rPr>
            </w:pPr>
          </w:p>
        </w:tc>
        <w:tc>
          <w:tcPr>
            <w:tcW w:w="320" w:type="dxa"/>
            <w:vAlign w:val="bottom"/>
          </w:tcPr>
          <w:p>
            <w:pPr>
              <w:jc w:val="right"/>
              <w:spacing w:after="0" w:line="172" w:lineRule="exact"/>
              <w:rPr>
                <w:sz w:val="20"/>
                <w:szCs w:val="20"/>
                <w:color w:val="auto"/>
              </w:rPr>
            </w:pPr>
            <w:r>
              <w:rPr>
                <w:rFonts w:ascii="Arial" w:cs="Arial" w:eastAsia="Arial" w:hAnsi="Arial"/>
                <w:sz w:val="17"/>
                <w:szCs w:val="17"/>
                <w:color w:val="auto"/>
              </w:rPr>
              <w:t>F-6</w:t>
            </w:r>
          </w:p>
        </w:tc>
        <w:tc>
          <w:tcPr>
            <w:tcW w:w="0" w:type="dxa"/>
            <w:vAlign w:val="bottom"/>
          </w:tcPr>
          <w:p>
            <w:pPr>
              <w:spacing w:after="0"/>
              <w:rPr>
                <w:sz w:val="1"/>
                <w:szCs w:val="1"/>
                <w:color w:val="auto"/>
              </w:rPr>
            </w:pPr>
          </w:p>
        </w:tc>
      </w:tr>
      <w:tr>
        <w:trPr>
          <w:trHeight w:val="172"/>
        </w:trPr>
        <w:tc>
          <w:tcPr>
            <w:tcW w:w="10040" w:type="dxa"/>
            <w:vAlign w:val="bottom"/>
            <w:gridSpan w:val="7"/>
          </w:tcPr>
          <w:p>
            <w:pPr>
              <w:spacing w:after="0" w:line="172" w:lineRule="exact"/>
              <w:rPr>
                <w:sz w:val="20"/>
                <w:szCs w:val="20"/>
                <w:color w:val="auto"/>
              </w:rPr>
            </w:pPr>
            <w:r>
              <w:rPr>
                <w:rFonts w:ascii="Arial" w:cs="Arial" w:eastAsia="Arial" w:hAnsi="Arial"/>
                <w:sz w:val="17"/>
                <w:szCs w:val="17"/>
                <w:color w:val="0000EE"/>
              </w:rPr>
              <w:t>Notes to Financial Statements</w:t>
            </w:r>
          </w:p>
        </w:tc>
        <w:tc>
          <w:tcPr>
            <w:tcW w:w="320" w:type="dxa"/>
            <w:vAlign w:val="bottom"/>
          </w:tcPr>
          <w:p>
            <w:pPr>
              <w:jc w:val="right"/>
              <w:spacing w:after="0" w:line="172" w:lineRule="exact"/>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353"/>
        </w:trPr>
        <w:tc>
          <w:tcPr>
            <w:tcW w:w="118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00" w:type="dxa"/>
            <w:vAlign w:val="bottom"/>
            <w:gridSpan w:val="2"/>
          </w:tcPr>
          <w:p>
            <w:pPr>
              <w:ind w:left="740"/>
              <w:spacing w:after="0"/>
              <w:rPr>
                <w:sz w:val="20"/>
                <w:szCs w:val="20"/>
                <w:color w:val="auto"/>
              </w:rPr>
            </w:pPr>
            <w:r>
              <w:rPr>
                <w:rFonts w:ascii="Arial" w:cs="Arial" w:eastAsia="Arial" w:hAnsi="Arial"/>
                <w:sz w:val="17"/>
                <w:szCs w:val="17"/>
                <w:color w:val="auto"/>
              </w:rPr>
              <w:t>F-1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320" w:top="439" w:right="7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32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30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To the Stockholders and Board of Directors</w:t>
      </w:r>
    </w:p>
    <w:p>
      <w:pPr>
        <w:spacing w:after="0" w:line="1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Boundless Bio, Inc.:</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Opinion on the Financial Statements</w:t>
      </w:r>
    </w:p>
    <w:p>
      <w:pPr>
        <w:spacing w:after="0" w:line="199" w:lineRule="exact"/>
        <w:rPr>
          <w:sz w:val="20"/>
          <w:szCs w:val="20"/>
          <w:color w:val="auto"/>
        </w:rPr>
      </w:pPr>
    </w:p>
    <w:p>
      <w:pPr>
        <w:ind w:left="420" w:right="20"/>
        <w:spacing w:after="0" w:line="244" w:lineRule="auto"/>
        <w:rPr>
          <w:sz w:val="20"/>
          <w:szCs w:val="20"/>
          <w:color w:val="auto"/>
        </w:rPr>
      </w:pPr>
      <w:r>
        <w:rPr>
          <w:rFonts w:ascii="Arial" w:cs="Arial" w:eastAsia="Arial" w:hAnsi="Arial"/>
          <w:sz w:val="17"/>
          <w:szCs w:val="17"/>
          <w:color w:val="auto"/>
        </w:rPr>
        <w:t>We have audited the accompanying balance sheets of Boundless Bio, Inc. (the Company) as of December 31, 2022 and 2023, the related statements of operations and comprehensive loss, convertible preferred stock and stockholders’ deficit, and cash flows for the years then ended, and the related notes (collectively, the financial statements). In our opinion, the financial statements present fairly, in all material respects, the financial position of the Company as of December 31, 2022 and 2023, and the results of its operations and its cash flows for the years then ended, in conformity with U.S. generally accepted accounting principles.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Basis for Opinion</w:t>
      </w:r>
    </w:p>
    <w:p>
      <w:pPr>
        <w:spacing w:after="0" w:line="199" w:lineRule="exact"/>
        <w:rPr>
          <w:sz w:val="20"/>
          <w:szCs w:val="20"/>
          <w:color w:val="auto"/>
        </w:rPr>
      </w:pPr>
    </w:p>
    <w:p>
      <w:pPr>
        <w:ind w:left="420"/>
        <w:spacing w:after="0" w:line="247"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6" w:lineRule="exact"/>
        <w:rPr>
          <w:sz w:val="20"/>
          <w:szCs w:val="20"/>
          <w:color w:val="auto"/>
        </w:rPr>
      </w:pPr>
    </w:p>
    <w:p>
      <w:pPr>
        <w:ind w:left="420"/>
        <w:spacing w:after="0" w:line="24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 KPMG LLP</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have served as the Company’s auditor since 2018.</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San Diego, California</w:t>
      </w:r>
    </w:p>
    <w:p>
      <w:pPr>
        <w:spacing w:after="0" w:line="1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March 6, 2024, except for the third paragraph of Note 14, as to which the date is March 21, 2024.</w:t>
      </w:r>
    </w:p>
    <w:p>
      <w:pPr>
        <w:spacing w:after="0" w:line="12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0820"/>
          </w:cols>
          <w:pgMar w:left="320" w:top="439" w:right="7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Boundless Bio, Inc.</w:t>
      </w:r>
    </w:p>
    <w:p>
      <w:pPr>
        <w:spacing w:after="0" w:line="20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Balance Sheets</w:t>
      </w:r>
    </w:p>
    <w:p>
      <w:pPr>
        <w:spacing w:after="0" w:line="12"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(in thousands, except par value, share data, and liquidation value)</w:t>
      </w:r>
    </w:p>
    <w:p>
      <w:pPr>
        <w:spacing w:after="0" w:line="217" w:lineRule="exact"/>
        <w:rPr>
          <w:sz w:val="20"/>
          <w:szCs w:val="20"/>
          <w:color w:val="auto"/>
        </w:rPr>
      </w:pPr>
    </w:p>
    <w:tbl>
      <w:tblPr>
        <w:tblLayout w:type="fixed"/>
        <w:tblInd w:w="420" w:type="dxa"/>
        <w:tblCellMar>
          <w:top w:w="0" w:type="dxa"/>
          <w:left w:w="0" w:type="dxa"/>
          <w:bottom w:w="0" w:type="dxa"/>
          <w:right w:w="0" w:type="dxa"/>
        </w:tblCellMar>
      </w:tblPr>
      <w:tr>
        <w:trPr>
          <w:trHeight w:val="163"/>
        </w:trPr>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76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96"/>
              <w:spacing w:after="0" w:line="146"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96"/>
              <w:spacing w:after="0" w:line="146" w:lineRule="exact"/>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680" w:type="dxa"/>
            <w:vAlign w:val="bottom"/>
            <w:shd w:val="clear" w:color="auto" w:fill="CCEEFF"/>
          </w:tcPr>
          <w:p>
            <w:pPr>
              <w:spacing w:after="0" w:line="172" w:lineRule="exact"/>
              <w:rPr>
                <w:sz w:val="20"/>
                <w:szCs w:val="20"/>
                <w:color w:val="auto"/>
              </w:rPr>
            </w:pPr>
            <w:r>
              <w:rPr>
                <w:rFonts w:ascii="Arial" w:cs="Arial" w:eastAsia="Arial" w:hAnsi="Arial"/>
                <w:sz w:val="17"/>
                <w:szCs w:val="17"/>
                <w:b w:val="1"/>
                <w:bCs w:val="1"/>
                <w:color w:val="auto"/>
              </w:rPr>
              <w:t>Assets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680" w:type="dxa"/>
            <w:vAlign w:val="bottom"/>
          </w:tcPr>
          <w:p>
            <w:pPr>
              <w:spacing w:after="0" w:line="192" w:lineRule="exact"/>
              <w:rPr>
                <w:sz w:val="20"/>
                <w:szCs w:val="20"/>
                <w:color w:val="auto"/>
              </w:rPr>
            </w:pPr>
            <w:r>
              <w:rPr>
                <w:rFonts w:ascii="Arial" w:cs="Arial" w:eastAsia="Arial" w:hAnsi="Arial"/>
                <w:sz w:val="17"/>
                <w:szCs w:val="17"/>
                <w:color w:val="auto"/>
              </w:rPr>
              <w:t>Current assets: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680" w:type="dxa"/>
            <w:vAlign w:val="bottom"/>
            <w:shd w:val="clear" w:color="auto" w:fill="CCEEFF"/>
          </w:tcPr>
          <w:p>
            <w:pPr>
              <w:ind w:left="340"/>
              <w:spacing w:after="0" w:line="192" w:lineRule="exact"/>
              <w:rPr>
                <w:sz w:val="20"/>
                <w:szCs w:val="20"/>
                <w:color w:val="auto"/>
              </w:rPr>
            </w:pPr>
            <w:r>
              <w:rPr>
                <w:rFonts w:ascii="Arial" w:cs="Arial" w:eastAsia="Arial" w:hAnsi="Arial"/>
                <w:sz w:val="17"/>
                <w:szCs w:val="17"/>
                <w:color w:val="auto"/>
              </w:rPr>
              <w:t>Cash and cash equivalents</w:t>
            </w:r>
          </w:p>
        </w:tc>
        <w:tc>
          <w:tcPr>
            <w:tcW w:w="140" w:type="dxa"/>
            <w:vAlign w:val="bottom"/>
            <w:gridSpan w:val="2"/>
            <w:shd w:val="clear" w:color="auto" w:fill="CCEEFF"/>
          </w:tcPr>
          <w:p>
            <w:pPr>
              <w:spacing w:after="0" w:line="192" w:lineRule="exact"/>
              <w:rPr>
                <w:sz w:val="20"/>
                <w:szCs w:val="20"/>
                <w:color w:val="auto"/>
              </w:rPr>
            </w:pPr>
            <w:r>
              <w:rPr>
                <w:rFonts w:ascii="Arial" w:cs="Arial" w:eastAsia="Arial" w:hAnsi="Arial"/>
                <w:sz w:val="17"/>
                <w:szCs w:val="17"/>
                <w:color w:val="auto"/>
                <w:w w:val="92"/>
              </w:rPr>
              <w:t> $</w:t>
            </w:r>
          </w:p>
        </w:tc>
        <w:tc>
          <w:tcPr>
            <w:tcW w:w="1700" w:type="dxa"/>
            <w:vAlign w:val="bottom"/>
            <w:gridSpan w:val="3"/>
            <w:shd w:val="clear" w:color="auto" w:fill="CCEEFF"/>
          </w:tcPr>
          <w:p>
            <w:pPr>
              <w:jc w:val="right"/>
              <w:spacing w:after="0" w:line="192" w:lineRule="exact"/>
              <w:rPr>
                <w:sz w:val="20"/>
                <w:szCs w:val="20"/>
                <w:color w:val="auto"/>
              </w:rPr>
            </w:pPr>
            <w:r>
              <w:rPr>
                <w:rFonts w:ascii="Arial" w:cs="Arial" w:eastAsia="Arial" w:hAnsi="Arial"/>
                <w:sz w:val="17"/>
                <w:szCs w:val="17"/>
                <w:color w:val="auto"/>
              </w:rPr>
              <w:t xml:space="preserve">         10,951      $    </w:t>
            </w:r>
          </w:p>
        </w:tc>
        <w:tc>
          <w:tcPr>
            <w:tcW w:w="90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w w:val="95"/>
              </w:rPr>
              <w:t>   23,706   </w:t>
            </w:r>
          </w:p>
        </w:tc>
        <w:tc>
          <w:tcPr>
            <w:tcW w:w="0" w:type="dxa"/>
            <w:vAlign w:val="bottom"/>
          </w:tcPr>
          <w:p>
            <w:pPr>
              <w:spacing w:after="0"/>
              <w:rPr>
                <w:sz w:val="1"/>
                <w:szCs w:val="1"/>
                <w:color w:val="auto"/>
              </w:rPr>
            </w:pPr>
          </w:p>
        </w:tc>
      </w:tr>
      <w:tr>
        <w:trPr>
          <w:trHeight w:val="192"/>
        </w:trPr>
        <w:tc>
          <w:tcPr>
            <w:tcW w:w="7680" w:type="dxa"/>
            <w:vAlign w:val="bottom"/>
          </w:tcPr>
          <w:p>
            <w:pPr>
              <w:ind w:left="340"/>
              <w:spacing w:after="0" w:line="192" w:lineRule="exact"/>
              <w:rPr>
                <w:sz w:val="20"/>
                <w:szCs w:val="20"/>
                <w:color w:val="auto"/>
              </w:rPr>
            </w:pPr>
            <w:r>
              <w:rPr>
                <w:rFonts w:ascii="Arial" w:cs="Arial" w:eastAsia="Arial" w:hAnsi="Arial"/>
                <w:sz w:val="17"/>
                <w:szCs w:val="17"/>
                <w:color w:val="auto"/>
              </w:rPr>
              <w:t>Short-term investments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3"/>
          </w:tcPr>
          <w:p>
            <w:pPr>
              <w:jc w:val="right"/>
              <w:ind w:right="395"/>
              <w:spacing w:after="0" w:line="192" w:lineRule="exact"/>
              <w:rPr>
                <w:sz w:val="20"/>
                <w:szCs w:val="20"/>
                <w:color w:val="auto"/>
              </w:rPr>
            </w:pPr>
            <w:r>
              <w:rPr>
                <w:rFonts w:ascii="Arial" w:cs="Arial" w:eastAsia="Arial" w:hAnsi="Arial"/>
                <w:sz w:val="17"/>
                <w:szCs w:val="17"/>
                <w:color w:val="auto"/>
              </w:rPr>
              <w:t>55,766    </w:t>
            </w:r>
          </w:p>
        </w:tc>
        <w:tc>
          <w:tcPr>
            <w:tcW w:w="90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97,046   </w:t>
            </w:r>
          </w:p>
        </w:tc>
        <w:tc>
          <w:tcPr>
            <w:tcW w:w="0" w:type="dxa"/>
            <w:vAlign w:val="bottom"/>
          </w:tcPr>
          <w:p>
            <w:pPr>
              <w:spacing w:after="0"/>
              <w:rPr>
                <w:sz w:val="1"/>
                <w:szCs w:val="1"/>
                <w:color w:val="auto"/>
              </w:rPr>
            </w:pPr>
          </w:p>
        </w:tc>
      </w:tr>
      <w:tr>
        <w:trPr>
          <w:trHeight w:val="192"/>
        </w:trPr>
        <w:tc>
          <w:tcPr>
            <w:tcW w:w="7680" w:type="dxa"/>
            <w:vAlign w:val="bottom"/>
            <w:shd w:val="clear" w:color="auto" w:fill="CCEEFF"/>
          </w:tcPr>
          <w:p>
            <w:pPr>
              <w:ind w:left="340"/>
              <w:spacing w:after="0" w:line="192" w:lineRule="exact"/>
              <w:rPr>
                <w:sz w:val="20"/>
                <w:szCs w:val="20"/>
                <w:color w:val="auto"/>
              </w:rPr>
            </w:pPr>
            <w:r>
              <w:rPr>
                <w:rFonts w:ascii="Arial" w:cs="Arial" w:eastAsia="Arial" w:hAnsi="Arial"/>
                <w:sz w:val="17"/>
                <w:szCs w:val="17"/>
                <w:color w:val="auto"/>
              </w:rPr>
              <w:t>Prepaid expenses and other current assets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00" w:type="dxa"/>
            <w:vAlign w:val="bottom"/>
            <w:gridSpan w:val="3"/>
            <w:shd w:val="clear" w:color="auto" w:fill="CCEEFF"/>
          </w:tcPr>
          <w:p>
            <w:pPr>
              <w:jc w:val="right"/>
              <w:ind w:right="395"/>
              <w:spacing w:after="0" w:line="192" w:lineRule="exact"/>
              <w:rPr>
                <w:sz w:val="20"/>
                <w:szCs w:val="20"/>
                <w:color w:val="auto"/>
              </w:rPr>
            </w:pPr>
            <w:r>
              <w:rPr>
                <w:rFonts w:ascii="Arial" w:cs="Arial" w:eastAsia="Arial" w:hAnsi="Arial"/>
                <w:sz w:val="17"/>
                <w:szCs w:val="17"/>
                <w:color w:val="auto"/>
              </w:rPr>
              <w:t>1,320    </w:t>
            </w:r>
          </w:p>
        </w:tc>
        <w:tc>
          <w:tcPr>
            <w:tcW w:w="90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3,452   </w:t>
            </w:r>
          </w:p>
        </w:tc>
        <w:tc>
          <w:tcPr>
            <w:tcW w:w="0" w:type="dxa"/>
            <w:vAlign w:val="bottom"/>
          </w:tcPr>
          <w:p>
            <w:pPr>
              <w:spacing w:after="0"/>
              <w:rPr>
                <w:sz w:val="1"/>
                <w:szCs w:val="1"/>
                <w:color w:val="auto"/>
              </w:rPr>
            </w:pPr>
          </w:p>
        </w:tc>
      </w:tr>
      <w:tr>
        <w:trPr>
          <w:trHeight w:val="197"/>
        </w:trPr>
        <w:tc>
          <w:tcPr>
            <w:tcW w:w="7680" w:type="dxa"/>
            <w:vAlign w:val="bottom"/>
          </w:tcPr>
          <w:p>
            <w:pPr>
              <w:ind w:left="680"/>
              <w:spacing w:after="0"/>
              <w:rPr>
                <w:sz w:val="20"/>
                <w:szCs w:val="20"/>
                <w:color w:val="auto"/>
              </w:rPr>
            </w:pPr>
            <w:r>
              <w:rPr>
                <w:rFonts w:ascii="Arial" w:cs="Arial" w:eastAsia="Arial" w:hAnsi="Arial"/>
                <w:sz w:val="17"/>
                <w:szCs w:val="17"/>
                <w:color w:val="auto"/>
              </w:rPr>
              <w:t>Total current assets</w:t>
            </w: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68,037    </w:t>
            </w:r>
          </w:p>
        </w:tc>
        <w:tc>
          <w:tcPr>
            <w:tcW w:w="1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124,204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68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Property and equipment, net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00" w:type="dxa"/>
            <w:vAlign w:val="bottom"/>
            <w:gridSpan w:val="3"/>
            <w:shd w:val="clear" w:color="auto" w:fill="CCEEFF"/>
          </w:tcPr>
          <w:p>
            <w:pPr>
              <w:jc w:val="right"/>
              <w:ind w:right="395"/>
              <w:spacing w:after="0" w:line="192" w:lineRule="exact"/>
              <w:rPr>
                <w:sz w:val="20"/>
                <w:szCs w:val="20"/>
                <w:color w:val="auto"/>
              </w:rPr>
            </w:pPr>
            <w:r>
              <w:rPr>
                <w:rFonts w:ascii="Arial" w:cs="Arial" w:eastAsia="Arial" w:hAnsi="Arial"/>
                <w:sz w:val="17"/>
                <w:szCs w:val="17"/>
                <w:color w:val="auto"/>
              </w:rPr>
              <w:t>2,922    </w:t>
            </w:r>
          </w:p>
        </w:tc>
        <w:tc>
          <w:tcPr>
            <w:tcW w:w="90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2,573   </w:t>
            </w:r>
          </w:p>
        </w:tc>
        <w:tc>
          <w:tcPr>
            <w:tcW w:w="0" w:type="dxa"/>
            <w:vAlign w:val="bottom"/>
          </w:tcPr>
          <w:p>
            <w:pPr>
              <w:spacing w:after="0"/>
              <w:rPr>
                <w:sz w:val="1"/>
                <w:szCs w:val="1"/>
                <w:color w:val="auto"/>
              </w:rPr>
            </w:pPr>
          </w:p>
        </w:tc>
      </w:tr>
      <w:tr>
        <w:trPr>
          <w:trHeight w:val="192"/>
        </w:trPr>
        <w:tc>
          <w:tcPr>
            <w:tcW w:w="7680" w:type="dxa"/>
            <w:vAlign w:val="bottom"/>
          </w:tcPr>
          <w:p>
            <w:pPr>
              <w:spacing w:after="0" w:line="192" w:lineRule="exact"/>
              <w:rPr>
                <w:sz w:val="20"/>
                <w:szCs w:val="20"/>
                <w:color w:val="auto"/>
              </w:rPr>
            </w:pPr>
            <w:r>
              <w:rPr>
                <w:rFonts w:ascii="Arial" w:cs="Arial" w:eastAsia="Arial" w:hAnsi="Arial"/>
                <w:sz w:val="17"/>
                <w:szCs w:val="17"/>
                <w:color w:val="auto"/>
              </w:rPr>
              <w:t>Right-of-use asset, net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3"/>
          </w:tcPr>
          <w:p>
            <w:pPr>
              <w:jc w:val="right"/>
              <w:ind w:right="395"/>
              <w:spacing w:after="0" w:line="192" w:lineRule="exact"/>
              <w:rPr>
                <w:sz w:val="20"/>
                <w:szCs w:val="20"/>
                <w:color w:val="auto"/>
              </w:rPr>
            </w:pPr>
            <w:r>
              <w:rPr>
                <w:rFonts w:ascii="Arial" w:cs="Arial" w:eastAsia="Arial" w:hAnsi="Arial"/>
                <w:sz w:val="17"/>
                <w:szCs w:val="17"/>
                <w:color w:val="auto"/>
              </w:rPr>
              <w:t>4,804    </w:t>
            </w:r>
          </w:p>
        </w:tc>
        <w:tc>
          <w:tcPr>
            <w:tcW w:w="90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2,002   </w:t>
            </w:r>
          </w:p>
        </w:tc>
        <w:tc>
          <w:tcPr>
            <w:tcW w:w="0" w:type="dxa"/>
            <w:vAlign w:val="bottom"/>
          </w:tcPr>
          <w:p>
            <w:pPr>
              <w:spacing w:after="0"/>
              <w:rPr>
                <w:sz w:val="1"/>
                <w:szCs w:val="1"/>
                <w:color w:val="auto"/>
              </w:rPr>
            </w:pPr>
          </w:p>
        </w:tc>
      </w:tr>
      <w:tr>
        <w:trPr>
          <w:trHeight w:val="192"/>
        </w:trPr>
        <w:tc>
          <w:tcPr>
            <w:tcW w:w="768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Restricted cash</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00" w:type="dxa"/>
            <w:vAlign w:val="bottom"/>
            <w:gridSpan w:val="3"/>
            <w:shd w:val="clear" w:color="auto" w:fill="CCEEFF"/>
          </w:tcPr>
          <w:p>
            <w:pPr>
              <w:jc w:val="right"/>
              <w:ind w:right="395"/>
              <w:spacing w:after="0" w:line="192" w:lineRule="exact"/>
              <w:rPr>
                <w:sz w:val="20"/>
                <w:szCs w:val="20"/>
                <w:color w:val="auto"/>
              </w:rPr>
            </w:pPr>
            <w:r>
              <w:rPr>
                <w:rFonts w:ascii="Arial" w:cs="Arial" w:eastAsia="Arial" w:hAnsi="Arial"/>
                <w:sz w:val="17"/>
                <w:szCs w:val="17"/>
                <w:color w:val="auto"/>
              </w:rPr>
              <w:t>533    </w:t>
            </w:r>
          </w:p>
        </w:tc>
        <w:tc>
          <w:tcPr>
            <w:tcW w:w="90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560   </w:t>
            </w:r>
          </w:p>
        </w:tc>
        <w:tc>
          <w:tcPr>
            <w:tcW w:w="0" w:type="dxa"/>
            <w:vAlign w:val="bottom"/>
          </w:tcPr>
          <w:p>
            <w:pPr>
              <w:spacing w:after="0"/>
              <w:rPr>
                <w:sz w:val="1"/>
                <w:szCs w:val="1"/>
                <w:color w:val="auto"/>
              </w:rPr>
            </w:pPr>
          </w:p>
        </w:tc>
      </w:tr>
      <w:tr>
        <w:trPr>
          <w:trHeight w:val="192"/>
        </w:trPr>
        <w:tc>
          <w:tcPr>
            <w:tcW w:w="7680" w:type="dxa"/>
            <w:vAlign w:val="bottom"/>
          </w:tcPr>
          <w:p>
            <w:pPr>
              <w:spacing w:after="0" w:line="192" w:lineRule="exact"/>
              <w:rPr>
                <w:sz w:val="20"/>
                <w:szCs w:val="20"/>
                <w:color w:val="auto"/>
              </w:rPr>
            </w:pPr>
            <w:r>
              <w:rPr>
                <w:rFonts w:ascii="Arial" w:cs="Arial" w:eastAsia="Arial" w:hAnsi="Arial"/>
                <w:sz w:val="17"/>
                <w:szCs w:val="17"/>
                <w:color w:val="auto"/>
              </w:rPr>
              <w:t>Other assets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3"/>
          </w:tcPr>
          <w:p>
            <w:pPr>
              <w:jc w:val="right"/>
              <w:ind w:right="395"/>
              <w:spacing w:after="0" w:line="192" w:lineRule="exact"/>
              <w:rPr>
                <w:sz w:val="20"/>
                <w:szCs w:val="20"/>
                <w:color w:val="auto"/>
              </w:rPr>
            </w:pPr>
            <w:r>
              <w:rPr>
                <w:rFonts w:ascii="Arial" w:cs="Arial" w:eastAsia="Arial" w:hAnsi="Arial"/>
                <w:sz w:val="17"/>
                <w:szCs w:val="17"/>
                <w:color w:val="auto"/>
              </w:rPr>
              <w:t>533    </w:t>
            </w:r>
          </w:p>
        </w:tc>
        <w:tc>
          <w:tcPr>
            <w:tcW w:w="90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555   </w:t>
            </w:r>
          </w:p>
        </w:tc>
        <w:tc>
          <w:tcPr>
            <w:tcW w:w="0" w:type="dxa"/>
            <w:vAlign w:val="bottom"/>
          </w:tcPr>
          <w:p>
            <w:pPr>
              <w:spacing w:after="0"/>
              <w:rPr>
                <w:sz w:val="1"/>
                <w:szCs w:val="1"/>
                <w:color w:val="auto"/>
              </w:rPr>
            </w:pPr>
          </w:p>
        </w:tc>
      </w:tr>
      <w:tr>
        <w:trPr>
          <w:trHeight w:val="26"/>
        </w:trPr>
        <w:tc>
          <w:tcPr>
            <w:tcW w:w="7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680" w:type="dxa"/>
            <w:vAlign w:val="bottom"/>
            <w:shd w:val="clear" w:color="auto" w:fill="CCEEFF"/>
          </w:tcPr>
          <w:p>
            <w:pPr>
              <w:ind w:left="680"/>
              <w:spacing w:after="0" w:line="192" w:lineRule="exact"/>
              <w:rPr>
                <w:sz w:val="20"/>
                <w:szCs w:val="20"/>
                <w:color w:val="auto"/>
              </w:rPr>
            </w:pPr>
            <w:r>
              <w:rPr>
                <w:rFonts w:ascii="Arial" w:cs="Arial" w:eastAsia="Arial" w:hAnsi="Arial"/>
                <w:sz w:val="17"/>
                <w:szCs w:val="17"/>
                <w:color w:val="auto"/>
              </w:rPr>
              <w:t>Total assets</w:t>
            </w:r>
          </w:p>
        </w:tc>
        <w:tc>
          <w:tcPr>
            <w:tcW w:w="140" w:type="dxa"/>
            <w:vAlign w:val="bottom"/>
            <w:gridSpan w:val="2"/>
            <w:shd w:val="clear" w:color="auto" w:fill="CCEEFF"/>
          </w:tcPr>
          <w:p>
            <w:pPr>
              <w:spacing w:after="0" w:line="192" w:lineRule="exact"/>
              <w:rPr>
                <w:sz w:val="20"/>
                <w:szCs w:val="20"/>
                <w:color w:val="auto"/>
              </w:rPr>
            </w:pPr>
            <w:r>
              <w:rPr>
                <w:rFonts w:ascii="Arial" w:cs="Arial" w:eastAsia="Arial" w:hAnsi="Arial"/>
                <w:sz w:val="17"/>
                <w:szCs w:val="17"/>
                <w:color w:val="auto"/>
                <w:w w:val="92"/>
              </w:rPr>
              <w:t> $</w:t>
            </w:r>
          </w:p>
        </w:tc>
        <w:tc>
          <w:tcPr>
            <w:tcW w:w="1700" w:type="dxa"/>
            <w:vAlign w:val="bottom"/>
            <w:gridSpan w:val="3"/>
            <w:shd w:val="clear" w:color="auto" w:fill="CCEEFF"/>
          </w:tcPr>
          <w:p>
            <w:pPr>
              <w:jc w:val="right"/>
              <w:ind w:right="215"/>
              <w:spacing w:after="0" w:line="192" w:lineRule="exact"/>
              <w:rPr>
                <w:sz w:val="20"/>
                <w:szCs w:val="20"/>
                <w:color w:val="auto"/>
              </w:rPr>
            </w:pPr>
            <w:r>
              <w:rPr>
                <w:rFonts w:ascii="Arial" w:cs="Arial" w:eastAsia="Arial" w:hAnsi="Arial"/>
                <w:sz w:val="17"/>
                <w:szCs w:val="17"/>
                <w:color w:val="auto"/>
              </w:rPr>
              <w:t>76,829      $</w:t>
            </w:r>
          </w:p>
        </w:tc>
        <w:tc>
          <w:tcPr>
            <w:tcW w:w="90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129,894   </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7"/>
                <w:szCs w:val="17"/>
                <w:b w:val="1"/>
                <w:bCs w:val="1"/>
                <w:color w:val="auto"/>
              </w:rPr>
              <w:t>Liabilities, convertible preferred stock, and stockholders’ deficit</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68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Current liabilities: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680" w:type="dxa"/>
            <w:vAlign w:val="bottom"/>
          </w:tcPr>
          <w:p>
            <w:pPr>
              <w:ind w:left="160"/>
              <w:spacing w:after="0" w:line="192" w:lineRule="exact"/>
              <w:rPr>
                <w:sz w:val="20"/>
                <w:szCs w:val="20"/>
                <w:color w:val="auto"/>
              </w:rPr>
            </w:pPr>
            <w:r>
              <w:rPr>
                <w:rFonts w:ascii="Arial" w:cs="Arial" w:eastAsia="Arial" w:hAnsi="Arial"/>
                <w:sz w:val="17"/>
                <w:szCs w:val="17"/>
                <w:color w:val="auto"/>
              </w:rPr>
              <w:t>Accounts payable and accrued liabilities</w:t>
            </w:r>
          </w:p>
        </w:tc>
        <w:tc>
          <w:tcPr>
            <w:tcW w:w="140" w:type="dxa"/>
            <w:vAlign w:val="bottom"/>
            <w:gridSpan w:val="2"/>
          </w:tcPr>
          <w:p>
            <w:pPr>
              <w:spacing w:after="0" w:line="192" w:lineRule="exact"/>
              <w:rPr>
                <w:sz w:val="20"/>
                <w:szCs w:val="20"/>
                <w:color w:val="auto"/>
              </w:rPr>
            </w:pPr>
            <w:r>
              <w:rPr>
                <w:rFonts w:ascii="Arial" w:cs="Arial" w:eastAsia="Arial" w:hAnsi="Arial"/>
                <w:sz w:val="17"/>
                <w:szCs w:val="17"/>
                <w:color w:val="auto"/>
                <w:w w:val="92"/>
              </w:rPr>
              <w:t> $</w:t>
            </w:r>
          </w:p>
        </w:tc>
        <w:tc>
          <w:tcPr>
            <w:tcW w:w="1700" w:type="dxa"/>
            <w:vAlign w:val="bottom"/>
            <w:gridSpan w:val="3"/>
          </w:tcPr>
          <w:p>
            <w:pPr>
              <w:jc w:val="right"/>
              <w:ind w:right="215"/>
              <w:spacing w:after="0" w:line="192" w:lineRule="exact"/>
              <w:rPr>
                <w:sz w:val="20"/>
                <w:szCs w:val="20"/>
                <w:color w:val="auto"/>
              </w:rPr>
            </w:pPr>
            <w:r>
              <w:rPr>
                <w:rFonts w:ascii="Arial" w:cs="Arial" w:eastAsia="Arial" w:hAnsi="Arial"/>
                <w:sz w:val="17"/>
                <w:szCs w:val="17"/>
                <w:color w:val="auto"/>
              </w:rPr>
              <w:t>2,838      $</w:t>
            </w:r>
          </w:p>
        </w:tc>
        <w:tc>
          <w:tcPr>
            <w:tcW w:w="90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4,266   </w:t>
            </w:r>
          </w:p>
        </w:tc>
        <w:tc>
          <w:tcPr>
            <w:tcW w:w="0" w:type="dxa"/>
            <w:vAlign w:val="bottom"/>
          </w:tcPr>
          <w:p>
            <w:pPr>
              <w:spacing w:after="0"/>
              <w:rPr>
                <w:sz w:val="1"/>
                <w:szCs w:val="1"/>
                <w:color w:val="auto"/>
              </w:rPr>
            </w:pPr>
          </w:p>
        </w:tc>
      </w:tr>
      <w:tr>
        <w:trPr>
          <w:trHeight w:val="192"/>
        </w:trPr>
        <w:tc>
          <w:tcPr>
            <w:tcW w:w="7680" w:type="dxa"/>
            <w:vAlign w:val="bottom"/>
            <w:shd w:val="clear" w:color="auto" w:fill="CCEEFF"/>
          </w:tcPr>
          <w:p>
            <w:pPr>
              <w:ind w:left="160"/>
              <w:spacing w:after="0" w:line="192" w:lineRule="exact"/>
              <w:rPr>
                <w:sz w:val="20"/>
                <w:szCs w:val="20"/>
                <w:color w:val="auto"/>
              </w:rPr>
            </w:pPr>
            <w:r>
              <w:rPr>
                <w:rFonts w:ascii="Arial" w:cs="Arial" w:eastAsia="Arial" w:hAnsi="Arial"/>
                <w:sz w:val="17"/>
                <w:szCs w:val="17"/>
                <w:color w:val="auto"/>
              </w:rPr>
              <w:t>Accrued compensation</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00" w:type="dxa"/>
            <w:vAlign w:val="bottom"/>
            <w:gridSpan w:val="3"/>
            <w:shd w:val="clear" w:color="auto" w:fill="CCEEFF"/>
          </w:tcPr>
          <w:p>
            <w:pPr>
              <w:jc w:val="right"/>
              <w:ind w:right="395"/>
              <w:spacing w:after="0" w:line="192" w:lineRule="exact"/>
              <w:rPr>
                <w:sz w:val="20"/>
                <w:szCs w:val="20"/>
                <w:color w:val="auto"/>
              </w:rPr>
            </w:pPr>
            <w:r>
              <w:rPr>
                <w:rFonts w:ascii="Arial" w:cs="Arial" w:eastAsia="Arial" w:hAnsi="Arial"/>
                <w:sz w:val="17"/>
                <w:szCs w:val="17"/>
                <w:color w:val="auto"/>
              </w:rPr>
              <w:t>2,459    </w:t>
            </w:r>
          </w:p>
        </w:tc>
        <w:tc>
          <w:tcPr>
            <w:tcW w:w="90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2,898   </w:t>
            </w:r>
          </w:p>
        </w:tc>
        <w:tc>
          <w:tcPr>
            <w:tcW w:w="0" w:type="dxa"/>
            <w:vAlign w:val="bottom"/>
          </w:tcPr>
          <w:p>
            <w:pPr>
              <w:spacing w:after="0"/>
              <w:rPr>
                <w:sz w:val="1"/>
                <w:szCs w:val="1"/>
                <w:color w:val="auto"/>
              </w:rPr>
            </w:pPr>
          </w:p>
        </w:tc>
      </w:tr>
      <w:tr>
        <w:trPr>
          <w:trHeight w:val="192"/>
        </w:trPr>
        <w:tc>
          <w:tcPr>
            <w:tcW w:w="7680" w:type="dxa"/>
            <w:vAlign w:val="bottom"/>
          </w:tcPr>
          <w:p>
            <w:pPr>
              <w:ind w:left="160"/>
              <w:spacing w:after="0" w:line="192" w:lineRule="exact"/>
              <w:rPr>
                <w:sz w:val="20"/>
                <w:szCs w:val="20"/>
                <w:color w:val="auto"/>
              </w:rPr>
            </w:pPr>
            <w:r>
              <w:rPr>
                <w:rFonts w:ascii="Arial" w:cs="Arial" w:eastAsia="Arial" w:hAnsi="Arial"/>
                <w:sz w:val="17"/>
                <w:szCs w:val="17"/>
                <w:color w:val="auto"/>
              </w:rPr>
              <w:t>Lease liabilities, current portion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3"/>
          </w:tcPr>
          <w:p>
            <w:pPr>
              <w:jc w:val="right"/>
              <w:ind w:right="395"/>
              <w:spacing w:after="0" w:line="192" w:lineRule="exact"/>
              <w:rPr>
                <w:sz w:val="20"/>
                <w:szCs w:val="20"/>
                <w:color w:val="auto"/>
              </w:rPr>
            </w:pPr>
            <w:r>
              <w:rPr>
                <w:rFonts w:ascii="Arial" w:cs="Arial" w:eastAsia="Arial" w:hAnsi="Arial"/>
                <w:sz w:val="17"/>
                <w:szCs w:val="17"/>
                <w:color w:val="auto"/>
              </w:rPr>
              <w:t>2,338    </w:t>
            </w:r>
          </w:p>
        </w:tc>
        <w:tc>
          <w:tcPr>
            <w:tcW w:w="90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2,195   </w:t>
            </w:r>
          </w:p>
        </w:tc>
        <w:tc>
          <w:tcPr>
            <w:tcW w:w="0" w:type="dxa"/>
            <w:vAlign w:val="bottom"/>
          </w:tcPr>
          <w:p>
            <w:pPr>
              <w:spacing w:after="0"/>
              <w:rPr>
                <w:sz w:val="1"/>
                <w:szCs w:val="1"/>
                <w:color w:val="auto"/>
              </w:rPr>
            </w:pPr>
          </w:p>
        </w:tc>
      </w:tr>
      <w:tr>
        <w:trPr>
          <w:trHeight w:val="192"/>
        </w:trPr>
        <w:tc>
          <w:tcPr>
            <w:tcW w:w="7680" w:type="dxa"/>
            <w:vAlign w:val="bottom"/>
            <w:shd w:val="clear" w:color="auto" w:fill="CCEEFF"/>
          </w:tcPr>
          <w:p>
            <w:pPr>
              <w:ind w:left="160"/>
              <w:spacing w:after="0" w:line="192" w:lineRule="exact"/>
              <w:rPr>
                <w:sz w:val="20"/>
                <w:szCs w:val="20"/>
                <w:color w:val="auto"/>
              </w:rPr>
            </w:pPr>
            <w:r>
              <w:rPr>
                <w:rFonts w:ascii="Arial" w:cs="Arial" w:eastAsia="Arial" w:hAnsi="Arial"/>
                <w:sz w:val="17"/>
                <w:szCs w:val="17"/>
                <w:color w:val="auto"/>
              </w:rPr>
              <w:t>Unvested common stock</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00" w:type="dxa"/>
            <w:vAlign w:val="bottom"/>
            <w:gridSpan w:val="3"/>
            <w:shd w:val="clear" w:color="auto" w:fill="CCEEFF"/>
          </w:tcPr>
          <w:p>
            <w:pPr>
              <w:jc w:val="right"/>
              <w:ind w:right="395"/>
              <w:spacing w:after="0" w:line="192" w:lineRule="exact"/>
              <w:rPr>
                <w:sz w:val="20"/>
                <w:szCs w:val="20"/>
                <w:color w:val="auto"/>
              </w:rPr>
            </w:pPr>
            <w:r>
              <w:rPr>
                <w:rFonts w:ascii="Arial" w:cs="Arial" w:eastAsia="Arial" w:hAnsi="Arial"/>
                <w:sz w:val="17"/>
                <w:szCs w:val="17"/>
                <w:color w:val="auto"/>
              </w:rPr>
              <w:t>93    </w:t>
            </w:r>
          </w:p>
        </w:tc>
        <w:tc>
          <w:tcPr>
            <w:tcW w:w="90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197"/>
        </w:trPr>
        <w:tc>
          <w:tcPr>
            <w:tcW w:w="7680" w:type="dxa"/>
            <w:vAlign w:val="bottom"/>
          </w:tcPr>
          <w:p>
            <w:pPr>
              <w:ind w:left="680"/>
              <w:spacing w:after="0"/>
              <w:rPr>
                <w:sz w:val="20"/>
                <w:szCs w:val="20"/>
                <w:color w:val="auto"/>
              </w:rPr>
            </w:pPr>
            <w:r>
              <w:rPr>
                <w:rFonts w:ascii="Arial" w:cs="Arial" w:eastAsia="Arial" w:hAnsi="Arial"/>
                <w:sz w:val="17"/>
                <w:szCs w:val="17"/>
                <w:color w:val="auto"/>
              </w:rPr>
              <w:t>Total current liabilities</w:t>
            </w: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7,728    </w:t>
            </w:r>
          </w:p>
        </w:tc>
        <w:tc>
          <w:tcPr>
            <w:tcW w:w="1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9,359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68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Lease liabilities, non-current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00" w:type="dxa"/>
            <w:vAlign w:val="bottom"/>
            <w:gridSpan w:val="3"/>
            <w:shd w:val="clear" w:color="auto" w:fill="CCEEFF"/>
          </w:tcPr>
          <w:p>
            <w:pPr>
              <w:jc w:val="right"/>
              <w:ind w:right="395"/>
              <w:spacing w:after="0" w:line="192" w:lineRule="exact"/>
              <w:rPr>
                <w:sz w:val="20"/>
                <w:szCs w:val="20"/>
                <w:color w:val="auto"/>
              </w:rPr>
            </w:pPr>
            <w:r>
              <w:rPr>
                <w:rFonts w:ascii="Arial" w:cs="Arial" w:eastAsia="Arial" w:hAnsi="Arial"/>
                <w:sz w:val="17"/>
                <w:szCs w:val="17"/>
                <w:color w:val="auto"/>
              </w:rPr>
              <w:t>2,845    </w:t>
            </w:r>
          </w:p>
        </w:tc>
        <w:tc>
          <w:tcPr>
            <w:tcW w:w="90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192"/>
        </w:trPr>
        <w:tc>
          <w:tcPr>
            <w:tcW w:w="7680" w:type="dxa"/>
            <w:vAlign w:val="bottom"/>
          </w:tcPr>
          <w:p>
            <w:pPr>
              <w:spacing w:after="0" w:line="192" w:lineRule="exact"/>
              <w:rPr>
                <w:sz w:val="20"/>
                <w:szCs w:val="20"/>
                <w:color w:val="auto"/>
              </w:rPr>
            </w:pPr>
            <w:r>
              <w:rPr>
                <w:rFonts w:ascii="Arial" w:cs="Arial" w:eastAsia="Arial" w:hAnsi="Arial"/>
                <w:sz w:val="17"/>
                <w:szCs w:val="17"/>
                <w:color w:val="auto"/>
              </w:rPr>
              <w:t>Unvested common stock, non-current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3"/>
          </w:tcPr>
          <w:p>
            <w:pPr>
              <w:jc w:val="right"/>
              <w:ind w:right="395"/>
              <w:spacing w:after="0" w:line="192" w:lineRule="exact"/>
              <w:rPr>
                <w:sz w:val="20"/>
                <w:szCs w:val="20"/>
                <w:color w:val="auto"/>
              </w:rPr>
            </w:pPr>
            <w:r>
              <w:rPr>
                <w:rFonts w:ascii="Arial" w:cs="Arial" w:eastAsia="Arial" w:hAnsi="Arial"/>
                <w:sz w:val="17"/>
                <w:szCs w:val="17"/>
                <w:color w:val="auto"/>
              </w:rPr>
              <w:t>6    </w:t>
            </w:r>
          </w:p>
        </w:tc>
        <w:tc>
          <w:tcPr>
            <w:tcW w:w="90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6"/>
        </w:trPr>
        <w:tc>
          <w:tcPr>
            <w:tcW w:w="7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680" w:type="dxa"/>
            <w:vAlign w:val="bottom"/>
            <w:shd w:val="clear" w:color="auto" w:fill="CCEEFF"/>
          </w:tcPr>
          <w:p>
            <w:pPr>
              <w:ind w:left="680"/>
              <w:spacing w:after="0" w:line="192" w:lineRule="exact"/>
              <w:rPr>
                <w:sz w:val="20"/>
                <w:szCs w:val="20"/>
                <w:color w:val="auto"/>
              </w:rPr>
            </w:pPr>
            <w:r>
              <w:rPr>
                <w:rFonts w:ascii="Arial" w:cs="Arial" w:eastAsia="Arial" w:hAnsi="Arial"/>
                <w:sz w:val="17"/>
                <w:szCs w:val="17"/>
                <w:color w:val="auto"/>
              </w:rPr>
              <w:t>Total liabilities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00" w:type="dxa"/>
            <w:vAlign w:val="bottom"/>
            <w:gridSpan w:val="3"/>
            <w:shd w:val="clear" w:color="auto" w:fill="CCEEFF"/>
          </w:tcPr>
          <w:p>
            <w:pPr>
              <w:jc w:val="right"/>
              <w:ind w:right="395"/>
              <w:spacing w:after="0" w:line="192" w:lineRule="exact"/>
              <w:rPr>
                <w:sz w:val="20"/>
                <w:szCs w:val="20"/>
                <w:color w:val="auto"/>
              </w:rPr>
            </w:pPr>
            <w:r>
              <w:rPr>
                <w:rFonts w:ascii="Arial" w:cs="Arial" w:eastAsia="Arial" w:hAnsi="Arial"/>
                <w:sz w:val="17"/>
                <w:szCs w:val="17"/>
                <w:color w:val="auto"/>
              </w:rPr>
              <w:t>10,579    </w:t>
            </w:r>
          </w:p>
        </w:tc>
        <w:tc>
          <w:tcPr>
            <w:tcW w:w="90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9,359   </w:t>
            </w:r>
          </w:p>
        </w:tc>
        <w:tc>
          <w:tcPr>
            <w:tcW w:w="0" w:type="dxa"/>
            <w:vAlign w:val="bottom"/>
          </w:tcPr>
          <w:p>
            <w:pPr>
              <w:spacing w:after="0"/>
              <w:rPr>
                <w:sz w:val="1"/>
                <w:szCs w:val="1"/>
                <w:color w:val="auto"/>
              </w:rPr>
            </w:pPr>
          </w:p>
        </w:tc>
      </w:tr>
      <w:tr>
        <w:trPr>
          <w:trHeight w:val="197"/>
        </w:trPr>
        <w:tc>
          <w:tcPr>
            <w:tcW w:w="7680" w:type="dxa"/>
            <w:vAlign w:val="bottom"/>
          </w:tcPr>
          <w:p>
            <w:pPr>
              <w:spacing w:after="0"/>
              <w:rPr>
                <w:sz w:val="20"/>
                <w:szCs w:val="20"/>
                <w:color w:val="auto"/>
              </w:rPr>
            </w:pPr>
            <w:r>
              <w:rPr>
                <w:rFonts w:ascii="Arial" w:cs="Arial" w:eastAsia="Arial" w:hAnsi="Arial"/>
                <w:sz w:val="17"/>
                <w:szCs w:val="17"/>
                <w:color w:val="auto"/>
              </w:rPr>
              <w:t>Commitments and contingencies (Note 8)</w:t>
            </w: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CEEFF"/>
          </w:tcPr>
          <w:p>
            <w:pPr>
              <w:spacing w:after="0" w:line="175" w:lineRule="exact"/>
              <w:rPr>
                <w:sz w:val="20"/>
                <w:szCs w:val="20"/>
                <w:color w:val="auto"/>
              </w:rPr>
            </w:pPr>
            <w:r>
              <w:rPr>
                <w:rFonts w:ascii="Arial" w:cs="Arial" w:eastAsia="Arial" w:hAnsi="Arial"/>
                <w:sz w:val="17"/>
                <w:szCs w:val="17"/>
                <w:color w:val="auto"/>
              </w:rPr>
              <w:t>Convertible preferred stock, $0.0001 par value; 144,589,706 shares authorized, issued and</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680" w:type="dxa"/>
            <w:vAlign w:val="bottom"/>
            <w:shd w:val="clear" w:color="auto" w:fill="CCEEFF"/>
          </w:tcPr>
          <w:p>
            <w:pPr>
              <w:ind w:left="160"/>
              <w:spacing w:after="0" w:line="192" w:lineRule="exact"/>
              <w:rPr>
                <w:sz w:val="20"/>
                <w:szCs w:val="20"/>
                <w:color w:val="auto"/>
              </w:rPr>
            </w:pPr>
            <w:r>
              <w:rPr>
                <w:rFonts w:ascii="Arial" w:cs="Arial" w:eastAsia="Arial" w:hAnsi="Arial"/>
                <w:sz w:val="17"/>
                <w:szCs w:val="17"/>
                <w:color w:val="auto"/>
              </w:rPr>
              <w:t>outstanding as of December 31, 2022; 287,446,844 shares authorized, issued and outstanding as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680" w:type="dxa"/>
            <w:vAlign w:val="bottom"/>
            <w:shd w:val="clear" w:color="auto" w:fill="CCEEFF"/>
          </w:tcPr>
          <w:p>
            <w:pPr>
              <w:ind w:left="160"/>
              <w:spacing w:after="0" w:line="192" w:lineRule="exact"/>
              <w:rPr>
                <w:sz w:val="20"/>
                <w:szCs w:val="20"/>
                <w:color w:val="auto"/>
              </w:rPr>
            </w:pPr>
            <w:r>
              <w:rPr>
                <w:rFonts w:ascii="Arial" w:cs="Arial" w:eastAsia="Arial" w:hAnsi="Arial"/>
                <w:sz w:val="17"/>
                <w:szCs w:val="17"/>
                <w:color w:val="auto"/>
              </w:rPr>
              <w:t>of December 31, 2023; liquidation preference of $152.1 million and $252.1 million as of</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December 31, 2022 and 2023, respectively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395"/>
              <w:spacing w:after="0"/>
              <w:rPr>
                <w:sz w:val="20"/>
                <w:szCs w:val="20"/>
                <w:color w:val="auto"/>
              </w:rPr>
            </w:pPr>
            <w:r>
              <w:rPr>
                <w:rFonts w:ascii="Arial" w:cs="Arial" w:eastAsia="Arial" w:hAnsi="Arial"/>
                <w:sz w:val="17"/>
                <w:szCs w:val="17"/>
                <w:color w:val="auto"/>
              </w:rPr>
              <w:t>147,946    </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247,617   </w:t>
            </w:r>
          </w:p>
        </w:tc>
        <w:tc>
          <w:tcPr>
            <w:tcW w:w="0" w:type="dxa"/>
            <w:vAlign w:val="bottom"/>
          </w:tcPr>
          <w:p>
            <w:pPr>
              <w:spacing w:after="0"/>
              <w:rPr>
                <w:sz w:val="1"/>
                <w:szCs w:val="1"/>
                <w:color w:val="auto"/>
              </w:rPr>
            </w:pPr>
          </w:p>
        </w:tc>
      </w:tr>
      <w:tr>
        <w:trPr>
          <w:trHeight w:val="192"/>
        </w:trPr>
        <w:tc>
          <w:tcPr>
            <w:tcW w:w="7680" w:type="dxa"/>
            <w:vAlign w:val="bottom"/>
          </w:tcPr>
          <w:p>
            <w:pPr>
              <w:spacing w:after="0" w:line="192" w:lineRule="exact"/>
              <w:rPr>
                <w:sz w:val="20"/>
                <w:szCs w:val="20"/>
                <w:color w:val="auto"/>
              </w:rPr>
            </w:pPr>
            <w:r>
              <w:rPr>
                <w:rFonts w:ascii="Arial" w:cs="Arial" w:eastAsia="Arial" w:hAnsi="Arial"/>
                <w:sz w:val="17"/>
                <w:szCs w:val="17"/>
                <w:color w:val="auto"/>
              </w:rPr>
              <w:t>Stockholders’ deficit: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CEEFF"/>
          </w:tcPr>
          <w:p>
            <w:pPr>
              <w:ind w:left="340"/>
              <w:spacing w:after="0" w:line="175" w:lineRule="exact"/>
              <w:rPr>
                <w:sz w:val="20"/>
                <w:szCs w:val="20"/>
                <w:color w:val="auto"/>
              </w:rPr>
            </w:pPr>
            <w:r>
              <w:rPr>
                <w:rFonts w:ascii="Arial" w:cs="Arial" w:eastAsia="Arial" w:hAnsi="Arial"/>
                <w:sz w:val="17"/>
                <w:szCs w:val="17"/>
                <w:color w:val="auto"/>
              </w:rPr>
              <w:t>Common stock, $0.0001 par value; 200,000,000 shares authorized, 1,199,769 shares issued,</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680" w:type="dxa"/>
            <w:vAlign w:val="bottom"/>
            <w:shd w:val="clear" w:color="auto" w:fill="CCEEFF"/>
          </w:tcPr>
          <w:p>
            <w:pPr>
              <w:ind w:left="500"/>
              <w:spacing w:after="0" w:line="192" w:lineRule="exact"/>
              <w:rPr>
                <w:sz w:val="20"/>
                <w:szCs w:val="20"/>
                <w:color w:val="auto"/>
              </w:rPr>
            </w:pPr>
            <w:r>
              <w:rPr>
                <w:rFonts w:ascii="Arial" w:cs="Arial" w:eastAsia="Arial" w:hAnsi="Arial"/>
                <w:sz w:val="17"/>
                <w:szCs w:val="17"/>
                <w:color w:val="auto"/>
              </w:rPr>
              <w:t>and 1,167,240 shares outstanding as of December 31, 2022; 402,600,000 shares authorized,</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6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1,248,493 shares issued, and 1,247,012 shares outstanding as of December 31, 2023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395"/>
              <w:spacing w:after="0"/>
              <w:rPr>
                <w:sz w:val="20"/>
                <w:szCs w:val="20"/>
                <w:color w:val="auto"/>
              </w:rPr>
            </w:pPr>
            <w:r>
              <w:rPr>
                <w:rFonts w:ascii="Arial" w:cs="Arial" w:eastAsia="Arial" w:hAnsi="Arial"/>
                <w:sz w:val="17"/>
                <w:szCs w:val="17"/>
                <w:color w:val="auto"/>
              </w:rPr>
              <w:t>—    </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192"/>
        </w:trPr>
        <w:tc>
          <w:tcPr>
            <w:tcW w:w="7680" w:type="dxa"/>
            <w:vAlign w:val="bottom"/>
          </w:tcPr>
          <w:p>
            <w:pPr>
              <w:ind w:left="340"/>
              <w:spacing w:after="0" w:line="192" w:lineRule="exact"/>
              <w:rPr>
                <w:sz w:val="20"/>
                <w:szCs w:val="20"/>
                <w:color w:val="auto"/>
              </w:rPr>
            </w:pPr>
            <w:r>
              <w:rPr>
                <w:rFonts w:ascii="Arial" w:cs="Arial" w:eastAsia="Arial" w:hAnsi="Arial"/>
                <w:sz w:val="17"/>
                <w:szCs w:val="17"/>
                <w:color w:val="auto"/>
              </w:rPr>
              <w:t>Additional paid-in capital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3"/>
          </w:tcPr>
          <w:p>
            <w:pPr>
              <w:jc w:val="right"/>
              <w:ind w:right="395"/>
              <w:spacing w:after="0" w:line="192" w:lineRule="exact"/>
              <w:rPr>
                <w:sz w:val="20"/>
                <w:szCs w:val="20"/>
                <w:color w:val="auto"/>
              </w:rPr>
            </w:pPr>
            <w:r>
              <w:rPr>
                <w:rFonts w:ascii="Arial" w:cs="Arial" w:eastAsia="Arial" w:hAnsi="Arial"/>
                <w:sz w:val="17"/>
                <w:szCs w:val="17"/>
                <w:color w:val="auto"/>
              </w:rPr>
              <w:t>5,377    </w:t>
            </w:r>
          </w:p>
        </w:tc>
        <w:tc>
          <w:tcPr>
            <w:tcW w:w="90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8,987   </w:t>
            </w:r>
          </w:p>
        </w:tc>
        <w:tc>
          <w:tcPr>
            <w:tcW w:w="0" w:type="dxa"/>
            <w:vAlign w:val="bottom"/>
          </w:tcPr>
          <w:p>
            <w:pPr>
              <w:spacing w:after="0"/>
              <w:rPr>
                <w:sz w:val="1"/>
                <w:szCs w:val="1"/>
                <w:color w:val="auto"/>
              </w:rPr>
            </w:pPr>
          </w:p>
        </w:tc>
      </w:tr>
      <w:tr>
        <w:trPr>
          <w:trHeight w:val="192"/>
        </w:trPr>
        <w:tc>
          <w:tcPr>
            <w:tcW w:w="7680" w:type="dxa"/>
            <w:vAlign w:val="bottom"/>
            <w:shd w:val="clear" w:color="auto" w:fill="CCEEFF"/>
          </w:tcPr>
          <w:p>
            <w:pPr>
              <w:ind w:left="340"/>
              <w:spacing w:after="0" w:line="192" w:lineRule="exact"/>
              <w:rPr>
                <w:sz w:val="20"/>
                <w:szCs w:val="20"/>
                <w:color w:val="auto"/>
              </w:rPr>
            </w:pPr>
            <w:r>
              <w:rPr>
                <w:rFonts w:ascii="Arial" w:cs="Arial" w:eastAsia="Arial" w:hAnsi="Arial"/>
                <w:sz w:val="17"/>
                <w:szCs w:val="17"/>
                <w:color w:val="auto"/>
              </w:rPr>
              <w:t>Accumulated other comprehensive loss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00" w:type="dxa"/>
            <w:vAlign w:val="bottom"/>
            <w:gridSpan w:val="3"/>
            <w:shd w:val="clear" w:color="auto" w:fill="CCEEFF"/>
          </w:tcPr>
          <w:p>
            <w:pPr>
              <w:jc w:val="right"/>
              <w:ind w:right="395"/>
              <w:spacing w:after="0" w:line="192" w:lineRule="exact"/>
              <w:rPr>
                <w:sz w:val="20"/>
                <w:szCs w:val="20"/>
                <w:color w:val="auto"/>
              </w:rPr>
            </w:pPr>
            <w:r>
              <w:rPr>
                <w:rFonts w:ascii="Arial" w:cs="Arial" w:eastAsia="Arial" w:hAnsi="Arial"/>
                <w:sz w:val="17"/>
                <w:szCs w:val="17"/>
                <w:color w:val="auto"/>
              </w:rPr>
              <w:t xml:space="preserve">(398)   </w:t>
            </w:r>
          </w:p>
        </w:tc>
        <w:tc>
          <w:tcPr>
            <w:tcW w:w="90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40   </w:t>
            </w:r>
          </w:p>
        </w:tc>
        <w:tc>
          <w:tcPr>
            <w:tcW w:w="0" w:type="dxa"/>
            <w:vAlign w:val="bottom"/>
          </w:tcPr>
          <w:p>
            <w:pPr>
              <w:spacing w:after="0"/>
              <w:rPr>
                <w:sz w:val="1"/>
                <w:szCs w:val="1"/>
                <w:color w:val="auto"/>
              </w:rPr>
            </w:pPr>
          </w:p>
        </w:tc>
      </w:tr>
      <w:tr>
        <w:trPr>
          <w:trHeight w:val="192"/>
        </w:trPr>
        <w:tc>
          <w:tcPr>
            <w:tcW w:w="7680" w:type="dxa"/>
            <w:vAlign w:val="bottom"/>
          </w:tcPr>
          <w:p>
            <w:pPr>
              <w:ind w:left="340"/>
              <w:spacing w:after="0" w:line="192" w:lineRule="exact"/>
              <w:rPr>
                <w:sz w:val="20"/>
                <w:szCs w:val="20"/>
                <w:color w:val="auto"/>
              </w:rPr>
            </w:pPr>
            <w:r>
              <w:rPr>
                <w:rFonts w:ascii="Arial" w:cs="Arial" w:eastAsia="Arial" w:hAnsi="Arial"/>
                <w:sz w:val="17"/>
                <w:szCs w:val="17"/>
                <w:color w:val="auto"/>
              </w:rPr>
              <w:t>Accumulated deficit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3"/>
          </w:tcPr>
          <w:p>
            <w:pPr>
              <w:jc w:val="right"/>
              <w:ind w:right="395"/>
              <w:spacing w:after="0" w:line="192" w:lineRule="exact"/>
              <w:rPr>
                <w:sz w:val="20"/>
                <w:szCs w:val="20"/>
                <w:color w:val="auto"/>
              </w:rPr>
            </w:pPr>
            <w:r>
              <w:rPr>
                <w:rFonts w:ascii="Arial" w:cs="Arial" w:eastAsia="Arial" w:hAnsi="Arial"/>
                <w:sz w:val="17"/>
                <w:szCs w:val="17"/>
                <w:color w:val="auto"/>
              </w:rPr>
              <w:t xml:space="preserve">(86,675)   </w:t>
            </w:r>
          </w:p>
        </w:tc>
        <w:tc>
          <w:tcPr>
            <w:tcW w:w="90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(136,109)  </w:t>
            </w:r>
          </w:p>
        </w:tc>
        <w:tc>
          <w:tcPr>
            <w:tcW w:w="0" w:type="dxa"/>
            <w:vAlign w:val="bottom"/>
          </w:tcPr>
          <w:p>
            <w:pPr>
              <w:spacing w:after="0"/>
              <w:rPr>
                <w:sz w:val="1"/>
                <w:szCs w:val="1"/>
                <w:color w:val="auto"/>
              </w:rPr>
            </w:pPr>
          </w:p>
        </w:tc>
      </w:tr>
      <w:tr>
        <w:trPr>
          <w:trHeight w:val="26"/>
        </w:trPr>
        <w:tc>
          <w:tcPr>
            <w:tcW w:w="7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680" w:type="dxa"/>
            <w:vAlign w:val="bottom"/>
            <w:shd w:val="clear" w:color="auto" w:fill="CCEEFF"/>
          </w:tcPr>
          <w:p>
            <w:pPr>
              <w:ind w:left="680"/>
              <w:spacing w:after="0" w:line="192" w:lineRule="exact"/>
              <w:rPr>
                <w:sz w:val="20"/>
                <w:szCs w:val="20"/>
                <w:color w:val="auto"/>
              </w:rPr>
            </w:pPr>
            <w:r>
              <w:rPr>
                <w:rFonts w:ascii="Arial" w:cs="Arial" w:eastAsia="Arial" w:hAnsi="Arial"/>
                <w:sz w:val="17"/>
                <w:szCs w:val="17"/>
                <w:color w:val="auto"/>
              </w:rPr>
              <w:t>Total stockholders’ deficit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00" w:type="dxa"/>
            <w:vAlign w:val="bottom"/>
            <w:gridSpan w:val="3"/>
            <w:shd w:val="clear" w:color="auto" w:fill="CCEEFF"/>
          </w:tcPr>
          <w:p>
            <w:pPr>
              <w:jc w:val="right"/>
              <w:ind w:right="395"/>
              <w:spacing w:after="0" w:line="192" w:lineRule="exact"/>
              <w:rPr>
                <w:sz w:val="20"/>
                <w:szCs w:val="20"/>
                <w:color w:val="auto"/>
              </w:rPr>
            </w:pPr>
            <w:r>
              <w:rPr>
                <w:rFonts w:ascii="Arial" w:cs="Arial" w:eastAsia="Arial" w:hAnsi="Arial"/>
                <w:sz w:val="17"/>
                <w:szCs w:val="17"/>
                <w:color w:val="auto"/>
              </w:rPr>
              <w:t xml:space="preserve">(81,696)   </w:t>
            </w:r>
          </w:p>
        </w:tc>
        <w:tc>
          <w:tcPr>
            <w:tcW w:w="90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(127,082)  </w:t>
            </w:r>
          </w:p>
        </w:tc>
        <w:tc>
          <w:tcPr>
            <w:tcW w:w="0" w:type="dxa"/>
            <w:vAlign w:val="bottom"/>
          </w:tcPr>
          <w:p>
            <w:pPr>
              <w:spacing w:after="0"/>
              <w:rPr>
                <w:sz w:val="1"/>
                <w:szCs w:val="1"/>
                <w:color w:val="auto"/>
              </w:rPr>
            </w:pPr>
          </w:p>
        </w:tc>
      </w:tr>
      <w:tr>
        <w:trPr>
          <w:trHeight w:val="197"/>
        </w:trPr>
        <w:tc>
          <w:tcPr>
            <w:tcW w:w="7680" w:type="dxa"/>
            <w:vAlign w:val="bottom"/>
          </w:tcPr>
          <w:p>
            <w:pPr>
              <w:ind w:left="680"/>
              <w:spacing w:after="0"/>
              <w:rPr>
                <w:sz w:val="20"/>
                <w:szCs w:val="20"/>
                <w:color w:val="auto"/>
              </w:rPr>
            </w:pPr>
            <w:r>
              <w:rPr>
                <w:rFonts w:ascii="Arial" w:cs="Arial" w:eastAsia="Arial" w:hAnsi="Arial"/>
                <w:sz w:val="17"/>
                <w:szCs w:val="17"/>
                <w:color w:val="auto"/>
              </w:rPr>
              <w:t>Total liabilities, convertible preferred stock, and stockholders’ deficit</w:t>
            </w: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77"/>
              </w:rPr>
              <w:t> $</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76,829    </w:t>
            </w:r>
          </w:p>
        </w:tc>
        <w:tc>
          <w:tcPr>
            <w:tcW w:w="16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7"/>
                <w:szCs w:val="17"/>
                <w:color w:val="auto"/>
                <w:w w:val="77"/>
              </w:rPr>
              <w:t> $</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129,894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jc w:val="center"/>
        <w:ind w:right="-399"/>
        <w:spacing w:after="0"/>
        <w:rPr>
          <w:sz w:val="20"/>
          <w:szCs w:val="20"/>
          <w:color w:val="auto"/>
        </w:rPr>
      </w:pPr>
      <w:r>
        <w:rPr>
          <w:rFonts w:ascii="Arial" w:cs="Arial" w:eastAsia="Arial" w:hAnsi="Arial"/>
          <w:sz w:val="17"/>
          <w:szCs w:val="17"/>
          <w:i w:val="1"/>
          <w:iCs w:val="1"/>
          <w:color w:val="auto"/>
        </w:rPr>
        <w:t>See accompanying notes to financial statements.</w:t>
      </w:r>
    </w:p>
    <w:p>
      <w:pPr>
        <w:spacing w:after="0" w:line="135"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0840"/>
          </w:cols>
          <w:pgMar w:left="320" w:top="439" w:right="7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Boundless Bio, Inc.</w:t>
      </w:r>
    </w:p>
    <w:p>
      <w:pPr>
        <w:spacing w:after="0" w:line="20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Statements of Operations and Comprehensive Loss</w:t>
      </w:r>
    </w:p>
    <w:p>
      <w:pPr>
        <w:spacing w:after="0" w:line="12"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(in thousands)</w:t>
      </w:r>
    </w:p>
    <w:p>
      <w:pPr>
        <w:spacing w:after="0" w:line="217" w:lineRule="exact"/>
        <w:rPr>
          <w:sz w:val="20"/>
          <w:szCs w:val="20"/>
          <w:color w:val="auto"/>
        </w:rPr>
      </w:pPr>
    </w:p>
    <w:tbl>
      <w:tblPr>
        <w:tblLayout w:type="fixed"/>
        <w:tblInd w:w="42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97"/>
              <w:spacing w:after="0" w:line="146"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96"/>
              <w:spacing w:after="0" w:line="146" w:lineRule="exact"/>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60" w:type="dxa"/>
            <w:vAlign w:val="bottom"/>
            <w:shd w:val="clear" w:color="auto" w:fill="CCEEFF"/>
          </w:tcPr>
          <w:p>
            <w:pPr>
              <w:spacing w:after="0" w:line="172" w:lineRule="exact"/>
              <w:rPr>
                <w:sz w:val="20"/>
                <w:szCs w:val="20"/>
                <w:color w:val="auto"/>
              </w:rPr>
            </w:pPr>
            <w:r>
              <w:rPr>
                <w:rFonts w:ascii="Arial" w:cs="Arial" w:eastAsia="Arial" w:hAnsi="Arial"/>
                <w:sz w:val="17"/>
                <w:szCs w:val="17"/>
                <w:color w:val="auto"/>
              </w:rPr>
              <w:t>Operating expenses:</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60" w:type="dxa"/>
            <w:vAlign w:val="bottom"/>
          </w:tcPr>
          <w:p>
            <w:pPr>
              <w:ind w:left="320"/>
              <w:spacing w:after="0" w:line="192" w:lineRule="exact"/>
              <w:rPr>
                <w:sz w:val="20"/>
                <w:szCs w:val="20"/>
                <w:color w:val="auto"/>
              </w:rPr>
            </w:pPr>
            <w:r>
              <w:rPr>
                <w:rFonts w:ascii="Arial" w:cs="Arial" w:eastAsia="Arial" w:hAnsi="Arial"/>
                <w:sz w:val="17"/>
                <w:szCs w:val="17"/>
                <w:color w:val="auto"/>
              </w:rPr>
              <w:t>Research and development</w:t>
            </w:r>
          </w:p>
        </w:tc>
        <w:tc>
          <w:tcPr>
            <w:tcW w:w="260" w:type="dxa"/>
            <w:vAlign w:val="bottom"/>
            <w:gridSpan w:val="2"/>
          </w:tcPr>
          <w:p>
            <w:pPr>
              <w:spacing w:after="0" w:line="192" w:lineRule="exact"/>
              <w:rPr>
                <w:sz w:val="20"/>
                <w:szCs w:val="20"/>
                <w:color w:val="auto"/>
              </w:rPr>
            </w:pPr>
            <w:r>
              <w:rPr>
                <w:rFonts w:ascii="Arial" w:cs="Arial" w:eastAsia="Arial" w:hAnsi="Arial"/>
                <w:sz w:val="17"/>
                <w:szCs w:val="17"/>
                <w:color w:val="auto"/>
              </w:rPr>
              <w:t xml:space="preserve"> $ </w:t>
            </w:r>
          </w:p>
        </w:tc>
        <w:tc>
          <w:tcPr>
            <w:tcW w:w="1420" w:type="dxa"/>
            <w:vAlign w:val="bottom"/>
            <w:gridSpan w:val="3"/>
          </w:tcPr>
          <w:p>
            <w:pPr>
              <w:jc w:val="right"/>
              <w:ind w:right="60"/>
              <w:spacing w:after="0" w:line="192" w:lineRule="exact"/>
              <w:rPr>
                <w:sz w:val="20"/>
                <w:szCs w:val="20"/>
                <w:color w:val="auto"/>
              </w:rPr>
            </w:pPr>
            <w:r>
              <w:rPr>
                <w:rFonts w:ascii="Arial" w:cs="Arial" w:eastAsia="Arial" w:hAnsi="Arial"/>
                <w:sz w:val="17"/>
                <w:szCs w:val="17"/>
                <w:color w:val="auto"/>
              </w:rPr>
              <w:t xml:space="preserve">      37,159      $ </w:t>
            </w:r>
          </w:p>
        </w:tc>
        <w:tc>
          <w:tcPr>
            <w:tcW w:w="1060" w:type="dxa"/>
            <w:vAlign w:val="bottom"/>
            <w:gridSpan w:val="2"/>
          </w:tcPr>
          <w:p>
            <w:pPr>
              <w:jc w:val="right"/>
              <w:spacing w:after="0" w:line="192" w:lineRule="exact"/>
              <w:rPr>
                <w:sz w:val="20"/>
                <w:szCs w:val="20"/>
                <w:color w:val="auto"/>
              </w:rPr>
            </w:pPr>
            <w:r>
              <w:rPr>
                <w:rFonts w:ascii="Arial" w:cs="Arial" w:eastAsia="Arial" w:hAnsi="Arial"/>
                <w:sz w:val="17"/>
                <w:szCs w:val="17"/>
                <w:color w:val="auto"/>
                <w:w w:val="97"/>
              </w:rPr>
              <w:t>      42,637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60" w:type="dxa"/>
            <w:vAlign w:val="bottom"/>
            <w:shd w:val="clear" w:color="auto" w:fill="CCEEFF"/>
          </w:tcPr>
          <w:p>
            <w:pPr>
              <w:ind w:left="320"/>
              <w:spacing w:after="0" w:line="192" w:lineRule="exact"/>
              <w:rPr>
                <w:sz w:val="20"/>
                <w:szCs w:val="20"/>
                <w:color w:val="auto"/>
              </w:rPr>
            </w:pPr>
            <w:r>
              <w:rPr>
                <w:rFonts w:ascii="Arial" w:cs="Arial" w:eastAsia="Arial" w:hAnsi="Arial"/>
                <w:sz w:val="17"/>
                <w:szCs w:val="17"/>
                <w:color w:val="auto"/>
              </w:rPr>
              <w:t>General and administrative</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20" w:type="dxa"/>
            <w:vAlign w:val="bottom"/>
            <w:gridSpan w:val="3"/>
            <w:shd w:val="clear" w:color="auto" w:fill="CCEEFF"/>
          </w:tcPr>
          <w:p>
            <w:pPr>
              <w:jc w:val="right"/>
              <w:ind w:right="320"/>
              <w:spacing w:after="0" w:line="192" w:lineRule="exact"/>
              <w:rPr>
                <w:sz w:val="20"/>
                <w:szCs w:val="20"/>
                <w:color w:val="auto"/>
              </w:rPr>
            </w:pPr>
            <w:r>
              <w:rPr>
                <w:rFonts w:ascii="Arial" w:cs="Arial" w:eastAsia="Arial" w:hAnsi="Arial"/>
                <w:sz w:val="17"/>
                <w:szCs w:val="17"/>
                <w:color w:val="auto"/>
              </w:rPr>
              <w:t>9,310    </w:t>
            </w:r>
          </w:p>
        </w:tc>
        <w:tc>
          <w:tcPr>
            <w:tcW w:w="10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12,159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60" w:type="dxa"/>
            <w:vAlign w:val="bottom"/>
          </w:tcPr>
          <w:p>
            <w:pPr>
              <w:ind w:left="660"/>
              <w:spacing w:after="0"/>
              <w:rPr>
                <w:sz w:val="20"/>
                <w:szCs w:val="20"/>
                <w:color w:val="auto"/>
              </w:rPr>
            </w:pPr>
            <w:r>
              <w:rPr>
                <w:rFonts w:ascii="Arial" w:cs="Arial" w:eastAsia="Arial" w:hAnsi="Arial"/>
                <w:sz w:val="17"/>
                <w:szCs w:val="17"/>
                <w:color w:val="auto"/>
              </w:rPr>
              <w:t>Total operating expenses</w:t>
            </w:r>
          </w:p>
        </w:tc>
        <w:tc>
          <w:tcPr>
            <w:tcW w:w="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46,469    </w:t>
            </w:r>
          </w:p>
        </w:tc>
        <w:tc>
          <w:tcPr>
            <w:tcW w:w="1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54,796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6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Loss from operations</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20" w:type="dxa"/>
            <w:vAlign w:val="bottom"/>
            <w:gridSpan w:val="3"/>
            <w:shd w:val="clear" w:color="auto" w:fill="CCEEFF"/>
          </w:tcPr>
          <w:p>
            <w:pPr>
              <w:jc w:val="right"/>
              <w:ind w:right="320"/>
              <w:spacing w:after="0" w:line="192" w:lineRule="exact"/>
              <w:rPr>
                <w:sz w:val="20"/>
                <w:szCs w:val="20"/>
                <w:color w:val="auto"/>
              </w:rPr>
            </w:pPr>
            <w:r>
              <w:rPr>
                <w:rFonts w:ascii="Arial" w:cs="Arial" w:eastAsia="Arial" w:hAnsi="Arial"/>
                <w:sz w:val="17"/>
                <w:szCs w:val="17"/>
                <w:color w:val="auto"/>
              </w:rPr>
              <w:t xml:space="preserve">(46,469)   </w:t>
            </w:r>
          </w:p>
        </w:tc>
        <w:tc>
          <w:tcPr>
            <w:tcW w:w="10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(54,796)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60" w:type="dxa"/>
            <w:vAlign w:val="bottom"/>
          </w:tcPr>
          <w:p>
            <w:pPr>
              <w:spacing w:after="0" w:line="192" w:lineRule="exact"/>
              <w:rPr>
                <w:sz w:val="20"/>
                <w:szCs w:val="20"/>
                <w:color w:val="auto"/>
              </w:rPr>
            </w:pPr>
            <w:r>
              <w:rPr>
                <w:rFonts w:ascii="Arial" w:cs="Arial" w:eastAsia="Arial" w:hAnsi="Arial"/>
                <w:sz w:val="17"/>
                <w:szCs w:val="17"/>
                <w:color w:val="auto"/>
              </w:rPr>
              <w:t>Other income (expense), net: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60" w:type="dxa"/>
            <w:vAlign w:val="bottom"/>
            <w:shd w:val="clear" w:color="auto" w:fill="CCEEFF"/>
          </w:tcPr>
          <w:p>
            <w:pPr>
              <w:ind w:left="320"/>
              <w:spacing w:after="0" w:line="192" w:lineRule="exact"/>
              <w:rPr>
                <w:sz w:val="20"/>
                <w:szCs w:val="20"/>
                <w:color w:val="auto"/>
              </w:rPr>
            </w:pPr>
            <w:r>
              <w:rPr>
                <w:rFonts w:ascii="Arial" w:cs="Arial" w:eastAsia="Arial" w:hAnsi="Arial"/>
                <w:sz w:val="17"/>
                <w:szCs w:val="17"/>
                <w:color w:val="auto"/>
              </w:rPr>
              <w:t>Interest income</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20" w:type="dxa"/>
            <w:vAlign w:val="bottom"/>
            <w:gridSpan w:val="3"/>
            <w:shd w:val="clear" w:color="auto" w:fill="CCEEFF"/>
          </w:tcPr>
          <w:p>
            <w:pPr>
              <w:jc w:val="right"/>
              <w:ind w:right="320"/>
              <w:spacing w:after="0" w:line="192" w:lineRule="exact"/>
              <w:rPr>
                <w:sz w:val="20"/>
                <w:szCs w:val="20"/>
                <w:color w:val="auto"/>
              </w:rPr>
            </w:pPr>
            <w:r>
              <w:rPr>
                <w:rFonts w:ascii="Arial" w:cs="Arial" w:eastAsia="Arial" w:hAnsi="Arial"/>
                <w:sz w:val="17"/>
                <w:szCs w:val="17"/>
                <w:color w:val="auto"/>
              </w:rPr>
              <w:t>668    </w:t>
            </w:r>
          </w:p>
        </w:tc>
        <w:tc>
          <w:tcPr>
            <w:tcW w:w="10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5,282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60" w:type="dxa"/>
            <w:vAlign w:val="bottom"/>
          </w:tcPr>
          <w:p>
            <w:pPr>
              <w:ind w:left="320"/>
              <w:spacing w:after="0" w:line="192" w:lineRule="exact"/>
              <w:rPr>
                <w:sz w:val="20"/>
                <w:szCs w:val="20"/>
                <w:color w:val="auto"/>
              </w:rPr>
            </w:pPr>
            <w:r>
              <w:rPr>
                <w:rFonts w:ascii="Arial" w:cs="Arial" w:eastAsia="Arial" w:hAnsi="Arial"/>
                <w:sz w:val="17"/>
                <w:szCs w:val="17"/>
                <w:color w:val="auto"/>
              </w:rPr>
              <w:t>Other income (expense)</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3"/>
          </w:tcPr>
          <w:p>
            <w:pPr>
              <w:jc w:val="right"/>
              <w:ind w:right="320"/>
              <w:spacing w:after="0" w:line="192" w:lineRule="exact"/>
              <w:rPr>
                <w:sz w:val="20"/>
                <w:szCs w:val="20"/>
                <w:color w:val="auto"/>
              </w:rPr>
            </w:pPr>
            <w:r>
              <w:rPr>
                <w:rFonts w:ascii="Arial" w:cs="Arial" w:eastAsia="Arial" w:hAnsi="Arial"/>
                <w:sz w:val="17"/>
                <w:szCs w:val="17"/>
                <w:color w:val="auto"/>
              </w:rPr>
              <w:t xml:space="preserve">(100)   </w:t>
            </w:r>
          </w:p>
        </w:tc>
        <w:tc>
          <w:tcPr>
            <w:tcW w:w="106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80   </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766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Total other income (expense), net</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20" w:type="dxa"/>
            <w:vAlign w:val="bottom"/>
            <w:gridSpan w:val="3"/>
            <w:shd w:val="clear" w:color="auto" w:fill="CCEEFF"/>
          </w:tcPr>
          <w:p>
            <w:pPr>
              <w:jc w:val="right"/>
              <w:ind w:right="320"/>
              <w:spacing w:after="0" w:line="192" w:lineRule="exact"/>
              <w:rPr>
                <w:sz w:val="20"/>
                <w:szCs w:val="20"/>
                <w:color w:val="auto"/>
              </w:rPr>
            </w:pPr>
            <w:r>
              <w:rPr>
                <w:rFonts w:ascii="Arial" w:cs="Arial" w:eastAsia="Arial" w:hAnsi="Arial"/>
                <w:sz w:val="17"/>
                <w:szCs w:val="17"/>
                <w:color w:val="auto"/>
              </w:rPr>
              <w:t>568    </w:t>
            </w:r>
          </w:p>
        </w:tc>
        <w:tc>
          <w:tcPr>
            <w:tcW w:w="10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5,362   </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7"/>
                <w:szCs w:val="17"/>
                <w:color w:val="auto"/>
              </w:rPr>
              <w:t>Net loss</w:t>
            </w:r>
          </w:p>
        </w:tc>
        <w:tc>
          <w:tcPr>
            <w:tcW w:w="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80" w:type="dxa"/>
            <w:vAlign w:val="bottom"/>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7"/>
                <w:szCs w:val="17"/>
                <w:color w:val="auto"/>
              </w:rPr>
              <w:t> $</w:t>
            </w:r>
          </w:p>
        </w:tc>
        <w:tc>
          <w:tcPr>
            <w:tcW w:w="1420" w:type="dxa"/>
            <w:vAlign w:val="bottom"/>
            <w:gridSpan w:val="3"/>
          </w:tcPr>
          <w:p>
            <w:pPr>
              <w:jc w:val="right"/>
              <w:ind w:right="140"/>
              <w:spacing w:after="0"/>
              <w:rPr>
                <w:sz w:val="20"/>
                <w:szCs w:val="20"/>
                <w:color w:val="auto"/>
              </w:rPr>
            </w:pPr>
            <w:r>
              <w:rPr>
                <w:rFonts w:ascii="Arial" w:cs="Arial" w:eastAsia="Arial" w:hAnsi="Arial"/>
                <w:sz w:val="17"/>
                <w:szCs w:val="17"/>
                <w:color w:val="auto"/>
              </w:rPr>
              <w:t>(45,901)     $</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(49,434)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per common share, basic and diluted</w:t>
            </w:r>
          </w:p>
        </w:tc>
        <w:tc>
          <w:tcPr>
            <w:tcW w:w="26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 $</w:t>
            </w:r>
          </w:p>
        </w:tc>
        <w:tc>
          <w:tcPr>
            <w:tcW w:w="1420" w:type="dxa"/>
            <w:vAlign w:val="bottom"/>
            <w:gridSpan w:val="3"/>
            <w:shd w:val="clear" w:color="auto" w:fill="CCEEFF"/>
          </w:tcPr>
          <w:p>
            <w:pPr>
              <w:jc w:val="right"/>
              <w:ind w:right="140"/>
              <w:spacing w:after="0" w:line="183" w:lineRule="exact"/>
              <w:rPr>
                <w:sz w:val="20"/>
                <w:szCs w:val="20"/>
                <w:color w:val="auto"/>
              </w:rPr>
            </w:pPr>
            <w:r>
              <w:rPr>
                <w:rFonts w:ascii="Arial" w:cs="Arial" w:eastAsia="Arial" w:hAnsi="Arial"/>
                <w:sz w:val="17"/>
                <w:szCs w:val="17"/>
                <w:color w:val="auto"/>
              </w:rPr>
              <w:t>(41.80)     $</w:t>
            </w:r>
          </w:p>
        </w:tc>
        <w:tc>
          <w:tcPr>
            <w:tcW w:w="10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(40.65)  </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7"/>
                <w:szCs w:val="17"/>
                <w:color w:val="auto"/>
              </w:rPr>
              <w:t>Weighted-average shares used in net loss per common share calculation</w:t>
            </w: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1,098    </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1,216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Comprehensive loss:</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60" w:type="dxa"/>
            <w:vAlign w:val="bottom"/>
          </w:tcPr>
          <w:p>
            <w:pPr>
              <w:ind w:left="320"/>
              <w:spacing w:after="0" w:line="192" w:lineRule="exact"/>
              <w:rPr>
                <w:sz w:val="20"/>
                <w:szCs w:val="20"/>
                <w:color w:val="auto"/>
              </w:rPr>
            </w:pPr>
            <w:r>
              <w:rPr>
                <w:rFonts w:ascii="Arial" w:cs="Arial" w:eastAsia="Arial" w:hAnsi="Arial"/>
                <w:sz w:val="17"/>
                <w:szCs w:val="17"/>
                <w:color w:val="auto"/>
              </w:rPr>
              <w:t>Net loss</w:t>
            </w:r>
          </w:p>
        </w:tc>
        <w:tc>
          <w:tcPr>
            <w:tcW w:w="260" w:type="dxa"/>
            <w:vAlign w:val="bottom"/>
            <w:gridSpan w:val="2"/>
          </w:tcPr>
          <w:p>
            <w:pPr>
              <w:spacing w:after="0" w:line="192" w:lineRule="exact"/>
              <w:rPr>
                <w:sz w:val="20"/>
                <w:szCs w:val="20"/>
                <w:color w:val="auto"/>
              </w:rPr>
            </w:pPr>
            <w:r>
              <w:rPr>
                <w:rFonts w:ascii="Arial" w:cs="Arial" w:eastAsia="Arial" w:hAnsi="Arial"/>
                <w:sz w:val="17"/>
                <w:szCs w:val="17"/>
                <w:color w:val="auto"/>
              </w:rPr>
              <w:t> $</w:t>
            </w:r>
          </w:p>
        </w:tc>
        <w:tc>
          <w:tcPr>
            <w:tcW w:w="1420" w:type="dxa"/>
            <w:vAlign w:val="bottom"/>
            <w:gridSpan w:val="3"/>
          </w:tcPr>
          <w:p>
            <w:pPr>
              <w:jc w:val="right"/>
              <w:ind w:right="140"/>
              <w:spacing w:after="0" w:line="192" w:lineRule="exact"/>
              <w:rPr>
                <w:sz w:val="20"/>
                <w:szCs w:val="20"/>
                <w:color w:val="auto"/>
              </w:rPr>
            </w:pPr>
            <w:r>
              <w:rPr>
                <w:rFonts w:ascii="Arial" w:cs="Arial" w:eastAsia="Arial" w:hAnsi="Arial"/>
                <w:sz w:val="17"/>
                <w:szCs w:val="17"/>
                <w:color w:val="auto"/>
              </w:rPr>
              <w:t>(45,901)     $</w:t>
            </w:r>
          </w:p>
        </w:tc>
        <w:tc>
          <w:tcPr>
            <w:tcW w:w="106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(49,434)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60" w:type="dxa"/>
            <w:vAlign w:val="bottom"/>
            <w:shd w:val="clear" w:color="auto" w:fill="CCEEFF"/>
          </w:tcPr>
          <w:p>
            <w:pPr>
              <w:ind w:left="320"/>
              <w:spacing w:after="0" w:line="192" w:lineRule="exact"/>
              <w:rPr>
                <w:sz w:val="20"/>
                <w:szCs w:val="20"/>
                <w:color w:val="auto"/>
              </w:rPr>
            </w:pPr>
            <w:r>
              <w:rPr>
                <w:rFonts w:ascii="Arial" w:cs="Arial" w:eastAsia="Arial" w:hAnsi="Arial"/>
                <w:sz w:val="17"/>
                <w:szCs w:val="17"/>
                <w:color w:val="auto"/>
              </w:rPr>
              <w:t>Unrealized gain (loss) on investments</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20" w:type="dxa"/>
            <w:vAlign w:val="bottom"/>
            <w:gridSpan w:val="3"/>
            <w:shd w:val="clear" w:color="auto" w:fill="CCEEFF"/>
          </w:tcPr>
          <w:p>
            <w:pPr>
              <w:jc w:val="right"/>
              <w:ind w:right="320"/>
              <w:spacing w:after="0" w:line="192" w:lineRule="exact"/>
              <w:rPr>
                <w:sz w:val="20"/>
                <w:szCs w:val="20"/>
                <w:color w:val="auto"/>
              </w:rPr>
            </w:pPr>
            <w:r>
              <w:rPr>
                <w:rFonts w:ascii="Arial" w:cs="Arial" w:eastAsia="Arial" w:hAnsi="Arial"/>
                <w:sz w:val="17"/>
                <w:szCs w:val="17"/>
                <w:color w:val="auto"/>
              </w:rPr>
              <w:t xml:space="preserve">(223)   </w:t>
            </w:r>
          </w:p>
        </w:tc>
        <w:tc>
          <w:tcPr>
            <w:tcW w:w="10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438   </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7"/>
                <w:szCs w:val="17"/>
                <w:color w:val="auto"/>
              </w:rPr>
              <w:t>Comprehensive loss</w:t>
            </w:r>
          </w:p>
        </w:tc>
        <w:tc>
          <w:tcPr>
            <w:tcW w:w="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80" w:type="dxa"/>
            <w:vAlign w:val="bottom"/>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7"/>
                <w:szCs w:val="17"/>
                <w:color w:val="auto"/>
              </w:rPr>
              <w:t> $</w:t>
            </w:r>
          </w:p>
        </w:tc>
        <w:tc>
          <w:tcPr>
            <w:tcW w:w="1420" w:type="dxa"/>
            <w:vAlign w:val="bottom"/>
            <w:gridSpan w:val="3"/>
          </w:tcPr>
          <w:p>
            <w:pPr>
              <w:jc w:val="right"/>
              <w:ind w:right="140"/>
              <w:spacing w:after="0"/>
              <w:rPr>
                <w:sz w:val="20"/>
                <w:szCs w:val="20"/>
                <w:color w:val="auto"/>
              </w:rPr>
            </w:pPr>
            <w:r>
              <w:rPr>
                <w:rFonts w:ascii="Arial" w:cs="Arial" w:eastAsia="Arial" w:hAnsi="Arial"/>
                <w:sz w:val="17"/>
                <w:szCs w:val="17"/>
                <w:color w:val="auto"/>
              </w:rPr>
              <w:t>(46,124)     $</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(48,996)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9"/>
        <w:spacing w:after="0"/>
        <w:rPr>
          <w:sz w:val="20"/>
          <w:szCs w:val="20"/>
          <w:color w:val="auto"/>
        </w:rPr>
      </w:pPr>
      <w:r>
        <w:rPr>
          <w:rFonts w:ascii="Arial" w:cs="Arial" w:eastAsia="Arial" w:hAnsi="Arial"/>
          <w:sz w:val="17"/>
          <w:szCs w:val="17"/>
          <w:i w:val="1"/>
          <w:iCs w:val="1"/>
          <w:color w:val="auto"/>
        </w:rPr>
        <w:t>See accompanying notes to financial statements.</w:t>
      </w:r>
    </w:p>
    <w:p>
      <w:pPr>
        <w:spacing w:after="0" w:line="135"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0840"/>
          </w:cols>
          <w:pgMar w:left="320" w:top="439" w:right="7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Boundless Bio, Inc.</w:t>
      </w:r>
    </w:p>
    <w:p>
      <w:pPr>
        <w:spacing w:after="0" w:line="98"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Statements of Convertible Preferred Stock and Stockholders’ Deficit</w:t>
      </w:r>
    </w:p>
    <w:p>
      <w:pPr>
        <w:spacing w:after="0" w:line="1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share data)</w:t>
      </w:r>
    </w:p>
    <w:p>
      <w:pPr>
        <w:spacing w:after="0" w:line="210"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20" w:type="dxa"/>
            <w:vAlign w:val="bottom"/>
            <w:gridSpan w:val="5"/>
          </w:tcPr>
          <w:p>
            <w:pPr>
              <w:ind w:left="820"/>
              <w:spacing w:after="0"/>
              <w:rPr>
                <w:sz w:val="20"/>
                <w:szCs w:val="20"/>
                <w:color w:val="auto"/>
              </w:rPr>
            </w:pPr>
            <w:r>
              <w:rPr>
                <w:rFonts w:ascii="Arial" w:cs="Arial" w:eastAsia="Arial" w:hAnsi="Arial"/>
                <w:sz w:val="14"/>
                <w:szCs w:val="14"/>
                <w:b w:val="1"/>
                <w:bCs w:val="1"/>
                <w:color w:val="auto"/>
              </w:rPr>
              <w:t>Convertible</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58"/>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2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7"/>
              </w:rPr>
              <w:t>Accumulated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Total</w:t>
            </w:r>
          </w:p>
        </w:tc>
      </w:tr>
      <w:tr>
        <w:trPr>
          <w:trHeight w:val="163"/>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20" w:type="dxa"/>
            <w:vAlign w:val="bottom"/>
            <w:gridSpan w:val="5"/>
          </w:tcPr>
          <w:p>
            <w:pPr>
              <w:ind w:left="700"/>
              <w:spacing w:after="0"/>
              <w:rPr>
                <w:sz w:val="20"/>
                <w:szCs w:val="20"/>
                <w:color w:val="auto"/>
              </w:rPr>
            </w:pPr>
            <w:r>
              <w:rPr>
                <w:rFonts w:ascii="Arial" w:cs="Arial" w:eastAsia="Arial" w:hAnsi="Arial"/>
                <w:sz w:val="14"/>
                <w:szCs w:val="14"/>
                <w:b w:val="1"/>
                <w:bCs w:val="1"/>
                <w:color w:val="auto"/>
              </w:rPr>
              <w:t>Preferred Stock</w:t>
            </w:r>
          </w:p>
        </w:tc>
        <w:tc>
          <w:tcPr>
            <w:tcW w:w="160" w:type="dxa"/>
            <w:vAlign w:val="bottom"/>
          </w:tcPr>
          <w:p>
            <w:pPr>
              <w:spacing w:after="0"/>
              <w:rPr>
                <w:sz w:val="14"/>
                <w:szCs w:val="14"/>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b w:val="1"/>
                <w:bCs w:val="1"/>
                <w:color w:val="auto"/>
              </w:rPr>
              <w:t>Common Stock</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58"/>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4"/>
                <w:szCs w:val="14"/>
                <w:color w:val="auto"/>
              </w:rPr>
            </w:pPr>
          </w:p>
        </w:tc>
        <w:tc>
          <w:tcPr>
            <w:tcW w:w="12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7"/>
              </w:rPr>
              <w:t>Comprehensive</w:t>
            </w:r>
          </w:p>
        </w:tc>
        <w:tc>
          <w:tcPr>
            <w:tcW w:w="12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5"/>
              </w:rPr>
              <w:t>Accumulated</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Stockholders’</w:t>
            </w:r>
          </w:p>
        </w:tc>
      </w:tr>
      <w:tr>
        <w:trPr>
          <w:trHeight w:val="146"/>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tcBorders>
              <w:top w:val="single" w:sz="8" w:color="auto"/>
            </w:tcBorders>
            <w:gridSpan w:val="3"/>
          </w:tcPr>
          <w:p>
            <w:pPr>
              <w:ind w:left="320"/>
              <w:spacing w:after="0" w:line="146" w:lineRule="exact"/>
              <w:rPr>
                <w:sz w:val="20"/>
                <w:szCs w:val="20"/>
                <w:color w:val="auto"/>
              </w:rPr>
            </w:pPr>
            <w:r>
              <w:rPr>
                <w:rFonts w:ascii="Arial" w:cs="Arial" w:eastAsia="Arial" w:hAnsi="Arial"/>
                <w:sz w:val="14"/>
                <w:szCs w:val="14"/>
                <w:b w:val="1"/>
                <w:bCs w:val="1"/>
                <w:color w:val="auto"/>
              </w:rPr>
              <w:t>Shares</w:t>
            </w:r>
          </w:p>
        </w:tc>
        <w:tc>
          <w:tcPr>
            <w:tcW w:w="920" w:type="dxa"/>
            <w:vAlign w:val="bottom"/>
            <w:tcBorders>
              <w:top w:val="single" w:sz="8" w:color="auto"/>
            </w:tcBorders>
          </w:tcPr>
          <w:p>
            <w:pPr>
              <w:ind w:left="80"/>
              <w:spacing w:after="0" w:line="146"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jc w:val="right"/>
              <w:ind w:right="515"/>
              <w:spacing w:after="0" w:line="146" w:lineRule="exact"/>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tcBorders>
            <w:gridSpan w:val="2"/>
          </w:tcPr>
          <w:p>
            <w:pPr>
              <w:spacing w:after="0" w:line="146" w:lineRule="exact"/>
              <w:rPr>
                <w:sz w:val="20"/>
                <w:szCs w:val="20"/>
                <w:color w:val="auto"/>
              </w:rPr>
            </w:pPr>
            <w:r>
              <w:rPr>
                <w:rFonts w:ascii="Arial" w:cs="Arial" w:eastAsia="Arial" w:hAnsi="Arial"/>
                <w:sz w:val="14"/>
                <w:szCs w:val="14"/>
                <w:b w:val="1"/>
                <w:bCs w:val="1"/>
                <w:color w:val="auto"/>
              </w:rPr>
              <w:t>Amount</w:t>
            </w:r>
          </w:p>
        </w:tc>
        <w:tc>
          <w:tcPr>
            <w:tcW w:w="240" w:type="dxa"/>
            <w:vAlign w:val="bottom"/>
            <w:gridSpan w:val="2"/>
          </w:tcPr>
          <w:p>
            <w:pPr>
              <w:spacing w:after="0"/>
              <w:rPr>
                <w:sz w:val="12"/>
                <w:szCs w:val="12"/>
                <w:color w:val="auto"/>
              </w:rPr>
            </w:pPr>
          </w:p>
        </w:tc>
        <w:tc>
          <w:tcPr>
            <w:tcW w:w="880" w:type="dxa"/>
            <w:vAlign w:val="bottom"/>
          </w:tcPr>
          <w:p>
            <w:pPr>
              <w:jc w:val="center"/>
              <w:ind w:right="58"/>
              <w:spacing w:after="0" w:line="146"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2"/>
                <w:szCs w:val="12"/>
                <w:color w:val="auto"/>
              </w:rPr>
            </w:pPr>
          </w:p>
        </w:tc>
        <w:tc>
          <w:tcPr>
            <w:tcW w:w="1260" w:type="dxa"/>
            <w:vAlign w:val="bottom"/>
            <w:gridSpan w:val="4"/>
          </w:tcPr>
          <w:p>
            <w:pPr>
              <w:jc w:val="center"/>
              <w:ind w:right="240"/>
              <w:spacing w:after="0" w:line="146" w:lineRule="exact"/>
              <w:rPr>
                <w:sz w:val="20"/>
                <w:szCs w:val="20"/>
                <w:color w:val="auto"/>
              </w:rPr>
            </w:pPr>
            <w:r>
              <w:rPr>
                <w:rFonts w:ascii="Arial" w:cs="Arial" w:eastAsia="Arial" w:hAnsi="Arial"/>
                <w:sz w:val="14"/>
                <w:szCs w:val="14"/>
                <w:b w:val="1"/>
                <w:bCs w:val="1"/>
                <w:color w:val="auto"/>
                <w:w w:val="98"/>
              </w:rPr>
              <w:t>Income (Loss)</w:t>
            </w:r>
          </w:p>
        </w:tc>
        <w:tc>
          <w:tcPr>
            <w:tcW w:w="1200" w:type="dxa"/>
            <w:vAlign w:val="bottom"/>
            <w:gridSpan w:val="3"/>
          </w:tcPr>
          <w:p>
            <w:pPr>
              <w:jc w:val="right"/>
              <w:ind w:right="560"/>
              <w:spacing w:after="0" w:line="146"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2"/>
                <w:szCs w:val="12"/>
                <w:color w:val="auto"/>
              </w:rPr>
            </w:pPr>
          </w:p>
        </w:tc>
        <w:tc>
          <w:tcPr>
            <w:tcW w:w="860" w:type="dxa"/>
            <w:vAlign w:val="bottom"/>
          </w:tcPr>
          <w:p>
            <w:pPr>
              <w:jc w:val="center"/>
              <w:ind w:right="117"/>
              <w:spacing w:after="0" w:line="146" w:lineRule="exact"/>
              <w:rPr>
                <w:sz w:val="20"/>
                <w:szCs w:val="20"/>
                <w:color w:val="auto"/>
              </w:rPr>
            </w:pPr>
            <w:r>
              <w:rPr>
                <w:rFonts w:ascii="Arial" w:cs="Arial" w:eastAsia="Arial" w:hAnsi="Arial"/>
                <w:sz w:val="14"/>
                <w:szCs w:val="14"/>
                <w:b w:val="1"/>
                <w:bCs w:val="1"/>
                <w:color w:val="auto"/>
                <w:w w:val="98"/>
              </w:rPr>
              <w:t>Deficit</w:t>
            </w:r>
          </w:p>
        </w:tc>
      </w:tr>
      <w:tr>
        <w:trPr>
          <w:trHeight w:val="155"/>
        </w:trPr>
        <w:tc>
          <w:tcPr>
            <w:tcW w:w="20" w:type="dxa"/>
            <w:vAlign w:val="bottom"/>
          </w:tcPr>
          <w:p>
            <w:pPr>
              <w:spacing w:after="0"/>
              <w:rPr>
                <w:sz w:val="13"/>
                <w:szCs w:val="13"/>
                <w:color w:val="auto"/>
              </w:rPr>
            </w:pPr>
          </w:p>
        </w:tc>
        <w:tc>
          <w:tcPr>
            <w:tcW w:w="15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b w:val="1"/>
                <w:bCs w:val="1"/>
                <w:color w:val="auto"/>
              </w:rPr>
              <w:t>Balance as of</w:t>
            </w:r>
          </w:p>
        </w:tc>
        <w:tc>
          <w:tcPr>
            <w:tcW w:w="6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r>
      <w:tr>
        <w:trPr>
          <w:trHeight w:val="192"/>
        </w:trPr>
        <w:tc>
          <w:tcPr>
            <w:tcW w:w="20" w:type="dxa"/>
            <w:vAlign w:val="bottom"/>
          </w:tcPr>
          <w:p>
            <w:pPr>
              <w:spacing w:after="0"/>
              <w:rPr>
                <w:sz w:val="16"/>
                <w:szCs w:val="16"/>
                <w:color w:val="auto"/>
              </w:rPr>
            </w:pPr>
          </w:p>
        </w:tc>
        <w:tc>
          <w:tcPr>
            <w:tcW w:w="1540" w:type="dxa"/>
            <w:vAlign w:val="bottom"/>
            <w:shd w:val="clear" w:color="auto" w:fill="CCEEFF"/>
          </w:tcPr>
          <w:p>
            <w:pPr>
              <w:ind w:left="140"/>
              <w:spacing w:after="0" w:line="192" w:lineRule="exact"/>
              <w:rPr>
                <w:sz w:val="20"/>
                <w:szCs w:val="20"/>
                <w:color w:val="auto"/>
              </w:rPr>
            </w:pPr>
            <w:r>
              <w:rPr>
                <w:rFonts w:ascii="Arial" w:cs="Arial" w:eastAsia="Arial" w:hAnsi="Arial"/>
                <w:sz w:val="17"/>
                <w:szCs w:val="17"/>
                <w:b w:val="1"/>
                <w:bCs w:val="1"/>
                <w:color w:val="auto"/>
              </w:rPr>
              <w:t>December 31,</w:t>
            </w:r>
          </w:p>
        </w:tc>
        <w:tc>
          <w:tcPr>
            <w:tcW w:w="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w w:val="77"/>
              </w:rPr>
              <w:t> $</w:t>
            </w:r>
          </w:p>
        </w:tc>
        <w:tc>
          <w:tcPr>
            <w:tcW w:w="760" w:type="dxa"/>
            <w:vAlign w:val="bottom"/>
            <w:gridSpan w:val="3"/>
            <w:shd w:val="clear" w:color="auto" w:fill="CCEEFF"/>
          </w:tcPr>
          <w:p>
            <w:pPr>
              <w:ind w:left="20"/>
              <w:spacing w:after="0" w:line="192" w:lineRule="exact"/>
              <w:rPr>
                <w:sz w:val="20"/>
                <w:szCs w:val="20"/>
                <w:color w:val="auto"/>
              </w:rPr>
            </w:pPr>
            <w:r>
              <w:rPr>
                <w:rFonts w:ascii="Arial" w:cs="Arial" w:eastAsia="Arial" w:hAnsi="Arial"/>
                <w:sz w:val="17"/>
                <w:szCs w:val="17"/>
                <w:color w:val="auto"/>
              </w:rPr>
              <w:t>      —</w:t>
            </w: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154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2021</w:t>
            </w:r>
          </w:p>
        </w:tc>
        <w:tc>
          <w:tcPr>
            <w:tcW w:w="15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 xml:space="preserve">   144,589,706     $ </w:t>
            </w:r>
          </w:p>
        </w:tc>
        <w:tc>
          <w:tcPr>
            <w:tcW w:w="10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74"/>
              </w:rPr>
              <w:t>   147,946      </w:t>
            </w:r>
          </w:p>
        </w:tc>
        <w:tc>
          <w:tcPr>
            <w:tcW w:w="1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1,007,534    </w:t>
            </w: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w w:val="95"/>
              </w:rPr>
              <w:t>     $</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xml:space="preserve">      2,760     $  </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4"/>
              </w:rPr>
              <w:t>   (175)     $</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w w:val="96"/>
              </w:rPr>
              <w:t xml:space="preserve">      (40,774)    $ </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   (38,189)</w:t>
            </w:r>
          </w:p>
        </w:tc>
      </w:tr>
      <w:tr>
        <w:trPr>
          <w:trHeight w:val="175"/>
        </w:trPr>
        <w:tc>
          <w:tcPr>
            <w:tcW w:w="20" w:type="dxa"/>
            <w:vAlign w:val="bottom"/>
          </w:tcPr>
          <w:p>
            <w:pPr>
              <w:spacing w:after="0"/>
              <w:rPr>
                <w:sz w:val="15"/>
                <w:szCs w:val="15"/>
                <w:color w:val="auto"/>
              </w:rPr>
            </w:pPr>
          </w:p>
        </w:tc>
        <w:tc>
          <w:tcPr>
            <w:tcW w:w="1540" w:type="dxa"/>
            <w:vAlign w:val="bottom"/>
          </w:tcPr>
          <w:p>
            <w:pPr>
              <w:ind w:left="140"/>
              <w:spacing w:after="0" w:line="175" w:lineRule="exact"/>
              <w:rPr>
                <w:sz w:val="20"/>
                <w:szCs w:val="20"/>
                <w:color w:val="auto"/>
              </w:rPr>
            </w:pPr>
            <w:r>
              <w:rPr>
                <w:rFonts w:ascii="Arial" w:cs="Arial" w:eastAsia="Arial" w:hAnsi="Arial"/>
                <w:sz w:val="17"/>
                <w:szCs w:val="17"/>
                <w:color w:val="auto"/>
                <w:w w:val="99"/>
              </w:rPr>
              <w:t>Vesting of founder</w:t>
            </w: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1540" w:type="dxa"/>
            <w:vAlign w:val="bottom"/>
          </w:tcPr>
          <w:p>
            <w:pPr>
              <w:ind w:left="320"/>
              <w:spacing w:after="0" w:line="192" w:lineRule="exact"/>
              <w:rPr>
                <w:sz w:val="20"/>
                <w:szCs w:val="20"/>
                <w:color w:val="auto"/>
              </w:rPr>
            </w:pPr>
            <w:r>
              <w:rPr>
                <w:rFonts w:ascii="Arial" w:cs="Arial" w:eastAsia="Arial" w:hAnsi="Arial"/>
                <w:sz w:val="17"/>
                <w:szCs w:val="17"/>
                <w:color w:val="auto"/>
              </w:rPr>
              <w:t>shares and</w:t>
            </w: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540" w:type="dxa"/>
            <w:vAlign w:val="bottom"/>
          </w:tcPr>
          <w:p>
            <w:pPr>
              <w:ind w:left="320"/>
              <w:spacing w:after="0" w:line="192" w:lineRule="exact"/>
              <w:rPr>
                <w:sz w:val="20"/>
                <w:szCs w:val="20"/>
                <w:color w:val="auto"/>
              </w:rPr>
            </w:pPr>
            <w:r>
              <w:rPr>
                <w:rFonts w:ascii="Arial" w:cs="Arial" w:eastAsia="Arial" w:hAnsi="Arial"/>
                <w:sz w:val="17"/>
                <w:szCs w:val="17"/>
                <w:color w:val="auto"/>
              </w:rPr>
              <w:t>restricted stock</w:t>
            </w: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1540" w:type="dxa"/>
            <w:vAlign w:val="bottom"/>
          </w:tcPr>
          <w:p>
            <w:pPr>
              <w:ind w:left="320"/>
              <w:spacing w:after="0"/>
              <w:rPr>
                <w:sz w:val="20"/>
                <w:szCs w:val="20"/>
                <w:color w:val="auto"/>
              </w:rPr>
            </w:pPr>
            <w:r>
              <w:rPr>
                <w:rFonts w:ascii="Arial" w:cs="Arial" w:eastAsia="Arial" w:hAnsi="Arial"/>
                <w:sz w:val="17"/>
                <w:szCs w:val="17"/>
                <w:color w:val="auto"/>
              </w:rPr>
              <w:t>awards</w:t>
            </w:r>
          </w:p>
        </w:tc>
        <w:tc>
          <w:tcPr>
            <w:tcW w:w="60" w:type="dxa"/>
            <w:vAlign w:val="bottom"/>
          </w:tcPr>
          <w:p>
            <w:pPr>
              <w:spacing w:after="0"/>
              <w:rPr>
                <w:sz w:val="18"/>
                <w:szCs w:val="18"/>
                <w:color w:val="auto"/>
              </w:rPr>
            </w:pPr>
          </w:p>
        </w:tc>
        <w:tc>
          <w:tcPr>
            <w:tcW w:w="1480" w:type="dxa"/>
            <w:vAlign w:val="bottom"/>
            <w:gridSpan w:val="3"/>
          </w:tcPr>
          <w:p>
            <w:pPr>
              <w:ind w:left="860"/>
              <w:spacing w:after="0"/>
              <w:rPr>
                <w:sz w:val="20"/>
                <w:szCs w:val="20"/>
                <w:color w:val="auto"/>
              </w:rPr>
            </w:pPr>
            <w:r>
              <w:rPr>
                <w:rFonts w:ascii="Arial" w:cs="Arial" w:eastAsia="Arial" w:hAnsi="Arial"/>
                <w:sz w:val="17"/>
                <w:szCs w:val="17"/>
                <w:color w:val="auto"/>
              </w:rPr>
              <w:t>—     </w:t>
            </w:r>
          </w:p>
        </w:tc>
        <w:tc>
          <w:tcPr>
            <w:tcW w:w="1200" w:type="dxa"/>
            <w:vAlign w:val="bottom"/>
            <w:gridSpan w:val="3"/>
          </w:tcPr>
          <w:p>
            <w:pPr>
              <w:jc w:val="right"/>
              <w:ind w:right="100"/>
              <w:spacing w:after="0"/>
              <w:rPr>
                <w:sz w:val="20"/>
                <w:szCs w:val="20"/>
                <w:color w:val="auto"/>
              </w:rPr>
            </w:pPr>
            <w:r>
              <w:rPr>
                <w:rFonts w:ascii="Arial" w:cs="Arial" w:eastAsia="Arial" w:hAnsi="Arial"/>
                <w:sz w:val="17"/>
                <w:szCs w:val="17"/>
                <w:color w:val="auto"/>
              </w:rPr>
              <w:t>     </w:t>
            </w:r>
          </w:p>
        </w:tc>
        <w:tc>
          <w:tcPr>
            <w:tcW w:w="1340" w:type="dxa"/>
            <w:vAlign w:val="bottom"/>
            <w:gridSpan w:val="3"/>
          </w:tcPr>
          <w:p>
            <w:pPr>
              <w:jc w:val="right"/>
              <w:spacing w:after="0"/>
              <w:rPr>
                <w:sz w:val="20"/>
                <w:szCs w:val="20"/>
                <w:color w:val="auto"/>
              </w:rPr>
            </w:pPr>
            <w:r>
              <w:rPr>
                <w:rFonts w:ascii="Arial" w:cs="Arial" w:eastAsia="Arial" w:hAnsi="Arial"/>
                <w:sz w:val="17"/>
                <w:szCs w:val="17"/>
                <w:color w:val="auto"/>
              </w:rPr>
              <w:t>65,595     </w:t>
            </w:r>
          </w:p>
        </w:tc>
        <w:tc>
          <w:tcPr>
            <w:tcW w:w="60" w:type="dxa"/>
            <w:vAlign w:val="bottom"/>
          </w:tcPr>
          <w:p>
            <w:pPr>
              <w:spacing w:after="0"/>
              <w:rPr>
                <w:sz w:val="18"/>
                <w:szCs w:val="18"/>
                <w:color w:val="auto"/>
              </w:rPr>
            </w:pPr>
          </w:p>
        </w:tc>
        <w:tc>
          <w:tcPr>
            <w:tcW w:w="760" w:type="dxa"/>
            <w:vAlign w:val="bottom"/>
            <w:gridSpan w:val="3"/>
          </w:tcPr>
          <w:p>
            <w:pPr>
              <w:ind w:left="260"/>
              <w:spacing w:after="0"/>
              <w:rPr>
                <w:sz w:val="20"/>
                <w:szCs w:val="20"/>
                <w:color w:val="auto"/>
              </w:rPr>
            </w:pPr>
            <w:r>
              <w:rPr>
                <w:rFonts w:ascii="Arial" w:cs="Arial" w:eastAsia="Arial" w:hAnsi="Arial"/>
                <w:sz w:val="17"/>
                <w:szCs w:val="17"/>
                <w:color w:val="auto"/>
              </w:rPr>
              <w:t>—     </w:t>
            </w:r>
          </w:p>
        </w:tc>
        <w:tc>
          <w:tcPr>
            <w:tcW w:w="1280" w:type="dxa"/>
            <w:vAlign w:val="bottom"/>
            <w:gridSpan w:val="3"/>
          </w:tcPr>
          <w:p>
            <w:pPr>
              <w:jc w:val="right"/>
              <w:ind w:right="192"/>
              <w:spacing w:after="0"/>
              <w:rPr>
                <w:sz w:val="20"/>
                <w:szCs w:val="20"/>
                <w:color w:val="auto"/>
              </w:rPr>
            </w:pPr>
            <w:r>
              <w:rPr>
                <w:rFonts w:ascii="Arial" w:cs="Arial" w:eastAsia="Arial" w:hAnsi="Arial"/>
                <w:sz w:val="17"/>
                <w:szCs w:val="17"/>
                <w:color w:val="auto"/>
              </w:rPr>
              <w:t>—     </w:t>
            </w:r>
          </w:p>
        </w:tc>
        <w:tc>
          <w:tcPr>
            <w:tcW w:w="960" w:type="dxa"/>
            <w:vAlign w:val="bottom"/>
            <w:gridSpan w:val="3"/>
          </w:tcPr>
          <w:p>
            <w:pPr>
              <w:jc w:val="right"/>
              <w:ind w:right="80"/>
              <w:spacing w:after="0"/>
              <w:rPr>
                <w:sz w:val="20"/>
                <w:szCs w:val="20"/>
                <w:color w:val="auto"/>
              </w:rPr>
            </w:pPr>
            <w:r>
              <w:rPr>
                <w:rFonts w:ascii="Arial" w:cs="Arial" w:eastAsia="Arial" w:hAnsi="Arial"/>
                <w:sz w:val="17"/>
                <w:szCs w:val="17"/>
                <w:color w:val="auto"/>
              </w:rPr>
              <w:t>—     </w:t>
            </w:r>
          </w:p>
        </w:tc>
        <w:tc>
          <w:tcPr>
            <w:tcW w:w="1200" w:type="dxa"/>
            <w:vAlign w:val="bottom"/>
            <w:gridSpan w:val="3"/>
          </w:tcPr>
          <w:p>
            <w:pPr>
              <w:jc w:val="right"/>
              <w:ind w:right="40"/>
              <w:spacing w:after="0"/>
              <w:rPr>
                <w:sz w:val="20"/>
                <w:szCs w:val="20"/>
                <w:color w:val="auto"/>
              </w:rPr>
            </w:pPr>
            <w:r>
              <w:rPr>
                <w:rFonts w:ascii="Arial" w:cs="Arial" w:eastAsia="Arial" w:hAnsi="Arial"/>
                <w:sz w:val="17"/>
                <w:szCs w:val="17"/>
                <w:color w:val="auto"/>
              </w:rPr>
              <w:t>—     </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 </w:t>
            </w:r>
          </w:p>
        </w:tc>
      </w:tr>
      <w:tr>
        <w:trPr>
          <w:trHeight w:val="175"/>
        </w:trPr>
        <w:tc>
          <w:tcPr>
            <w:tcW w:w="20" w:type="dxa"/>
            <w:vAlign w:val="bottom"/>
          </w:tcPr>
          <w:p>
            <w:pPr>
              <w:spacing w:after="0"/>
              <w:rPr>
                <w:sz w:val="15"/>
                <w:szCs w:val="15"/>
                <w:color w:val="auto"/>
              </w:rPr>
            </w:pPr>
          </w:p>
        </w:tc>
        <w:tc>
          <w:tcPr>
            <w:tcW w:w="1540" w:type="dxa"/>
            <w:vAlign w:val="bottom"/>
            <w:shd w:val="clear" w:color="auto" w:fill="CCEEFF"/>
          </w:tcPr>
          <w:p>
            <w:pPr>
              <w:ind w:left="140"/>
              <w:spacing w:after="0" w:line="175" w:lineRule="exact"/>
              <w:rPr>
                <w:sz w:val="20"/>
                <w:szCs w:val="20"/>
                <w:color w:val="auto"/>
              </w:rPr>
            </w:pPr>
            <w:r>
              <w:rPr>
                <w:rFonts w:ascii="Arial" w:cs="Arial" w:eastAsia="Arial" w:hAnsi="Arial"/>
                <w:sz w:val="17"/>
                <w:szCs w:val="17"/>
                <w:color w:val="auto"/>
              </w:rPr>
              <w:t>Vesting of early</w:t>
            </w:r>
          </w:p>
        </w:tc>
        <w:tc>
          <w:tcPr>
            <w:tcW w:w="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1540" w:type="dxa"/>
            <w:vAlign w:val="bottom"/>
            <w:shd w:val="clear" w:color="auto" w:fill="CCEEFF"/>
          </w:tcPr>
          <w:p>
            <w:pPr>
              <w:ind w:left="320"/>
              <w:spacing w:after="0" w:line="192" w:lineRule="exact"/>
              <w:rPr>
                <w:sz w:val="20"/>
                <w:szCs w:val="20"/>
                <w:color w:val="auto"/>
              </w:rPr>
            </w:pPr>
            <w:r>
              <w:rPr>
                <w:rFonts w:ascii="Arial" w:cs="Arial" w:eastAsia="Arial" w:hAnsi="Arial"/>
                <w:sz w:val="17"/>
                <w:szCs w:val="17"/>
                <w:color w:val="auto"/>
              </w:rPr>
              <w:t>exercised stock</w:t>
            </w:r>
          </w:p>
        </w:tc>
        <w:tc>
          <w:tcPr>
            <w:tcW w:w="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1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options</w:t>
            </w:r>
          </w:p>
        </w:tc>
        <w:tc>
          <w:tcPr>
            <w:tcW w:w="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860"/>
              <w:spacing w:after="0"/>
              <w:rPr>
                <w:sz w:val="20"/>
                <w:szCs w:val="20"/>
                <w:color w:val="auto"/>
              </w:rPr>
            </w:pPr>
            <w:r>
              <w:rPr>
                <w:rFonts w:ascii="Arial" w:cs="Arial" w:eastAsia="Arial" w:hAnsi="Arial"/>
                <w:sz w:val="17"/>
                <w:szCs w:val="17"/>
                <w:color w:val="auto"/>
              </w:rPr>
              <w:t>—     </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     </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69,639     </w:t>
            </w: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     </w:t>
            </w:r>
          </w:p>
        </w:tc>
        <w:tc>
          <w:tcPr>
            <w:tcW w:w="1280" w:type="dxa"/>
            <w:vAlign w:val="bottom"/>
            <w:gridSpan w:val="3"/>
            <w:shd w:val="clear" w:color="auto" w:fill="CCEEFF"/>
          </w:tcPr>
          <w:p>
            <w:pPr>
              <w:jc w:val="right"/>
              <w:ind w:right="192"/>
              <w:spacing w:after="0"/>
              <w:rPr>
                <w:sz w:val="20"/>
                <w:szCs w:val="20"/>
                <w:color w:val="auto"/>
              </w:rPr>
            </w:pPr>
            <w:r>
              <w:rPr>
                <w:rFonts w:ascii="Arial" w:cs="Arial" w:eastAsia="Arial" w:hAnsi="Arial"/>
                <w:sz w:val="17"/>
                <w:szCs w:val="17"/>
                <w:color w:val="auto"/>
              </w:rPr>
              <w:t>206     </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     </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     </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r>
      <w:tr>
        <w:trPr>
          <w:trHeight w:val="175"/>
        </w:trPr>
        <w:tc>
          <w:tcPr>
            <w:tcW w:w="20" w:type="dxa"/>
            <w:vAlign w:val="bottom"/>
          </w:tcPr>
          <w:p>
            <w:pPr>
              <w:spacing w:after="0"/>
              <w:rPr>
                <w:sz w:val="15"/>
                <w:szCs w:val="15"/>
                <w:color w:val="auto"/>
              </w:rPr>
            </w:pPr>
          </w:p>
        </w:tc>
        <w:tc>
          <w:tcPr>
            <w:tcW w:w="1540" w:type="dxa"/>
            <w:vAlign w:val="bottom"/>
          </w:tcPr>
          <w:p>
            <w:pPr>
              <w:ind w:left="140"/>
              <w:spacing w:after="0" w:line="175" w:lineRule="exact"/>
              <w:rPr>
                <w:sz w:val="20"/>
                <w:szCs w:val="20"/>
                <w:color w:val="auto"/>
              </w:rPr>
            </w:pPr>
            <w:r>
              <w:rPr>
                <w:rFonts w:ascii="Arial" w:cs="Arial" w:eastAsia="Arial" w:hAnsi="Arial"/>
                <w:sz w:val="17"/>
                <w:szCs w:val="17"/>
                <w:color w:val="auto"/>
              </w:rPr>
              <w:t>Exercise of stock</w:t>
            </w: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8"/>
        </w:trPr>
        <w:tc>
          <w:tcPr>
            <w:tcW w:w="20" w:type="dxa"/>
            <w:vAlign w:val="bottom"/>
          </w:tcPr>
          <w:p>
            <w:pPr>
              <w:spacing w:after="0"/>
              <w:rPr>
                <w:sz w:val="18"/>
                <w:szCs w:val="18"/>
                <w:color w:val="auto"/>
              </w:rPr>
            </w:pPr>
          </w:p>
        </w:tc>
        <w:tc>
          <w:tcPr>
            <w:tcW w:w="1540" w:type="dxa"/>
            <w:vAlign w:val="bottom"/>
          </w:tcPr>
          <w:p>
            <w:pPr>
              <w:ind w:left="320"/>
              <w:spacing w:after="0"/>
              <w:rPr>
                <w:sz w:val="20"/>
                <w:szCs w:val="20"/>
                <w:color w:val="auto"/>
              </w:rPr>
            </w:pPr>
            <w:r>
              <w:rPr>
                <w:rFonts w:ascii="Arial" w:cs="Arial" w:eastAsia="Arial" w:hAnsi="Arial"/>
                <w:sz w:val="17"/>
                <w:szCs w:val="17"/>
                <w:color w:val="auto"/>
              </w:rPr>
              <w:t>options</w:t>
            </w:r>
          </w:p>
        </w:tc>
        <w:tc>
          <w:tcPr>
            <w:tcW w:w="60" w:type="dxa"/>
            <w:vAlign w:val="bottom"/>
          </w:tcPr>
          <w:p>
            <w:pPr>
              <w:spacing w:after="0"/>
              <w:rPr>
                <w:sz w:val="18"/>
                <w:szCs w:val="18"/>
                <w:color w:val="auto"/>
              </w:rPr>
            </w:pPr>
          </w:p>
        </w:tc>
        <w:tc>
          <w:tcPr>
            <w:tcW w:w="1480" w:type="dxa"/>
            <w:vAlign w:val="bottom"/>
            <w:gridSpan w:val="3"/>
          </w:tcPr>
          <w:p>
            <w:pPr>
              <w:ind w:left="860"/>
              <w:spacing w:after="0"/>
              <w:rPr>
                <w:sz w:val="20"/>
                <w:szCs w:val="20"/>
                <w:color w:val="auto"/>
              </w:rPr>
            </w:pPr>
            <w:r>
              <w:rPr>
                <w:rFonts w:ascii="Arial" w:cs="Arial" w:eastAsia="Arial" w:hAnsi="Arial"/>
                <w:sz w:val="17"/>
                <w:szCs w:val="17"/>
                <w:color w:val="auto"/>
              </w:rPr>
              <w:t>—     </w:t>
            </w:r>
          </w:p>
        </w:tc>
        <w:tc>
          <w:tcPr>
            <w:tcW w:w="1200" w:type="dxa"/>
            <w:vAlign w:val="bottom"/>
            <w:gridSpan w:val="3"/>
          </w:tcPr>
          <w:p>
            <w:pPr>
              <w:jc w:val="right"/>
              <w:ind w:right="100"/>
              <w:spacing w:after="0"/>
              <w:rPr>
                <w:sz w:val="20"/>
                <w:szCs w:val="20"/>
                <w:color w:val="auto"/>
              </w:rPr>
            </w:pPr>
            <w:r>
              <w:rPr>
                <w:rFonts w:ascii="Arial" w:cs="Arial" w:eastAsia="Arial" w:hAnsi="Arial"/>
                <w:sz w:val="17"/>
                <w:szCs w:val="17"/>
                <w:color w:val="auto"/>
              </w:rPr>
              <w:t>—     </w:t>
            </w:r>
          </w:p>
        </w:tc>
        <w:tc>
          <w:tcPr>
            <w:tcW w:w="1340" w:type="dxa"/>
            <w:vAlign w:val="bottom"/>
            <w:gridSpan w:val="3"/>
          </w:tcPr>
          <w:p>
            <w:pPr>
              <w:jc w:val="right"/>
              <w:spacing w:after="0"/>
              <w:rPr>
                <w:sz w:val="20"/>
                <w:szCs w:val="20"/>
                <w:color w:val="auto"/>
              </w:rPr>
            </w:pPr>
            <w:r>
              <w:rPr>
                <w:rFonts w:ascii="Arial" w:cs="Arial" w:eastAsia="Arial" w:hAnsi="Arial"/>
                <w:sz w:val="17"/>
                <w:szCs w:val="17"/>
                <w:color w:val="auto"/>
              </w:rPr>
              <w:t>24,472     </w:t>
            </w:r>
          </w:p>
        </w:tc>
        <w:tc>
          <w:tcPr>
            <w:tcW w:w="60" w:type="dxa"/>
            <w:vAlign w:val="bottom"/>
          </w:tcPr>
          <w:p>
            <w:pPr>
              <w:spacing w:after="0"/>
              <w:rPr>
                <w:sz w:val="18"/>
                <w:szCs w:val="18"/>
                <w:color w:val="auto"/>
              </w:rPr>
            </w:pPr>
          </w:p>
        </w:tc>
        <w:tc>
          <w:tcPr>
            <w:tcW w:w="760" w:type="dxa"/>
            <w:vAlign w:val="bottom"/>
            <w:gridSpan w:val="3"/>
          </w:tcPr>
          <w:p>
            <w:pPr>
              <w:ind w:left="260"/>
              <w:spacing w:after="0"/>
              <w:rPr>
                <w:sz w:val="20"/>
                <w:szCs w:val="20"/>
                <w:color w:val="auto"/>
              </w:rPr>
            </w:pPr>
            <w:r>
              <w:rPr>
                <w:rFonts w:ascii="Arial" w:cs="Arial" w:eastAsia="Arial" w:hAnsi="Arial"/>
                <w:sz w:val="17"/>
                <w:szCs w:val="17"/>
                <w:color w:val="auto"/>
              </w:rPr>
              <w:t>—     </w:t>
            </w:r>
          </w:p>
        </w:tc>
        <w:tc>
          <w:tcPr>
            <w:tcW w:w="1280" w:type="dxa"/>
            <w:vAlign w:val="bottom"/>
            <w:gridSpan w:val="3"/>
          </w:tcPr>
          <w:p>
            <w:pPr>
              <w:jc w:val="right"/>
              <w:ind w:right="192"/>
              <w:spacing w:after="0"/>
              <w:rPr>
                <w:sz w:val="20"/>
                <w:szCs w:val="20"/>
                <w:color w:val="auto"/>
              </w:rPr>
            </w:pPr>
            <w:r>
              <w:rPr>
                <w:rFonts w:ascii="Arial" w:cs="Arial" w:eastAsia="Arial" w:hAnsi="Arial"/>
                <w:sz w:val="17"/>
                <w:szCs w:val="17"/>
                <w:color w:val="auto"/>
              </w:rPr>
              <w:t>121     </w:t>
            </w:r>
          </w:p>
        </w:tc>
        <w:tc>
          <w:tcPr>
            <w:tcW w:w="960" w:type="dxa"/>
            <w:vAlign w:val="bottom"/>
            <w:gridSpan w:val="3"/>
          </w:tcPr>
          <w:p>
            <w:pPr>
              <w:jc w:val="right"/>
              <w:ind w:right="80"/>
              <w:spacing w:after="0"/>
              <w:rPr>
                <w:sz w:val="20"/>
                <w:szCs w:val="20"/>
                <w:color w:val="auto"/>
              </w:rPr>
            </w:pPr>
            <w:r>
              <w:rPr>
                <w:rFonts w:ascii="Arial" w:cs="Arial" w:eastAsia="Arial" w:hAnsi="Arial"/>
                <w:sz w:val="17"/>
                <w:szCs w:val="17"/>
                <w:color w:val="auto"/>
              </w:rPr>
              <w:t>—     </w:t>
            </w:r>
          </w:p>
        </w:tc>
        <w:tc>
          <w:tcPr>
            <w:tcW w:w="1200" w:type="dxa"/>
            <w:vAlign w:val="bottom"/>
            <w:gridSpan w:val="3"/>
          </w:tcPr>
          <w:p>
            <w:pPr>
              <w:jc w:val="right"/>
              <w:ind w:right="40"/>
              <w:spacing w:after="0"/>
              <w:rPr>
                <w:sz w:val="20"/>
                <w:szCs w:val="20"/>
                <w:color w:val="auto"/>
              </w:rPr>
            </w:pPr>
            <w:r>
              <w:rPr>
                <w:rFonts w:ascii="Arial" w:cs="Arial" w:eastAsia="Arial" w:hAnsi="Arial"/>
                <w:sz w:val="17"/>
                <w:szCs w:val="17"/>
                <w:color w:val="auto"/>
              </w:rPr>
              <w:t>—     </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121</w:t>
            </w:r>
          </w:p>
        </w:tc>
      </w:tr>
      <w:tr>
        <w:trPr>
          <w:trHeight w:val="175"/>
        </w:trPr>
        <w:tc>
          <w:tcPr>
            <w:tcW w:w="20" w:type="dxa"/>
            <w:vAlign w:val="bottom"/>
          </w:tcPr>
          <w:p>
            <w:pPr>
              <w:spacing w:after="0"/>
              <w:rPr>
                <w:sz w:val="15"/>
                <w:szCs w:val="15"/>
                <w:color w:val="auto"/>
              </w:rPr>
            </w:pPr>
          </w:p>
        </w:tc>
        <w:tc>
          <w:tcPr>
            <w:tcW w:w="1540" w:type="dxa"/>
            <w:vAlign w:val="bottom"/>
            <w:shd w:val="clear" w:color="auto" w:fill="CCEEFF"/>
          </w:tcPr>
          <w:p>
            <w:pPr>
              <w:ind w:left="140"/>
              <w:spacing w:after="0" w:line="175" w:lineRule="exact"/>
              <w:rPr>
                <w:sz w:val="20"/>
                <w:szCs w:val="20"/>
                <w:color w:val="auto"/>
              </w:rPr>
            </w:pPr>
            <w:r>
              <w:rPr>
                <w:rFonts w:ascii="Arial" w:cs="Arial" w:eastAsia="Arial" w:hAnsi="Arial"/>
                <w:sz w:val="17"/>
                <w:szCs w:val="17"/>
                <w:color w:val="auto"/>
              </w:rPr>
              <w:t>Stock-based</w:t>
            </w:r>
          </w:p>
        </w:tc>
        <w:tc>
          <w:tcPr>
            <w:tcW w:w="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08"/>
        </w:trPr>
        <w:tc>
          <w:tcPr>
            <w:tcW w:w="20" w:type="dxa"/>
            <w:vAlign w:val="bottom"/>
          </w:tcPr>
          <w:p>
            <w:pPr>
              <w:spacing w:after="0"/>
              <w:rPr>
                <w:sz w:val="18"/>
                <w:szCs w:val="18"/>
                <w:color w:val="auto"/>
              </w:rPr>
            </w:pPr>
          </w:p>
        </w:tc>
        <w:tc>
          <w:tcPr>
            <w:tcW w:w="1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compensation</w:t>
            </w:r>
          </w:p>
        </w:tc>
        <w:tc>
          <w:tcPr>
            <w:tcW w:w="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860"/>
              <w:spacing w:after="0"/>
              <w:rPr>
                <w:sz w:val="20"/>
                <w:szCs w:val="20"/>
                <w:color w:val="auto"/>
              </w:rPr>
            </w:pPr>
            <w:r>
              <w:rPr>
                <w:rFonts w:ascii="Arial" w:cs="Arial" w:eastAsia="Arial" w:hAnsi="Arial"/>
                <w:sz w:val="17"/>
                <w:szCs w:val="17"/>
                <w:color w:val="auto"/>
              </w:rPr>
              <w:t>—     </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     </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     </w:t>
            </w:r>
          </w:p>
        </w:tc>
        <w:tc>
          <w:tcPr>
            <w:tcW w:w="1280" w:type="dxa"/>
            <w:vAlign w:val="bottom"/>
            <w:gridSpan w:val="3"/>
            <w:shd w:val="clear" w:color="auto" w:fill="CCEEFF"/>
          </w:tcPr>
          <w:p>
            <w:pPr>
              <w:jc w:val="right"/>
              <w:ind w:right="192"/>
              <w:spacing w:after="0"/>
              <w:rPr>
                <w:sz w:val="20"/>
                <w:szCs w:val="20"/>
                <w:color w:val="auto"/>
              </w:rPr>
            </w:pPr>
            <w:r>
              <w:rPr>
                <w:rFonts w:ascii="Arial" w:cs="Arial" w:eastAsia="Arial" w:hAnsi="Arial"/>
                <w:sz w:val="17"/>
                <w:szCs w:val="17"/>
                <w:color w:val="auto"/>
              </w:rPr>
              <w:t>2,290     </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     </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     </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2,290</w:t>
            </w:r>
          </w:p>
        </w:tc>
      </w:tr>
      <w:tr>
        <w:trPr>
          <w:trHeight w:val="175"/>
        </w:trPr>
        <w:tc>
          <w:tcPr>
            <w:tcW w:w="20" w:type="dxa"/>
            <w:vAlign w:val="bottom"/>
          </w:tcPr>
          <w:p>
            <w:pPr>
              <w:spacing w:after="0"/>
              <w:rPr>
                <w:sz w:val="15"/>
                <w:szCs w:val="15"/>
                <w:color w:val="auto"/>
              </w:rPr>
            </w:pPr>
          </w:p>
        </w:tc>
        <w:tc>
          <w:tcPr>
            <w:tcW w:w="1540" w:type="dxa"/>
            <w:vAlign w:val="bottom"/>
          </w:tcPr>
          <w:p>
            <w:pPr>
              <w:ind w:left="140"/>
              <w:spacing w:after="0" w:line="175" w:lineRule="exact"/>
              <w:rPr>
                <w:sz w:val="20"/>
                <w:szCs w:val="20"/>
                <w:color w:val="auto"/>
              </w:rPr>
            </w:pPr>
            <w:r>
              <w:rPr>
                <w:rFonts w:ascii="Arial" w:cs="Arial" w:eastAsia="Arial" w:hAnsi="Arial"/>
                <w:sz w:val="17"/>
                <w:szCs w:val="17"/>
                <w:color w:val="auto"/>
                <w:w w:val="98"/>
              </w:rPr>
              <w:t>Unrealized loss on</w:t>
            </w: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1540" w:type="dxa"/>
            <w:vAlign w:val="bottom"/>
          </w:tcPr>
          <w:p>
            <w:pPr>
              <w:ind w:left="320"/>
              <w:spacing w:after="0" w:line="192" w:lineRule="exact"/>
              <w:rPr>
                <w:sz w:val="20"/>
                <w:szCs w:val="20"/>
                <w:color w:val="auto"/>
              </w:rPr>
            </w:pPr>
            <w:r>
              <w:rPr>
                <w:rFonts w:ascii="Arial" w:cs="Arial" w:eastAsia="Arial" w:hAnsi="Arial"/>
                <w:sz w:val="17"/>
                <w:szCs w:val="17"/>
                <w:color w:val="auto"/>
              </w:rPr>
              <w:t>short-term</w:t>
            </w: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1540" w:type="dxa"/>
            <w:vAlign w:val="bottom"/>
          </w:tcPr>
          <w:p>
            <w:pPr>
              <w:ind w:left="320"/>
              <w:spacing w:after="0"/>
              <w:rPr>
                <w:sz w:val="20"/>
                <w:szCs w:val="20"/>
                <w:color w:val="auto"/>
              </w:rPr>
            </w:pPr>
            <w:r>
              <w:rPr>
                <w:rFonts w:ascii="Arial" w:cs="Arial" w:eastAsia="Arial" w:hAnsi="Arial"/>
                <w:sz w:val="17"/>
                <w:szCs w:val="17"/>
                <w:color w:val="auto"/>
              </w:rPr>
              <w:t>investments</w:t>
            </w:r>
          </w:p>
        </w:tc>
        <w:tc>
          <w:tcPr>
            <w:tcW w:w="60" w:type="dxa"/>
            <w:vAlign w:val="bottom"/>
          </w:tcPr>
          <w:p>
            <w:pPr>
              <w:spacing w:after="0"/>
              <w:rPr>
                <w:sz w:val="18"/>
                <w:szCs w:val="18"/>
                <w:color w:val="auto"/>
              </w:rPr>
            </w:pPr>
          </w:p>
        </w:tc>
        <w:tc>
          <w:tcPr>
            <w:tcW w:w="1480" w:type="dxa"/>
            <w:vAlign w:val="bottom"/>
            <w:gridSpan w:val="3"/>
          </w:tcPr>
          <w:p>
            <w:pPr>
              <w:ind w:left="860"/>
              <w:spacing w:after="0"/>
              <w:rPr>
                <w:sz w:val="20"/>
                <w:szCs w:val="20"/>
                <w:color w:val="auto"/>
              </w:rPr>
            </w:pPr>
            <w:r>
              <w:rPr>
                <w:rFonts w:ascii="Arial" w:cs="Arial" w:eastAsia="Arial" w:hAnsi="Arial"/>
                <w:sz w:val="17"/>
                <w:szCs w:val="17"/>
                <w:color w:val="auto"/>
              </w:rPr>
              <w:t>—     </w:t>
            </w:r>
          </w:p>
        </w:tc>
        <w:tc>
          <w:tcPr>
            <w:tcW w:w="1200" w:type="dxa"/>
            <w:vAlign w:val="bottom"/>
            <w:gridSpan w:val="3"/>
          </w:tcPr>
          <w:p>
            <w:pPr>
              <w:jc w:val="right"/>
              <w:ind w:right="100"/>
              <w:spacing w:after="0"/>
              <w:rPr>
                <w:sz w:val="20"/>
                <w:szCs w:val="20"/>
                <w:color w:val="auto"/>
              </w:rPr>
            </w:pPr>
            <w:r>
              <w:rPr>
                <w:rFonts w:ascii="Arial" w:cs="Arial" w:eastAsia="Arial" w:hAnsi="Arial"/>
                <w:sz w:val="17"/>
                <w:szCs w:val="17"/>
                <w:color w:val="auto"/>
              </w:rPr>
              <w:t>—     </w:t>
            </w:r>
          </w:p>
        </w:tc>
        <w:tc>
          <w:tcPr>
            <w:tcW w:w="1340" w:type="dxa"/>
            <w:vAlign w:val="bottom"/>
            <w:gridSpan w:val="3"/>
          </w:tcPr>
          <w:p>
            <w:pPr>
              <w:jc w:val="right"/>
              <w:spacing w:after="0"/>
              <w:rPr>
                <w:sz w:val="20"/>
                <w:szCs w:val="20"/>
                <w:color w:val="auto"/>
              </w:rPr>
            </w:pPr>
            <w:r>
              <w:rPr>
                <w:rFonts w:ascii="Arial" w:cs="Arial" w:eastAsia="Arial" w:hAnsi="Arial"/>
                <w:sz w:val="17"/>
                <w:szCs w:val="17"/>
                <w:color w:val="auto"/>
              </w:rPr>
              <w:t>—     </w:t>
            </w:r>
          </w:p>
        </w:tc>
        <w:tc>
          <w:tcPr>
            <w:tcW w:w="60" w:type="dxa"/>
            <w:vAlign w:val="bottom"/>
          </w:tcPr>
          <w:p>
            <w:pPr>
              <w:spacing w:after="0"/>
              <w:rPr>
                <w:sz w:val="18"/>
                <w:szCs w:val="18"/>
                <w:color w:val="auto"/>
              </w:rPr>
            </w:pPr>
          </w:p>
        </w:tc>
        <w:tc>
          <w:tcPr>
            <w:tcW w:w="760" w:type="dxa"/>
            <w:vAlign w:val="bottom"/>
            <w:gridSpan w:val="3"/>
          </w:tcPr>
          <w:p>
            <w:pPr>
              <w:ind w:left="260"/>
              <w:spacing w:after="0"/>
              <w:rPr>
                <w:sz w:val="20"/>
                <w:szCs w:val="20"/>
                <w:color w:val="auto"/>
              </w:rPr>
            </w:pPr>
            <w:r>
              <w:rPr>
                <w:rFonts w:ascii="Arial" w:cs="Arial" w:eastAsia="Arial" w:hAnsi="Arial"/>
                <w:sz w:val="17"/>
                <w:szCs w:val="17"/>
                <w:color w:val="auto"/>
              </w:rPr>
              <w:t>—     </w:t>
            </w:r>
          </w:p>
        </w:tc>
        <w:tc>
          <w:tcPr>
            <w:tcW w:w="1280" w:type="dxa"/>
            <w:vAlign w:val="bottom"/>
            <w:gridSpan w:val="3"/>
          </w:tcPr>
          <w:p>
            <w:pPr>
              <w:jc w:val="right"/>
              <w:ind w:right="192"/>
              <w:spacing w:after="0"/>
              <w:rPr>
                <w:sz w:val="20"/>
                <w:szCs w:val="20"/>
                <w:color w:val="auto"/>
              </w:rPr>
            </w:pPr>
            <w:r>
              <w:rPr>
                <w:rFonts w:ascii="Arial" w:cs="Arial" w:eastAsia="Arial" w:hAnsi="Arial"/>
                <w:sz w:val="17"/>
                <w:szCs w:val="17"/>
                <w:color w:val="auto"/>
              </w:rPr>
              <w:t>—     </w:t>
            </w:r>
          </w:p>
        </w:tc>
        <w:tc>
          <w:tcPr>
            <w:tcW w:w="960" w:type="dxa"/>
            <w:vAlign w:val="bottom"/>
            <w:gridSpan w:val="3"/>
          </w:tcPr>
          <w:p>
            <w:pPr>
              <w:jc w:val="right"/>
              <w:ind w:right="80"/>
              <w:spacing w:after="0"/>
              <w:rPr>
                <w:sz w:val="20"/>
                <w:szCs w:val="20"/>
                <w:color w:val="auto"/>
              </w:rPr>
            </w:pPr>
            <w:r>
              <w:rPr>
                <w:rFonts w:ascii="Arial" w:cs="Arial" w:eastAsia="Arial" w:hAnsi="Arial"/>
                <w:sz w:val="17"/>
                <w:szCs w:val="17"/>
                <w:color w:val="auto"/>
              </w:rPr>
              <w:t xml:space="preserve">(223)    </w:t>
            </w:r>
          </w:p>
        </w:tc>
        <w:tc>
          <w:tcPr>
            <w:tcW w:w="1200" w:type="dxa"/>
            <w:vAlign w:val="bottom"/>
            <w:gridSpan w:val="3"/>
          </w:tcPr>
          <w:p>
            <w:pPr>
              <w:jc w:val="right"/>
              <w:ind w:right="40"/>
              <w:spacing w:after="0"/>
              <w:rPr>
                <w:sz w:val="20"/>
                <w:szCs w:val="20"/>
                <w:color w:val="auto"/>
              </w:rPr>
            </w:pPr>
            <w:r>
              <w:rPr>
                <w:rFonts w:ascii="Arial" w:cs="Arial" w:eastAsia="Arial" w:hAnsi="Arial"/>
                <w:sz w:val="17"/>
                <w:szCs w:val="17"/>
                <w:color w:val="auto"/>
              </w:rPr>
              <w:t>—     </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(223)</w:t>
            </w:r>
          </w:p>
        </w:tc>
      </w:tr>
      <w:tr>
        <w:trPr>
          <w:trHeight w:val="192"/>
        </w:trPr>
        <w:tc>
          <w:tcPr>
            <w:tcW w:w="20" w:type="dxa"/>
            <w:vAlign w:val="bottom"/>
          </w:tcPr>
          <w:p>
            <w:pPr>
              <w:spacing w:after="0"/>
              <w:rPr>
                <w:sz w:val="16"/>
                <w:szCs w:val="16"/>
                <w:color w:val="auto"/>
              </w:rPr>
            </w:pPr>
          </w:p>
        </w:tc>
        <w:tc>
          <w:tcPr>
            <w:tcW w:w="1540" w:type="dxa"/>
            <w:vAlign w:val="bottom"/>
            <w:shd w:val="clear" w:color="auto" w:fill="CCEEFF"/>
          </w:tcPr>
          <w:p>
            <w:pPr>
              <w:ind w:left="140"/>
              <w:spacing w:after="0" w:line="192" w:lineRule="exact"/>
              <w:rPr>
                <w:sz w:val="20"/>
                <w:szCs w:val="20"/>
                <w:color w:val="auto"/>
              </w:rPr>
            </w:pPr>
            <w:r>
              <w:rPr>
                <w:rFonts w:ascii="Arial" w:cs="Arial" w:eastAsia="Arial" w:hAnsi="Arial"/>
                <w:sz w:val="17"/>
                <w:szCs w:val="17"/>
                <w:color w:val="auto"/>
              </w:rPr>
              <w:t>Net loss</w:t>
            </w:r>
          </w:p>
        </w:tc>
        <w:tc>
          <w:tcPr>
            <w:tcW w:w="60" w:type="dxa"/>
            <w:vAlign w:val="bottom"/>
            <w:shd w:val="clear" w:color="auto" w:fill="CCEEFF"/>
          </w:tcPr>
          <w:p>
            <w:pPr>
              <w:spacing w:after="0"/>
              <w:rPr>
                <w:sz w:val="16"/>
                <w:szCs w:val="16"/>
                <w:color w:val="auto"/>
              </w:rPr>
            </w:pPr>
          </w:p>
        </w:tc>
        <w:tc>
          <w:tcPr>
            <w:tcW w:w="1480" w:type="dxa"/>
            <w:vAlign w:val="bottom"/>
            <w:gridSpan w:val="3"/>
            <w:shd w:val="clear" w:color="auto" w:fill="CCEEFF"/>
          </w:tcPr>
          <w:p>
            <w:pPr>
              <w:ind w:left="860"/>
              <w:spacing w:after="0" w:line="192" w:lineRule="exact"/>
              <w:rPr>
                <w:sz w:val="20"/>
                <w:szCs w:val="20"/>
                <w:color w:val="auto"/>
              </w:rPr>
            </w:pPr>
            <w:r>
              <w:rPr>
                <w:rFonts w:ascii="Arial" w:cs="Arial" w:eastAsia="Arial" w:hAnsi="Arial"/>
                <w:sz w:val="17"/>
                <w:szCs w:val="17"/>
                <w:color w:val="auto"/>
              </w:rPr>
              <w:t>—     </w:t>
            </w:r>
          </w:p>
        </w:tc>
        <w:tc>
          <w:tcPr>
            <w:tcW w:w="1200" w:type="dxa"/>
            <w:vAlign w:val="bottom"/>
            <w:gridSpan w:val="3"/>
            <w:shd w:val="clear" w:color="auto" w:fill="CCEEFF"/>
          </w:tcPr>
          <w:p>
            <w:pPr>
              <w:jc w:val="right"/>
              <w:ind w:right="100"/>
              <w:spacing w:after="0" w:line="192" w:lineRule="exact"/>
              <w:rPr>
                <w:sz w:val="20"/>
                <w:szCs w:val="20"/>
                <w:color w:val="auto"/>
              </w:rPr>
            </w:pPr>
            <w:r>
              <w:rPr>
                <w:rFonts w:ascii="Arial" w:cs="Arial" w:eastAsia="Arial" w:hAnsi="Arial"/>
                <w:sz w:val="17"/>
                <w:szCs w:val="17"/>
                <w:color w:val="auto"/>
              </w:rPr>
              <w:t>—     </w:t>
            </w:r>
          </w:p>
        </w:tc>
        <w:tc>
          <w:tcPr>
            <w:tcW w:w="1340" w:type="dxa"/>
            <w:vAlign w:val="bottom"/>
            <w:gridSpan w:val="3"/>
            <w:shd w:val="clear" w:color="auto" w:fill="CCEEFF"/>
          </w:tcPr>
          <w:p>
            <w:pPr>
              <w:jc w:val="right"/>
              <w:spacing w:after="0" w:line="192" w:lineRule="exact"/>
              <w:rPr>
                <w:sz w:val="20"/>
                <w:szCs w:val="20"/>
                <w:color w:val="auto"/>
              </w:rPr>
            </w:pPr>
            <w:r>
              <w:rPr>
                <w:rFonts w:ascii="Arial" w:cs="Arial" w:eastAsia="Arial" w:hAnsi="Arial"/>
                <w:sz w:val="17"/>
                <w:szCs w:val="17"/>
                <w:color w:val="auto"/>
              </w:rPr>
              <w:t>—     </w:t>
            </w:r>
          </w:p>
        </w:tc>
        <w:tc>
          <w:tcPr>
            <w:tcW w:w="60" w:type="dxa"/>
            <w:vAlign w:val="bottom"/>
            <w:shd w:val="clear" w:color="auto" w:fill="CCEEFF"/>
          </w:tcPr>
          <w:p>
            <w:pPr>
              <w:spacing w:after="0"/>
              <w:rPr>
                <w:sz w:val="16"/>
                <w:szCs w:val="16"/>
                <w:color w:val="auto"/>
              </w:rPr>
            </w:pPr>
          </w:p>
        </w:tc>
        <w:tc>
          <w:tcPr>
            <w:tcW w:w="760" w:type="dxa"/>
            <w:vAlign w:val="bottom"/>
            <w:gridSpan w:val="3"/>
            <w:shd w:val="clear" w:color="auto" w:fill="CCEEFF"/>
          </w:tcPr>
          <w:p>
            <w:pPr>
              <w:ind w:left="260"/>
              <w:spacing w:after="0" w:line="192" w:lineRule="exact"/>
              <w:rPr>
                <w:sz w:val="20"/>
                <w:szCs w:val="20"/>
                <w:color w:val="auto"/>
              </w:rPr>
            </w:pPr>
            <w:r>
              <w:rPr>
                <w:rFonts w:ascii="Arial" w:cs="Arial" w:eastAsia="Arial" w:hAnsi="Arial"/>
                <w:sz w:val="17"/>
                <w:szCs w:val="17"/>
                <w:color w:val="auto"/>
              </w:rPr>
              <w:t>—     </w:t>
            </w:r>
          </w:p>
        </w:tc>
        <w:tc>
          <w:tcPr>
            <w:tcW w:w="1280" w:type="dxa"/>
            <w:vAlign w:val="bottom"/>
            <w:gridSpan w:val="3"/>
            <w:shd w:val="clear" w:color="auto" w:fill="CCEEFF"/>
          </w:tcPr>
          <w:p>
            <w:pPr>
              <w:jc w:val="right"/>
              <w:ind w:right="192"/>
              <w:spacing w:after="0" w:line="192" w:lineRule="exact"/>
              <w:rPr>
                <w:sz w:val="20"/>
                <w:szCs w:val="20"/>
                <w:color w:val="auto"/>
              </w:rPr>
            </w:pPr>
            <w:r>
              <w:rPr>
                <w:rFonts w:ascii="Arial" w:cs="Arial" w:eastAsia="Arial" w:hAnsi="Arial"/>
                <w:sz w:val="17"/>
                <w:szCs w:val="17"/>
                <w:color w:val="auto"/>
              </w:rPr>
              <w:t>—     </w:t>
            </w:r>
          </w:p>
        </w:tc>
        <w:tc>
          <w:tcPr>
            <w:tcW w:w="960" w:type="dxa"/>
            <w:vAlign w:val="bottom"/>
            <w:gridSpan w:val="3"/>
            <w:shd w:val="clear" w:color="auto" w:fill="CCEEFF"/>
          </w:tcPr>
          <w:p>
            <w:pPr>
              <w:jc w:val="right"/>
              <w:ind w:right="80"/>
              <w:spacing w:after="0" w:line="192" w:lineRule="exact"/>
              <w:rPr>
                <w:sz w:val="20"/>
                <w:szCs w:val="20"/>
                <w:color w:val="auto"/>
              </w:rPr>
            </w:pPr>
            <w:r>
              <w:rPr>
                <w:rFonts w:ascii="Arial" w:cs="Arial" w:eastAsia="Arial" w:hAnsi="Arial"/>
                <w:sz w:val="17"/>
                <w:szCs w:val="17"/>
                <w:color w:val="auto"/>
              </w:rPr>
              <w:t>—     </w:t>
            </w:r>
          </w:p>
        </w:tc>
        <w:tc>
          <w:tcPr>
            <w:tcW w:w="1200" w:type="dxa"/>
            <w:vAlign w:val="bottom"/>
            <w:gridSpan w:val="3"/>
            <w:shd w:val="clear" w:color="auto" w:fill="CCEEFF"/>
          </w:tcPr>
          <w:p>
            <w:pPr>
              <w:jc w:val="right"/>
              <w:ind w:right="40"/>
              <w:spacing w:after="0" w:line="192" w:lineRule="exact"/>
              <w:rPr>
                <w:sz w:val="20"/>
                <w:szCs w:val="20"/>
                <w:color w:val="auto"/>
              </w:rPr>
            </w:pPr>
            <w:r>
              <w:rPr>
                <w:rFonts w:ascii="Arial" w:cs="Arial" w:eastAsia="Arial" w:hAnsi="Arial"/>
                <w:sz w:val="17"/>
                <w:szCs w:val="17"/>
                <w:color w:val="auto"/>
              </w:rPr>
              <w:t xml:space="preserve">(45,901)    </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(45,901)</w:t>
            </w:r>
          </w:p>
        </w:tc>
      </w:tr>
      <w:tr>
        <w:trPr>
          <w:trHeight w:val="180"/>
        </w:trPr>
        <w:tc>
          <w:tcPr>
            <w:tcW w:w="1560" w:type="dxa"/>
            <w:vAlign w:val="bottom"/>
            <w:gridSpan w:val="2"/>
          </w:tcPr>
          <w:p>
            <w:pPr>
              <w:spacing w:after="0" w:line="180" w:lineRule="exact"/>
              <w:rPr>
                <w:sz w:val="20"/>
                <w:szCs w:val="20"/>
                <w:color w:val="auto"/>
              </w:rPr>
            </w:pPr>
            <w:r>
              <w:rPr>
                <w:rFonts w:ascii="Arial" w:cs="Arial" w:eastAsia="Arial" w:hAnsi="Arial"/>
                <w:sz w:val="17"/>
                <w:szCs w:val="17"/>
                <w:b w:val="1"/>
                <w:bCs w:val="1"/>
                <w:color w:val="auto"/>
              </w:rPr>
              <w:t>Balance as of</w:t>
            </w:r>
          </w:p>
        </w:tc>
        <w:tc>
          <w:tcPr>
            <w:tcW w:w="6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1540" w:type="dxa"/>
            <w:vAlign w:val="bottom"/>
          </w:tcPr>
          <w:p>
            <w:pPr>
              <w:ind w:left="140"/>
              <w:spacing w:after="0" w:line="192" w:lineRule="exact"/>
              <w:rPr>
                <w:sz w:val="20"/>
                <w:szCs w:val="20"/>
                <w:color w:val="auto"/>
              </w:rPr>
            </w:pPr>
            <w:r>
              <w:rPr>
                <w:rFonts w:ascii="Arial" w:cs="Arial" w:eastAsia="Arial" w:hAnsi="Arial"/>
                <w:sz w:val="17"/>
                <w:szCs w:val="17"/>
                <w:b w:val="1"/>
                <w:bCs w:val="1"/>
                <w:color w:val="auto"/>
              </w:rPr>
              <w:t>December 31,</w:t>
            </w: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4"/>
        </w:trPr>
        <w:tc>
          <w:tcPr>
            <w:tcW w:w="1560" w:type="dxa"/>
            <w:vAlign w:val="bottom"/>
            <w:gridSpan w:val="2"/>
          </w:tcPr>
          <w:p>
            <w:pPr>
              <w:ind w:left="160"/>
              <w:spacing w:after="0"/>
              <w:rPr>
                <w:sz w:val="20"/>
                <w:szCs w:val="20"/>
                <w:color w:val="auto"/>
              </w:rPr>
            </w:pPr>
            <w:r>
              <w:rPr>
                <w:rFonts w:ascii="Arial" w:cs="Arial" w:eastAsia="Arial" w:hAnsi="Arial"/>
                <w:sz w:val="17"/>
                <w:szCs w:val="17"/>
                <w:b w:val="1"/>
                <w:bCs w:val="1"/>
                <w:color w:val="auto"/>
              </w:rPr>
              <w:t>2022</w:t>
            </w:r>
          </w:p>
        </w:tc>
        <w:tc>
          <w:tcPr>
            <w:tcW w:w="1540" w:type="dxa"/>
            <w:vAlign w:val="bottom"/>
            <w:gridSpan w:val="4"/>
          </w:tcPr>
          <w:p>
            <w:pPr>
              <w:spacing w:after="0"/>
              <w:rPr>
                <w:sz w:val="20"/>
                <w:szCs w:val="20"/>
                <w:color w:val="auto"/>
              </w:rPr>
            </w:pPr>
            <w:r>
              <w:rPr>
                <w:rFonts w:ascii="Arial" w:cs="Arial" w:eastAsia="Arial" w:hAnsi="Arial"/>
                <w:sz w:val="17"/>
                <w:szCs w:val="17"/>
                <w:color w:val="auto"/>
              </w:rPr>
              <w:t>   144,589,706     $</w:t>
            </w:r>
          </w:p>
        </w:tc>
        <w:tc>
          <w:tcPr>
            <w:tcW w:w="1200" w:type="dxa"/>
            <w:vAlign w:val="bottom"/>
            <w:gridSpan w:val="3"/>
          </w:tcPr>
          <w:p>
            <w:pPr>
              <w:jc w:val="right"/>
              <w:ind w:right="100"/>
              <w:spacing w:after="0"/>
              <w:rPr>
                <w:sz w:val="20"/>
                <w:szCs w:val="20"/>
                <w:color w:val="auto"/>
              </w:rPr>
            </w:pPr>
            <w:r>
              <w:rPr>
                <w:rFonts w:ascii="Arial" w:cs="Arial" w:eastAsia="Arial" w:hAnsi="Arial"/>
                <w:sz w:val="17"/>
                <w:szCs w:val="17"/>
                <w:color w:val="auto"/>
              </w:rPr>
              <w:t>147,946     </w:t>
            </w:r>
          </w:p>
        </w:tc>
        <w:tc>
          <w:tcPr>
            <w:tcW w:w="1400" w:type="dxa"/>
            <w:vAlign w:val="bottom"/>
            <w:gridSpan w:val="4"/>
          </w:tcPr>
          <w:p>
            <w:pPr>
              <w:jc w:val="right"/>
              <w:spacing w:after="0"/>
              <w:rPr>
                <w:sz w:val="20"/>
                <w:szCs w:val="20"/>
                <w:color w:val="auto"/>
              </w:rPr>
            </w:pPr>
            <w:r>
              <w:rPr>
                <w:rFonts w:ascii="Arial" w:cs="Arial" w:eastAsia="Arial" w:hAnsi="Arial"/>
                <w:sz w:val="17"/>
                <w:szCs w:val="17"/>
                <w:color w:val="auto"/>
              </w:rPr>
              <w:t>1,167,240     $</w:t>
            </w:r>
          </w:p>
        </w:tc>
        <w:tc>
          <w:tcPr>
            <w:tcW w:w="760" w:type="dxa"/>
            <w:vAlign w:val="bottom"/>
            <w:gridSpan w:val="3"/>
          </w:tcPr>
          <w:p>
            <w:pPr>
              <w:ind w:left="260"/>
              <w:spacing w:after="0"/>
              <w:rPr>
                <w:sz w:val="20"/>
                <w:szCs w:val="20"/>
                <w:color w:val="auto"/>
              </w:rPr>
            </w:pPr>
            <w:r>
              <w:rPr>
                <w:rFonts w:ascii="Arial" w:cs="Arial" w:eastAsia="Arial" w:hAnsi="Arial"/>
                <w:sz w:val="17"/>
                <w:szCs w:val="17"/>
                <w:color w:val="auto"/>
                <w:w w:val="99"/>
              </w:rPr>
              <w:t>—     $</w:t>
            </w:r>
          </w:p>
        </w:tc>
        <w:tc>
          <w:tcPr>
            <w:tcW w:w="1280" w:type="dxa"/>
            <w:vAlign w:val="bottom"/>
            <w:gridSpan w:val="3"/>
          </w:tcPr>
          <w:p>
            <w:pPr>
              <w:jc w:val="right"/>
              <w:ind w:right="112"/>
              <w:spacing w:after="0"/>
              <w:rPr>
                <w:sz w:val="20"/>
                <w:szCs w:val="20"/>
                <w:color w:val="auto"/>
              </w:rPr>
            </w:pPr>
            <w:r>
              <w:rPr>
                <w:rFonts w:ascii="Arial" w:cs="Arial" w:eastAsia="Arial" w:hAnsi="Arial"/>
                <w:sz w:val="17"/>
                <w:szCs w:val="17"/>
                <w:color w:val="auto"/>
              </w:rPr>
              <w:t>5,377     $</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(398)    $</w:t>
            </w:r>
          </w:p>
        </w:tc>
        <w:tc>
          <w:tcPr>
            <w:tcW w:w="1360" w:type="dxa"/>
            <w:vAlign w:val="bottom"/>
            <w:gridSpan w:val="4"/>
          </w:tcPr>
          <w:p>
            <w:pPr>
              <w:jc w:val="right"/>
              <w:ind w:right="52"/>
              <w:spacing w:after="0"/>
              <w:rPr>
                <w:sz w:val="20"/>
                <w:szCs w:val="20"/>
                <w:color w:val="auto"/>
              </w:rPr>
            </w:pPr>
            <w:r>
              <w:rPr>
                <w:rFonts w:ascii="Arial" w:cs="Arial" w:eastAsia="Arial" w:hAnsi="Arial"/>
                <w:sz w:val="17"/>
                <w:szCs w:val="17"/>
                <w:color w:val="auto"/>
              </w:rPr>
              <w:t>(86,675)    $</w:t>
            </w:r>
          </w:p>
        </w:tc>
        <w:tc>
          <w:tcPr>
            <w:tcW w:w="860" w:type="dxa"/>
            <w:vAlign w:val="bottom"/>
          </w:tcPr>
          <w:p>
            <w:pPr>
              <w:jc w:val="right"/>
              <w:spacing w:after="0"/>
              <w:rPr>
                <w:sz w:val="20"/>
                <w:szCs w:val="20"/>
                <w:color w:val="auto"/>
              </w:rPr>
            </w:pPr>
            <w:r>
              <w:rPr>
                <w:rFonts w:ascii="Arial" w:cs="Arial" w:eastAsia="Arial" w:hAnsi="Arial"/>
                <w:sz w:val="17"/>
                <w:szCs w:val="17"/>
                <w:color w:val="auto"/>
              </w:rPr>
              <w:t>(81,696)</w:t>
            </w:r>
          </w:p>
        </w:tc>
      </w:tr>
      <w:tr>
        <w:trPr>
          <w:trHeight w:val="175"/>
        </w:trPr>
        <w:tc>
          <w:tcPr>
            <w:tcW w:w="20" w:type="dxa"/>
            <w:vAlign w:val="bottom"/>
          </w:tcPr>
          <w:p>
            <w:pPr>
              <w:spacing w:after="0"/>
              <w:rPr>
                <w:sz w:val="15"/>
                <w:szCs w:val="15"/>
                <w:color w:val="auto"/>
              </w:rPr>
            </w:pPr>
          </w:p>
        </w:tc>
        <w:tc>
          <w:tcPr>
            <w:tcW w:w="1540" w:type="dxa"/>
            <w:vAlign w:val="bottom"/>
            <w:shd w:val="clear" w:color="auto" w:fill="CCEEFF"/>
          </w:tcPr>
          <w:p>
            <w:pPr>
              <w:ind w:left="320"/>
              <w:spacing w:after="0" w:line="175" w:lineRule="exact"/>
              <w:rPr>
                <w:sz w:val="20"/>
                <w:szCs w:val="20"/>
                <w:color w:val="auto"/>
              </w:rPr>
            </w:pPr>
            <w:r>
              <w:rPr>
                <w:rFonts w:ascii="Arial" w:cs="Arial" w:eastAsia="Arial" w:hAnsi="Arial"/>
                <w:sz w:val="17"/>
                <w:szCs w:val="17"/>
                <w:color w:val="auto"/>
              </w:rPr>
              <w:t>Issuance of</w:t>
            </w:r>
          </w:p>
        </w:tc>
        <w:tc>
          <w:tcPr>
            <w:tcW w:w="6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1540" w:type="dxa"/>
            <w:vAlign w:val="bottom"/>
            <w:shd w:val="clear" w:color="auto" w:fill="CCEEFF"/>
          </w:tcPr>
          <w:p>
            <w:pPr>
              <w:ind w:left="480"/>
              <w:spacing w:after="0" w:line="192" w:lineRule="exact"/>
              <w:rPr>
                <w:sz w:val="20"/>
                <w:szCs w:val="20"/>
                <w:color w:val="auto"/>
              </w:rPr>
            </w:pPr>
            <w:r>
              <w:rPr>
                <w:rFonts w:ascii="Arial" w:cs="Arial" w:eastAsia="Arial" w:hAnsi="Arial"/>
                <w:sz w:val="17"/>
                <w:szCs w:val="17"/>
                <w:color w:val="auto"/>
              </w:rPr>
              <w:t>Series C</w:t>
            </w:r>
          </w:p>
        </w:tc>
        <w:tc>
          <w:tcPr>
            <w:tcW w:w="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540" w:type="dxa"/>
            <w:vAlign w:val="bottom"/>
            <w:shd w:val="clear" w:color="auto" w:fill="CCEEFF"/>
          </w:tcPr>
          <w:p>
            <w:pPr>
              <w:ind w:left="480"/>
              <w:spacing w:after="0" w:line="192" w:lineRule="exact"/>
              <w:rPr>
                <w:sz w:val="20"/>
                <w:szCs w:val="20"/>
                <w:color w:val="auto"/>
              </w:rPr>
            </w:pPr>
            <w:r>
              <w:rPr>
                <w:rFonts w:ascii="Arial" w:cs="Arial" w:eastAsia="Arial" w:hAnsi="Arial"/>
                <w:sz w:val="17"/>
                <w:szCs w:val="17"/>
                <w:color w:val="auto"/>
              </w:rPr>
              <w:t>convertible</w:t>
            </w:r>
          </w:p>
        </w:tc>
        <w:tc>
          <w:tcPr>
            <w:tcW w:w="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540" w:type="dxa"/>
            <w:vAlign w:val="bottom"/>
            <w:shd w:val="clear" w:color="auto" w:fill="CCEEFF"/>
          </w:tcPr>
          <w:p>
            <w:pPr>
              <w:ind w:left="480"/>
              <w:spacing w:after="0" w:line="192" w:lineRule="exact"/>
              <w:rPr>
                <w:sz w:val="20"/>
                <w:szCs w:val="20"/>
                <w:color w:val="auto"/>
              </w:rPr>
            </w:pPr>
            <w:r>
              <w:rPr>
                <w:rFonts w:ascii="Arial" w:cs="Arial" w:eastAsia="Arial" w:hAnsi="Arial"/>
                <w:sz w:val="17"/>
                <w:szCs w:val="17"/>
                <w:color w:val="auto"/>
              </w:rPr>
              <w:t>preferred</w:t>
            </w:r>
          </w:p>
        </w:tc>
        <w:tc>
          <w:tcPr>
            <w:tcW w:w="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540" w:type="dxa"/>
            <w:vAlign w:val="bottom"/>
            <w:shd w:val="clear" w:color="auto" w:fill="CCEEFF"/>
          </w:tcPr>
          <w:p>
            <w:pPr>
              <w:ind w:left="480"/>
              <w:spacing w:after="0" w:line="192" w:lineRule="exact"/>
              <w:rPr>
                <w:sz w:val="20"/>
                <w:szCs w:val="20"/>
                <w:color w:val="auto"/>
              </w:rPr>
            </w:pPr>
            <w:r>
              <w:rPr>
                <w:rFonts w:ascii="Arial" w:cs="Arial" w:eastAsia="Arial" w:hAnsi="Arial"/>
                <w:sz w:val="17"/>
                <w:szCs w:val="17"/>
                <w:color w:val="auto"/>
              </w:rPr>
              <w:t>stock, net of</w:t>
            </w:r>
          </w:p>
        </w:tc>
        <w:tc>
          <w:tcPr>
            <w:tcW w:w="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540" w:type="dxa"/>
            <w:vAlign w:val="bottom"/>
            <w:shd w:val="clear" w:color="auto" w:fill="CCEEFF"/>
          </w:tcPr>
          <w:p>
            <w:pPr>
              <w:ind w:left="480"/>
              <w:spacing w:after="0" w:line="192" w:lineRule="exact"/>
              <w:rPr>
                <w:sz w:val="20"/>
                <w:szCs w:val="20"/>
                <w:color w:val="auto"/>
              </w:rPr>
            </w:pPr>
            <w:r>
              <w:rPr>
                <w:rFonts w:ascii="Arial" w:cs="Arial" w:eastAsia="Arial" w:hAnsi="Arial"/>
                <w:sz w:val="17"/>
                <w:szCs w:val="17"/>
                <w:color w:val="auto"/>
              </w:rPr>
              <w:t>issuance</w:t>
            </w:r>
          </w:p>
        </w:tc>
        <w:tc>
          <w:tcPr>
            <w:tcW w:w="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3080" w:type="dxa"/>
            <w:vAlign w:val="bottom"/>
            <w:gridSpan w:val="5"/>
            <w:shd w:val="clear" w:color="auto" w:fill="CCEEFF"/>
          </w:tcPr>
          <w:p>
            <w:pPr>
              <w:ind w:left="480"/>
              <w:spacing w:after="0"/>
              <w:rPr>
                <w:sz w:val="20"/>
                <w:szCs w:val="20"/>
                <w:color w:val="auto"/>
              </w:rPr>
            </w:pPr>
            <w:r>
              <w:rPr>
                <w:rFonts w:ascii="Arial" w:cs="Arial" w:eastAsia="Arial" w:hAnsi="Arial"/>
                <w:sz w:val="17"/>
                <w:szCs w:val="17"/>
                <w:color w:val="auto"/>
              </w:rPr>
              <w:t>costs of $329    142,857,138     </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99,671     </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     </w:t>
            </w:r>
          </w:p>
        </w:tc>
        <w:tc>
          <w:tcPr>
            <w:tcW w:w="1280" w:type="dxa"/>
            <w:vAlign w:val="bottom"/>
            <w:gridSpan w:val="3"/>
            <w:shd w:val="clear" w:color="auto" w:fill="CCEEFF"/>
          </w:tcPr>
          <w:p>
            <w:pPr>
              <w:jc w:val="right"/>
              <w:ind w:right="192"/>
              <w:spacing w:after="0"/>
              <w:rPr>
                <w:sz w:val="20"/>
                <w:szCs w:val="20"/>
                <w:color w:val="auto"/>
              </w:rPr>
            </w:pPr>
            <w:r>
              <w:rPr>
                <w:rFonts w:ascii="Arial" w:cs="Arial" w:eastAsia="Arial" w:hAnsi="Arial"/>
                <w:sz w:val="17"/>
                <w:szCs w:val="17"/>
                <w:color w:val="auto"/>
              </w:rPr>
              <w:t>—     </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     </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     </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175"/>
        </w:trPr>
        <w:tc>
          <w:tcPr>
            <w:tcW w:w="20" w:type="dxa"/>
            <w:vAlign w:val="bottom"/>
          </w:tcPr>
          <w:p>
            <w:pPr>
              <w:spacing w:after="0"/>
              <w:rPr>
                <w:sz w:val="15"/>
                <w:szCs w:val="15"/>
                <w:color w:val="auto"/>
              </w:rPr>
            </w:pPr>
          </w:p>
        </w:tc>
        <w:tc>
          <w:tcPr>
            <w:tcW w:w="1540" w:type="dxa"/>
            <w:vAlign w:val="bottom"/>
          </w:tcPr>
          <w:p>
            <w:pPr>
              <w:ind w:left="320"/>
              <w:spacing w:after="0" w:line="175" w:lineRule="exact"/>
              <w:rPr>
                <w:sz w:val="20"/>
                <w:szCs w:val="20"/>
                <w:color w:val="auto"/>
              </w:rPr>
            </w:pPr>
            <w:r>
              <w:rPr>
                <w:rFonts w:ascii="Arial" w:cs="Arial" w:eastAsia="Arial" w:hAnsi="Arial"/>
                <w:sz w:val="17"/>
                <w:szCs w:val="17"/>
                <w:color w:val="auto"/>
              </w:rPr>
              <w:t>Vesting of early</w:t>
            </w: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1540" w:type="dxa"/>
            <w:vAlign w:val="bottom"/>
          </w:tcPr>
          <w:p>
            <w:pPr>
              <w:ind w:left="480"/>
              <w:spacing w:after="0" w:line="192" w:lineRule="exact"/>
              <w:rPr>
                <w:sz w:val="20"/>
                <w:szCs w:val="20"/>
                <w:color w:val="auto"/>
              </w:rPr>
            </w:pPr>
            <w:r>
              <w:rPr>
                <w:rFonts w:ascii="Arial" w:cs="Arial" w:eastAsia="Arial" w:hAnsi="Arial"/>
                <w:sz w:val="17"/>
                <w:szCs w:val="17"/>
                <w:color w:val="auto"/>
              </w:rPr>
              <w:t>exercised</w:t>
            </w: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1540" w:type="dxa"/>
            <w:vAlign w:val="bottom"/>
          </w:tcPr>
          <w:p>
            <w:pPr>
              <w:ind w:left="480"/>
              <w:spacing w:after="0"/>
              <w:rPr>
                <w:sz w:val="20"/>
                <w:szCs w:val="20"/>
                <w:color w:val="auto"/>
              </w:rPr>
            </w:pPr>
            <w:r>
              <w:rPr>
                <w:rFonts w:ascii="Arial" w:cs="Arial" w:eastAsia="Arial" w:hAnsi="Arial"/>
                <w:sz w:val="17"/>
                <w:szCs w:val="17"/>
                <w:color w:val="auto"/>
              </w:rPr>
              <w:t>stock options</w:t>
            </w:r>
          </w:p>
        </w:tc>
        <w:tc>
          <w:tcPr>
            <w:tcW w:w="60" w:type="dxa"/>
            <w:vAlign w:val="bottom"/>
          </w:tcPr>
          <w:p>
            <w:pPr>
              <w:spacing w:after="0"/>
              <w:rPr>
                <w:sz w:val="18"/>
                <w:szCs w:val="18"/>
                <w:color w:val="auto"/>
              </w:rPr>
            </w:pPr>
          </w:p>
        </w:tc>
        <w:tc>
          <w:tcPr>
            <w:tcW w:w="1480" w:type="dxa"/>
            <w:vAlign w:val="bottom"/>
            <w:gridSpan w:val="3"/>
          </w:tcPr>
          <w:p>
            <w:pPr>
              <w:ind w:left="860"/>
              <w:spacing w:after="0"/>
              <w:rPr>
                <w:sz w:val="20"/>
                <w:szCs w:val="20"/>
                <w:color w:val="auto"/>
              </w:rPr>
            </w:pPr>
            <w:r>
              <w:rPr>
                <w:rFonts w:ascii="Arial" w:cs="Arial" w:eastAsia="Arial" w:hAnsi="Arial"/>
                <w:sz w:val="17"/>
                <w:szCs w:val="17"/>
                <w:color w:val="auto"/>
              </w:rPr>
              <w:t>—     </w:t>
            </w:r>
          </w:p>
        </w:tc>
        <w:tc>
          <w:tcPr>
            <w:tcW w:w="1200" w:type="dxa"/>
            <w:vAlign w:val="bottom"/>
            <w:gridSpan w:val="3"/>
          </w:tcPr>
          <w:p>
            <w:pPr>
              <w:jc w:val="right"/>
              <w:ind w:right="100"/>
              <w:spacing w:after="0"/>
              <w:rPr>
                <w:sz w:val="20"/>
                <w:szCs w:val="20"/>
                <w:color w:val="auto"/>
              </w:rPr>
            </w:pPr>
            <w:r>
              <w:rPr>
                <w:rFonts w:ascii="Arial" w:cs="Arial" w:eastAsia="Arial" w:hAnsi="Arial"/>
                <w:sz w:val="17"/>
                <w:szCs w:val="17"/>
                <w:color w:val="auto"/>
              </w:rPr>
              <w:t>—     </w:t>
            </w:r>
          </w:p>
        </w:tc>
        <w:tc>
          <w:tcPr>
            <w:tcW w:w="1340" w:type="dxa"/>
            <w:vAlign w:val="bottom"/>
            <w:gridSpan w:val="3"/>
          </w:tcPr>
          <w:p>
            <w:pPr>
              <w:jc w:val="right"/>
              <w:spacing w:after="0"/>
              <w:rPr>
                <w:sz w:val="20"/>
                <w:szCs w:val="20"/>
                <w:color w:val="auto"/>
              </w:rPr>
            </w:pPr>
            <w:r>
              <w:rPr>
                <w:rFonts w:ascii="Arial" w:cs="Arial" w:eastAsia="Arial" w:hAnsi="Arial"/>
                <w:sz w:val="17"/>
                <w:szCs w:val="17"/>
                <w:color w:val="auto"/>
              </w:rPr>
              <w:t>31,048     </w:t>
            </w:r>
          </w:p>
        </w:tc>
        <w:tc>
          <w:tcPr>
            <w:tcW w:w="60" w:type="dxa"/>
            <w:vAlign w:val="bottom"/>
          </w:tcPr>
          <w:p>
            <w:pPr>
              <w:spacing w:after="0"/>
              <w:rPr>
                <w:sz w:val="18"/>
                <w:szCs w:val="18"/>
                <w:color w:val="auto"/>
              </w:rPr>
            </w:pPr>
          </w:p>
        </w:tc>
        <w:tc>
          <w:tcPr>
            <w:tcW w:w="760" w:type="dxa"/>
            <w:vAlign w:val="bottom"/>
            <w:gridSpan w:val="3"/>
          </w:tcPr>
          <w:p>
            <w:pPr>
              <w:ind w:left="260"/>
              <w:spacing w:after="0"/>
              <w:rPr>
                <w:sz w:val="20"/>
                <w:szCs w:val="20"/>
                <w:color w:val="auto"/>
              </w:rPr>
            </w:pPr>
            <w:r>
              <w:rPr>
                <w:rFonts w:ascii="Arial" w:cs="Arial" w:eastAsia="Arial" w:hAnsi="Arial"/>
                <w:sz w:val="17"/>
                <w:szCs w:val="17"/>
                <w:color w:val="auto"/>
              </w:rPr>
              <w:t>—     </w:t>
            </w:r>
          </w:p>
        </w:tc>
        <w:tc>
          <w:tcPr>
            <w:tcW w:w="1280" w:type="dxa"/>
            <w:vAlign w:val="bottom"/>
            <w:gridSpan w:val="3"/>
          </w:tcPr>
          <w:p>
            <w:pPr>
              <w:jc w:val="right"/>
              <w:ind w:right="192"/>
              <w:spacing w:after="0"/>
              <w:rPr>
                <w:sz w:val="20"/>
                <w:szCs w:val="20"/>
                <w:color w:val="auto"/>
              </w:rPr>
            </w:pPr>
            <w:r>
              <w:rPr>
                <w:rFonts w:ascii="Arial" w:cs="Arial" w:eastAsia="Arial" w:hAnsi="Arial"/>
                <w:sz w:val="17"/>
                <w:szCs w:val="17"/>
                <w:color w:val="auto"/>
              </w:rPr>
              <w:t>92     </w:t>
            </w:r>
          </w:p>
        </w:tc>
        <w:tc>
          <w:tcPr>
            <w:tcW w:w="960" w:type="dxa"/>
            <w:vAlign w:val="bottom"/>
            <w:gridSpan w:val="3"/>
          </w:tcPr>
          <w:p>
            <w:pPr>
              <w:jc w:val="right"/>
              <w:ind w:right="80"/>
              <w:spacing w:after="0"/>
              <w:rPr>
                <w:sz w:val="20"/>
                <w:szCs w:val="20"/>
                <w:color w:val="auto"/>
              </w:rPr>
            </w:pPr>
            <w:r>
              <w:rPr>
                <w:rFonts w:ascii="Arial" w:cs="Arial" w:eastAsia="Arial" w:hAnsi="Arial"/>
                <w:sz w:val="17"/>
                <w:szCs w:val="17"/>
                <w:color w:val="auto"/>
              </w:rPr>
              <w:t>—     </w:t>
            </w:r>
          </w:p>
        </w:tc>
        <w:tc>
          <w:tcPr>
            <w:tcW w:w="1200" w:type="dxa"/>
            <w:vAlign w:val="bottom"/>
            <w:gridSpan w:val="3"/>
          </w:tcPr>
          <w:p>
            <w:pPr>
              <w:jc w:val="right"/>
              <w:ind w:right="40"/>
              <w:spacing w:after="0"/>
              <w:rPr>
                <w:sz w:val="20"/>
                <w:szCs w:val="20"/>
                <w:color w:val="auto"/>
              </w:rPr>
            </w:pPr>
            <w:r>
              <w:rPr>
                <w:rFonts w:ascii="Arial" w:cs="Arial" w:eastAsia="Arial" w:hAnsi="Arial"/>
                <w:sz w:val="17"/>
                <w:szCs w:val="17"/>
                <w:color w:val="auto"/>
              </w:rPr>
              <w:t>—     </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92</w:t>
            </w:r>
          </w:p>
        </w:tc>
      </w:tr>
      <w:tr>
        <w:trPr>
          <w:trHeight w:val="175"/>
        </w:trPr>
        <w:tc>
          <w:tcPr>
            <w:tcW w:w="20" w:type="dxa"/>
            <w:vAlign w:val="bottom"/>
          </w:tcPr>
          <w:p>
            <w:pPr>
              <w:spacing w:after="0"/>
              <w:rPr>
                <w:sz w:val="15"/>
                <w:szCs w:val="15"/>
                <w:color w:val="auto"/>
              </w:rPr>
            </w:pPr>
          </w:p>
        </w:tc>
        <w:tc>
          <w:tcPr>
            <w:tcW w:w="1540" w:type="dxa"/>
            <w:vAlign w:val="bottom"/>
            <w:shd w:val="clear" w:color="auto" w:fill="CCEEFF"/>
          </w:tcPr>
          <w:p>
            <w:pPr>
              <w:ind w:left="320"/>
              <w:spacing w:after="0" w:line="175" w:lineRule="exact"/>
              <w:rPr>
                <w:sz w:val="20"/>
                <w:szCs w:val="20"/>
                <w:color w:val="auto"/>
              </w:rPr>
            </w:pPr>
            <w:r>
              <w:rPr>
                <w:rFonts w:ascii="Arial" w:cs="Arial" w:eastAsia="Arial" w:hAnsi="Arial"/>
                <w:sz w:val="17"/>
                <w:szCs w:val="17"/>
                <w:color w:val="auto"/>
              </w:rPr>
              <w:t>Exercise of</w:t>
            </w:r>
          </w:p>
        </w:tc>
        <w:tc>
          <w:tcPr>
            <w:tcW w:w="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08"/>
        </w:trPr>
        <w:tc>
          <w:tcPr>
            <w:tcW w:w="20" w:type="dxa"/>
            <w:vAlign w:val="bottom"/>
          </w:tcPr>
          <w:p>
            <w:pPr>
              <w:spacing w:after="0"/>
              <w:rPr>
                <w:sz w:val="18"/>
                <w:szCs w:val="18"/>
                <w:color w:val="auto"/>
              </w:rPr>
            </w:pPr>
          </w:p>
        </w:tc>
        <w:tc>
          <w:tcPr>
            <w:tcW w:w="15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stock options</w:t>
            </w:r>
          </w:p>
        </w:tc>
        <w:tc>
          <w:tcPr>
            <w:tcW w:w="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860"/>
              <w:spacing w:after="0"/>
              <w:rPr>
                <w:sz w:val="20"/>
                <w:szCs w:val="20"/>
                <w:color w:val="auto"/>
              </w:rPr>
            </w:pPr>
            <w:r>
              <w:rPr>
                <w:rFonts w:ascii="Arial" w:cs="Arial" w:eastAsia="Arial" w:hAnsi="Arial"/>
                <w:sz w:val="17"/>
                <w:szCs w:val="17"/>
                <w:color w:val="auto"/>
              </w:rPr>
              <w:t>—     </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     </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48,724     </w:t>
            </w: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     </w:t>
            </w:r>
          </w:p>
        </w:tc>
        <w:tc>
          <w:tcPr>
            <w:tcW w:w="1280" w:type="dxa"/>
            <w:vAlign w:val="bottom"/>
            <w:gridSpan w:val="3"/>
            <w:shd w:val="clear" w:color="auto" w:fill="CCEEFF"/>
          </w:tcPr>
          <w:p>
            <w:pPr>
              <w:jc w:val="right"/>
              <w:ind w:right="192"/>
              <w:spacing w:after="0"/>
              <w:rPr>
                <w:sz w:val="20"/>
                <w:szCs w:val="20"/>
                <w:color w:val="auto"/>
              </w:rPr>
            </w:pPr>
            <w:r>
              <w:rPr>
                <w:rFonts w:ascii="Arial" w:cs="Arial" w:eastAsia="Arial" w:hAnsi="Arial"/>
                <w:sz w:val="17"/>
                <w:szCs w:val="17"/>
                <w:color w:val="auto"/>
              </w:rPr>
              <w:t>182     </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     </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     </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r>
      <w:tr>
        <w:trPr>
          <w:trHeight w:val="175"/>
        </w:trPr>
        <w:tc>
          <w:tcPr>
            <w:tcW w:w="20" w:type="dxa"/>
            <w:vAlign w:val="bottom"/>
          </w:tcPr>
          <w:p>
            <w:pPr>
              <w:spacing w:after="0"/>
              <w:rPr>
                <w:sz w:val="15"/>
                <w:szCs w:val="15"/>
                <w:color w:val="auto"/>
              </w:rPr>
            </w:pPr>
          </w:p>
        </w:tc>
        <w:tc>
          <w:tcPr>
            <w:tcW w:w="1540" w:type="dxa"/>
            <w:vAlign w:val="bottom"/>
          </w:tcPr>
          <w:p>
            <w:pPr>
              <w:ind w:left="320"/>
              <w:spacing w:after="0" w:line="175" w:lineRule="exact"/>
              <w:rPr>
                <w:sz w:val="20"/>
                <w:szCs w:val="20"/>
                <w:color w:val="auto"/>
              </w:rPr>
            </w:pPr>
            <w:r>
              <w:rPr>
                <w:rFonts w:ascii="Arial" w:cs="Arial" w:eastAsia="Arial" w:hAnsi="Arial"/>
                <w:sz w:val="17"/>
                <w:szCs w:val="17"/>
                <w:color w:val="auto"/>
              </w:rPr>
              <w:t>Stock-based</w:t>
            </w: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8"/>
        </w:trPr>
        <w:tc>
          <w:tcPr>
            <w:tcW w:w="20" w:type="dxa"/>
            <w:vAlign w:val="bottom"/>
          </w:tcPr>
          <w:p>
            <w:pPr>
              <w:spacing w:after="0"/>
              <w:rPr>
                <w:sz w:val="18"/>
                <w:szCs w:val="18"/>
                <w:color w:val="auto"/>
              </w:rPr>
            </w:pPr>
          </w:p>
        </w:tc>
        <w:tc>
          <w:tcPr>
            <w:tcW w:w="1540" w:type="dxa"/>
            <w:vAlign w:val="bottom"/>
          </w:tcPr>
          <w:p>
            <w:pPr>
              <w:ind w:left="480"/>
              <w:spacing w:after="0"/>
              <w:rPr>
                <w:sz w:val="20"/>
                <w:szCs w:val="20"/>
                <w:color w:val="auto"/>
              </w:rPr>
            </w:pPr>
            <w:r>
              <w:rPr>
                <w:rFonts w:ascii="Arial" w:cs="Arial" w:eastAsia="Arial" w:hAnsi="Arial"/>
                <w:sz w:val="17"/>
                <w:szCs w:val="17"/>
                <w:color w:val="auto"/>
                <w:w w:val="98"/>
              </w:rPr>
              <w:t>compensation</w:t>
            </w:r>
          </w:p>
        </w:tc>
        <w:tc>
          <w:tcPr>
            <w:tcW w:w="60" w:type="dxa"/>
            <w:vAlign w:val="bottom"/>
          </w:tcPr>
          <w:p>
            <w:pPr>
              <w:spacing w:after="0"/>
              <w:rPr>
                <w:sz w:val="18"/>
                <w:szCs w:val="18"/>
                <w:color w:val="auto"/>
              </w:rPr>
            </w:pPr>
          </w:p>
        </w:tc>
        <w:tc>
          <w:tcPr>
            <w:tcW w:w="1480" w:type="dxa"/>
            <w:vAlign w:val="bottom"/>
            <w:gridSpan w:val="3"/>
          </w:tcPr>
          <w:p>
            <w:pPr>
              <w:ind w:left="860"/>
              <w:spacing w:after="0"/>
              <w:rPr>
                <w:sz w:val="20"/>
                <w:szCs w:val="20"/>
                <w:color w:val="auto"/>
              </w:rPr>
            </w:pPr>
            <w:r>
              <w:rPr>
                <w:rFonts w:ascii="Arial" w:cs="Arial" w:eastAsia="Arial" w:hAnsi="Arial"/>
                <w:sz w:val="17"/>
                <w:szCs w:val="17"/>
                <w:color w:val="auto"/>
              </w:rPr>
              <w:t>—     </w:t>
            </w:r>
          </w:p>
        </w:tc>
        <w:tc>
          <w:tcPr>
            <w:tcW w:w="1200" w:type="dxa"/>
            <w:vAlign w:val="bottom"/>
            <w:gridSpan w:val="3"/>
          </w:tcPr>
          <w:p>
            <w:pPr>
              <w:jc w:val="right"/>
              <w:ind w:right="100"/>
              <w:spacing w:after="0"/>
              <w:rPr>
                <w:sz w:val="20"/>
                <w:szCs w:val="20"/>
                <w:color w:val="auto"/>
              </w:rPr>
            </w:pPr>
            <w:r>
              <w:rPr>
                <w:rFonts w:ascii="Arial" w:cs="Arial" w:eastAsia="Arial" w:hAnsi="Arial"/>
                <w:sz w:val="17"/>
                <w:szCs w:val="17"/>
                <w:color w:val="auto"/>
              </w:rPr>
              <w:t>—     </w:t>
            </w:r>
          </w:p>
        </w:tc>
        <w:tc>
          <w:tcPr>
            <w:tcW w:w="1340" w:type="dxa"/>
            <w:vAlign w:val="bottom"/>
            <w:gridSpan w:val="3"/>
          </w:tcPr>
          <w:p>
            <w:pPr>
              <w:jc w:val="right"/>
              <w:spacing w:after="0"/>
              <w:rPr>
                <w:sz w:val="20"/>
                <w:szCs w:val="20"/>
                <w:color w:val="auto"/>
              </w:rPr>
            </w:pPr>
            <w:r>
              <w:rPr>
                <w:rFonts w:ascii="Arial" w:cs="Arial" w:eastAsia="Arial" w:hAnsi="Arial"/>
                <w:sz w:val="17"/>
                <w:szCs w:val="17"/>
                <w:color w:val="auto"/>
              </w:rPr>
              <w:t>—     </w:t>
            </w:r>
          </w:p>
        </w:tc>
        <w:tc>
          <w:tcPr>
            <w:tcW w:w="60" w:type="dxa"/>
            <w:vAlign w:val="bottom"/>
          </w:tcPr>
          <w:p>
            <w:pPr>
              <w:spacing w:after="0"/>
              <w:rPr>
                <w:sz w:val="18"/>
                <w:szCs w:val="18"/>
                <w:color w:val="auto"/>
              </w:rPr>
            </w:pPr>
          </w:p>
        </w:tc>
        <w:tc>
          <w:tcPr>
            <w:tcW w:w="760" w:type="dxa"/>
            <w:vAlign w:val="bottom"/>
            <w:gridSpan w:val="3"/>
          </w:tcPr>
          <w:p>
            <w:pPr>
              <w:ind w:left="260"/>
              <w:spacing w:after="0"/>
              <w:rPr>
                <w:sz w:val="20"/>
                <w:szCs w:val="20"/>
                <w:color w:val="auto"/>
              </w:rPr>
            </w:pPr>
            <w:r>
              <w:rPr>
                <w:rFonts w:ascii="Arial" w:cs="Arial" w:eastAsia="Arial" w:hAnsi="Arial"/>
                <w:sz w:val="17"/>
                <w:szCs w:val="17"/>
                <w:color w:val="auto"/>
              </w:rPr>
              <w:t>—     </w:t>
            </w:r>
          </w:p>
        </w:tc>
        <w:tc>
          <w:tcPr>
            <w:tcW w:w="1280" w:type="dxa"/>
            <w:vAlign w:val="bottom"/>
            <w:gridSpan w:val="3"/>
          </w:tcPr>
          <w:p>
            <w:pPr>
              <w:jc w:val="right"/>
              <w:ind w:right="192"/>
              <w:spacing w:after="0"/>
              <w:rPr>
                <w:sz w:val="20"/>
                <w:szCs w:val="20"/>
                <w:color w:val="auto"/>
              </w:rPr>
            </w:pPr>
            <w:r>
              <w:rPr>
                <w:rFonts w:ascii="Arial" w:cs="Arial" w:eastAsia="Arial" w:hAnsi="Arial"/>
                <w:sz w:val="17"/>
                <w:szCs w:val="17"/>
                <w:color w:val="auto"/>
              </w:rPr>
              <w:t>3,336     </w:t>
            </w:r>
          </w:p>
        </w:tc>
        <w:tc>
          <w:tcPr>
            <w:tcW w:w="960" w:type="dxa"/>
            <w:vAlign w:val="bottom"/>
            <w:gridSpan w:val="3"/>
          </w:tcPr>
          <w:p>
            <w:pPr>
              <w:jc w:val="right"/>
              <w:ind w:right="80"/>
              <w:spacing w:after="0"/>
              <w:rPr>
                <w:sz w:val="20"/>
                <w:szCs w:val="20"/>
                <w:color w:val="auto"/>
              </w:rPr>
            </w:pPr>
            <w:r>
              <w:rPr>
                <w:rFonts w:ascii="Arial" w:cs="Arial" w:eastAsia="Arial" w:hAnsi="Arial"/>
                <w:sz w:val="17"/>
                <w:szCs w:val="17"/>
                <w:color w:val="auto"/>
              </w:rPr>
              <w:t>—     </w:t>
            </w:r>
          </w:p>
        </w:tc>
        <w:tc>
          <w:tcPr>
            <w:tcW w:w="1200" w:type="dxa"/>
            <w:vAlign w:val="bottom"/>
            <w:gridSpan w:val="3"/>
          </w:tcPr>
          <w:p>
            <w:pPr>
              <w:jc w:val="right"/>
              <w:ind w:right="40"/>
              <w:spacing w:after="0"/>
              <w:rPr>
                <w:sz w:val="20"/>
                <w:szCs w:val="20"/>
                <w:color w:val="auto"/>
              </w:rPr>
            </w:pPr>
            <w:r>
              <w:rPr>
                <w:rFonts w:ascii="Arial" w:cs="Arial" w:eastAsia="Arial" w:hAnsi="Arial"/>
                <w:sz w:val="17"/>
                <w:szCs w:val="17"/>
                <w:color w:val="auto"/>
              </w:rPr>
              <w:t>—     </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3,336</w:t>
            </w:r>
          </w:p>
        </w:tc>
      </w:tr>
      <w:tr>
        <w:trPr>
          <w:trHeight w:val="175"/>
        </w:trPr>
        <w:tc>
          <w:tcPr>
            <w:tcW w:w="20" w:type="dxa"/>
            <w:vAlign w:val="bottom"/>
          </w:tcPr>
          <w:p>
            <w:pPr>
              <w:spacing w:after="0"/>
              <w:rPr>
                <w:sz w:val="15"/>
                <w:szCs w:val="15"/>
                <w:color w:val="auto"/>
              </w:rPr>
            </w:pPr>
          </w:p>
        </w:tc>
        <w:tc>
          <w:tcPr>
            <w:tcW w:w="1540" w:type="dxa"/>
            <w:vAlign w:val="bottom"/>
            <w:shd w:val="clear" w:color="auto" w:fill="CCEEFF"/>
          </w:tcPr>
          <w:p>
            <w:pPr>
              <w:ind w:left="320"/>
              <w:spacing w:after="0" w:line="175" w:lineRule="exact"/>
              <w:rPr>
                <w:sz w:val="20"/>
                <w:szCs w:val="20"/>
                <w:color w:val="auto"/>
              </w:rPr>
            </w:pPr>
            <w:r>
              <w:rPr>
                <w:rFonts w:ascii="Arial" w:cs="Arial" w:eastAsia="Arial" w:hAnsi="Arial"/>
                <w:sz w:val="17"/>
                <w:szCs w:val="17"/>
                <w:color w:val="auto"/>
              </w:rPr>
              <w:t>Unrealized gain</w:t>
            </w:r>
          </w:p>
        </w:tc>
        <w:tc>
          <w:tcPr>
            <w:tcW w:w="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1540" w:type="dxa"/>
            <w:vAlign w:val="bottom"/>
            <w:shd w:val="clear" w:color="auto" w:fill="CCEEFF"/>
          </w:tcPr>
          <w:p>
            <w:pPr>
              <w:ind w:left="480"/>
              <w:spacing w:after="0" w:line="192" w:lineRule="exact"/>
              <w:rPr>
                <w:sz w:val="20"/>
                <w:szCs w:val="20"/>
                <w:color w:val="auto"/>
              </w:rPr>
            </w:pPr>
            <w:r>
              <w:rPr>
                <w:rFonts w:ascii="Arial" w:cs="Arial" w:eastAsia="Arial" w:hAnsi="Arial"/>
                <w:sz w:val="17"/>
                <w:szCs w:val="17"/>
                <w:color w:val="auto"/>
              </w:rPr>
              <w:t>on short-term</w:t>
            </w:r>
          </w:p>
        </w:tc>
        <w:tc>
          <w:tcPr>
            <w:tcW w:w="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15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investments</w:t>
            </w:r>
          </w:p>
        </w:tc>
        <w:tc>
          <w:tcPr>
            <w:tcW w:w="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860"/>
              <w:spacing w:after="0"/>
              <w:rPr>
                <w:sz w:val="20"/>
                <w:szCs w:val="20"/>
                <w:color w:val="auto"/>
              </w:rPr>
            </w:pPr>
            <w:r>
              <w:rPr>
                <w:rFonts w:ascii="Arial" w:cs="Arial" w:eastAsia="Arial" w:hAnsi="Arial"/>
                <w:sz w:val="17"/>
                <w:szCs w:val="17"/>
                <w:color w:val="auto"/>
              </w:rPr>
              <w:t>—     </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     </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     </w:t>
            </w:r>
          </w:p>
        </w:tc>
        <w:tc>
          <w:tcPr>
            <w:tcW w:w="1280" w:type="dxa"/>
            <w:vAlign w:val="bottom"/>
            <w:gridSpan w:val="3"/>
            <w:shd w:val="clear" w:color="auto" w:fill="CCEEFF"/>
          </w:tcPr>
          <w:p>
            <w:pPr>
              <w:jc w:val="right"/>
              <w:ind w:right="192"/>
              <w:spacing w:after="0"/>
              <w:rPr>
                <w:sz w:val="20"/>
                <w:szCs w:val="20"/>
                <w:color w:val="auto"/>
              </w:rPr>
            </w:pPr>
            <w:r>
              <w:rPr>
                <w:rFonts w:ascii="Arial" w:cs="Arial" w:eastAsia="Arial" w:hAnsi="Arial"/>
                <w:sz w:val="17"/>
                <w:szCs w:val="17"/>
                <w:color w:val="auto"/>
              </w:rPr>
              <w:t>—     </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438     </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     </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w:t>
            </w:r>
          </w:p>
        </w:tc>
      </w:tr>
      <w:tr>
        <w:trPr>
          <w:trHeight w:val="197"/>
        </w:trPr>
        <w:tc>
          <w:tcPr>
            <w:tcW w:w="20" w:type="dxa"/>
            <w:vAlign w:val="bottom"/>
          </w:tcPr>
          <w:p>
            <w:pPr>
              <w:spacing w:after="0"/>
              <w:rPr>
                <w:sz w:val="17"/>
                <w:szCs w:val="17"/>
                <w:color w:val="auto"/>
              </w:rPr>
            </w:pPr>
          </w:p>
        </w:tc>
        <w:tc>
          <w:tcPr>
            <w:tcW w:w="1540" w:type="dxa"/>
            <w:vAlign w:val="bottom"/>
          </w:tcPr>
          <w:p>
            <w:pPr>
              <w:ind w:left="140"/>
              <w:spacing w:after="0" w:line="192" w:lineRule="exact"/>
              <w:rPr>
                <w:sz w:val="20"/>
                <w:szCs w:val="20"/>
                <w:color w:val="auto"/>
              </w:rPr>
            </w:pPr>
            <w:r>
              <w:rPr>
                <w:rFonts w:ascii="Arial" w:cs="Arial" w:eastAsia="Arial" w:hAnsi="Arial"/>
                <w:sz w:val="17"/>
                <w:szCs w:val="17"/>
                <w:color w:val="auto"/>
              </w:rPr>
              <w:t>Net loss</w:t>
            </w:r>
          </w:p>
        </w:tc>
        <w:tc>
          <w:tcPr>
            <w:tcW w:w="60" w:type="dxa"/>
            <w:vAlign w:val="bottom"/>
          </w:tcPr>
          <w:p>
            <w:pPr>
              <w:spacing w:after="0"/>
              <w:rPr>
                <w:sz w:val="17"/>
                <w:szCs w:val="17"/>
                <w:color w:val="auto"/>
              </w:rPr>
            </w:pPr>
          </w:p>
        </w:tc>
        <w:tc>
          <w:tcPr>
            <w:tcW w:w="1480" w:type="dxa"/>
            <w:vAlign w:val="bottom"/>
            <w:gridSpan w:val="3"/>
          </w:tcPr>
          <w:p>
            <w:pPr>
              <w:ind w:left="860"/>
              <w:spacing w:after="0" w:line="192" w:lineRule="exact"/>
              <w:rPr>
                <w:sz w:val="20"/>
                <w:szCs w:val="20"/>
                <w:color w:val="auto"/>
              </w:rPr>
            </w:pPr>
            <w:r>
              <w:rPr>
                <w:rFonts w:ascii="Arial" w:cs="Arial" w:eastAsia="Arial" w:hAnsi="Arial"/>
                <w:sz w:val="17"/>
                <w:szCs w:val="17"/>
                <w:color w:val="auto"/>
              </w:rPr>
              <w:t>—     </w:t>
            </w:r>
          </w:p>
        </w:tc>
        <w:tc>
          <w:tcPr>
            <w:tcW w:w="1200" w:type="dxa"/>
            <w:vAlign w:val="bottom"/>
            <w:gridSpan w:val="3"/>
          </w:tcPr>
          <w:p>
            <w:pPr>
              <w:jc w:val="right"/>
              <w:ind w:right="100"/>
              <w:spacing w:after="0" w:line="192" w:lineRule="exact"/>
              <w:rPr>
                <w:sz w:val="20"/>
                <w:szCs w:val="20"/>
                <w:color w:val="auto"/>
              </w:rPr>
            </w:pPr>
            <w:r>
              <w:rPr>
                <w:rFonts w:ascii="Arial" w:cs="Arial" w:eastAsia="Arial" w:hAnsi="Arial"/>
                <w:sz w:val="17"/>
                <w:szCs w:val="17"/>
                <w:color w:val="auto"/>
              </w:rPr>
              <w:t>—     </w:t>
            </w:r>
          </w:p>
        </w:tc>
        <w:tc>
          <w:tcPr>
            <w:tcW w:w="1340" w:type="dxa"/>
            <w:vAlign w:val="bottom"/>
            <w:gridSpan w:val="3"/>
          </w:tcPr>
          <w:p>
            <w:pPr>
              <w:jc w:val="right"/>
              <w:spacing w:after="0" w:line="192" w:lineRule="exact"/>
              <w:rPr>
                <w:sz w:val="20"/>
                <w:szCs w:val="20"/>
                <w:color w:val="auto"/>
              </w:rPr>
            </w:pPr>
            <w:r>
              <w:rPr>
                <w:rFonts w:ascii="Arial" w:cs="Arial" w:eastAsia="Arial" w:hAnsi="Arial"/>
                <w:sz w:val="17"/>
                <w:szCs w:val="17"/>
                <w:color w:val="auto"/>
              </w:rPr>
              <w:t>—     </w:t>
            </w:r>
          </w:p>
        </w:tc>
        <w:tc>
          <w:tcPr>
            <w:tcW w:w="60" w:type="dxa"/>
            <w:vAlign w:val="bottom"/>
          </w:tcPr>
          <w:p>
            <w:pPr>
              <w:spacing w:after="0"/>
              <w:rPr>
                <w:sz w:val="17"/>
                <w:szCs w:val="17"/>
                <w:color w:val="auto"/>
              </w:rPr>
            </w:pPr>
          </w:p>
        </w:tc>
        <w:tc>
          <w:tcPr>
            <w:tcW w:w="760" w:type="dxa"/>
            <w:vAlign w:val="bottom"/>
            <w:gridSpan w:val="3"/>
          </w:tcPr>
          <w:p>
            <w:pPr>
              <w:ind w:left="260"/>
              <w:spacing w:after="0" w:line="192" w:lineRule="exact"/>
              <w:rPr>
                <w:sz w:val="20"/>
                <w:szCs w:val="20"/>
                <w:color w:val="auto"/>
              </w:rPr>
            </w:pPr>
            <w:r>
              <w:rPr>
                <w:rFonts w:ascii="Arial" w:cs="Arial" w:eastAsia="Arial" w:hAnsi="Arial"/>
                <w:sz w:val="17"/>
                <w:szCs w:val="17"/>
                <w:color w:val="auto"/>
              </w:rPr>
              <w:t>—     </w:t>
            </w:r>
          </w:p>
        </w:tc>
        <w:tc>
          <w:tcPr>
            <w:tcW w:w="1280" w:type="dxa"/>
            <w:vAlign w:val="bottom"/>
            <w:gridSpan w:val="3"/>
          </w:tcPr>
          <w:p>
            <w:pPr>
              <w:jc w:val="right"/>
              <w:ind w:right="192"/>
              <w:spacing w:after="0" w:line="192" w:lineRule="exact"/>
              <w:rPr>
                <w:sz w:val="20"/>
                <w:szCs w:val="20"/>
                <w:color w:val="auto"/>
              </w:rPr>
            </w:pPr>
            <w:r>
              <w:rPr>
                <w:rFonts w:ascii="Arial" w:cs="Arial" w:eastAsia="Arial" w:hAnsi="Arial"/>
                <w:sz w:val="17"/>
                <w:szCs w:val="17"/>
                <w:color w:val="auto"/>
              </w:rPr>
              <w:t>—     </w:t>
            </w:r>
          </w:p>
        </w:tc>
        <w:tc>
          <w:tcPr>
            <w:tcW w:w="960" w:type="dxa"/>
            <w:vAlign w:val="bottom"/>
            <w:gridSpan w:val="3"/>
          </w:tcPr>
          <w:p>
            <w:pPr>
              <w:jc w:val="right"/>
              <w:ind w:right="80"/>
              <w:spacing w:after="0" w:line="192" w:lineRule="exact"/>
              <w:rPr>
                <w:sz w:val="20"/>
                <w:szCs w:val="20"/>
                <w:color w:val="auto"/>
              </w:rPr>
            </w:pPr>
            <w:r>
              <w:rPr>
                <w:rFonts w:ascii="Arial" w:cs="Arial" w:eastAsia="Arial" w:hAnsi="Arial"/>
                <w:sz w:val="17"/>
                <w:szCs w:val="17"/>
                <w:color w:val="auto"/>
              </w:rPr>
              <w:t>—     </w:t>
            </w:r>
          </w:p>
        </w:tc>
        <w:tc>
          <w:tcPr>
            <w:tcW w:w="1200" w:type="dxa"/>
            <w:vAlign w:val="bottom"/>
            <w:gridSpan w:val="3"/>
          </w:tcPr>
          <w:p>
            <w:pPr>
              <w:jc w:val="right"/>
              <w:ind w:right="40"/>
              <w:spacing w:after="0" w:line="192" w:lineRule="exact"/>
              <w:rPr>
                <w:sz w:val="20"/>
                <w:szCs w:val="20"/>
                <w:color w:val="auto"/>
              </w:rPr>
            </w:pPr>
            <w:r>
              <w:rPr>
                <w:rFonts w:ascii="Arial" w:cs="Arial" w:eastAsia="Arial" w:hAnsi="Arial"/>
                <w:sz w:val="17"/>
                <w:szCs w:val="17"/>
                <w:color w:val="auto"/>
              </w:rPr>
              <w:t xml:space="preserve">(49,434)    </w:t>
            </w:r>
          </w:p>
        </w:tc>
        <w:tc>
          <w:tcPr>
            <w:tcW w:w="160" w:type="dxa"/>
            <w:vAlign w:val="bottom"/>
          </w:tcPr>
          <w:p>
            <w:pPr>
              <w:spacing w:after="0"/>
              <w:rPr>
                <w:sz w:val="17"/>
                <w:szCs w:val="17"/>
                <w:color w:val="auto"/>
              </w:rPr>
            </w:pPr>
          </w:p>
        </w:tc>
        <w:tc>
          <w:tcPr>
            <w:tcW w:w="860" w:type="dxa"/>
            <w:vAlign w:val="bottom"/>
          </w:tcPr>
          <w:p>
            <w:pPr>
              <w:jc w:val="right"/>
              <w:spacing w:after="0" w:line="192" w:lineRule="exact"/>
              <w:rPr>
                <w:sz w:val="20"/>
                <w:szCs w:val="20"/>
                <w:color w:val="auto"/>
              </w:rPr>
            </w:pPr>
            <w:r>
              <w:rPr>
                <w:rFonts w:ascii="Arial" w:cs="Arial" w:eastAsia="Arial" w:hAnsi="Arial"/>
                <w:sz w:val="17"/>
                <w:szCs w:val="17"/>
                <w:color w:val="auto"/>
              </w:rPr>
              <w:t>(49,434)</w:t>
            </w:r>
          </w:p>
        </w:tc>
      </w:tr>
      <w:tr>
        <w:trPr>
          <w:trHeight w:val="175"/>
        </w:trPr>
        <w:tc>
          <w:tcPr>
            <w:tcW w:w="20" w:type="dxa"/>
            <w:vAlign w:val="bottom"/>
          </w:tcPr>
          <w:p>
            <w:pPr>
              <w:spacing w:after="0"/>
              <w:rPr>
                <w:sz w:val="15"/>
                <w:szCs w:val="15"/>
                <w:color w:val="auto"/>
              </w:rPr>
            </w:pPr>
          </w:p>
        </w:tc>
        <w:tc>
          <w:tcPr>
            <w:tcW w:w="1540" w:type="dxa"/>
            <w:vAlign w:val="bottom"/>
            <w:shd w:val="clear" w:color="auto" w:fill="CCEEFF"/>
          </w:tcPr>
          <w:p>
            <w:pPr>
              <w:spacing w:after="0" w:line="175" w:lineRule="exact"/>
              <w:rPr>
                <w:sz w:val="20"/>
                <w:szCs w:val="20"/>
                <w:color w:val="auto"/>
              </w:rPr>
            </w:pPr>
            <w:r>
              <w:rPr>
                <w:rFonts w:ascii="Arial" w:cs="Arial" w:eastAsia="Arial" w:hAnsi="Arial"/>
                <w:sz w:val="17"/>
                <w:szCs w:val="17"/>
                <w:b w:val="1"/>
                <w:bCs w:val="1"/>
                <w:color w:val="auto"/>
              </w:rPr>
              <w:t>Balance as of</w:t>
            </w:r>
          </w:p>
        </w:tc>
        <w:tc>
          <w:tcPr>
            <w:tcW w:w="6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1540" w:type="dxa"/>
            <w:vAlign w:val="bottom"/>
            <w:shd w:val="clear" w:color="auto" w:fill="CCEEFF"/>
          </w:tcPr>
          <w:p>
            <w:pPr>
              <w:ind w:left="140"/>
              <w:spacing w:after="0" w:line="192" w:lineRule="exact"/>
              <w:rPr>
                <w:sz w:val="20"/>
                <w:szCs w:val="20"/>
                <w:color w:val="auto"/>
              </w:rPr>
            </w:pPr>
            <w:r>
              <w:rPr>
                <w:rFonts w:ascii="Arial" w:cs="Arial" w:eastAsia="Arial" w:hAnsi="Arial"/>
                <w:sz w:val="17"/>
                <w:szCs w:val="17"/>
                <w:b w:val="1"/>
                <w:bCs w:val="1"/>
                <w:color w:val="auto"/>
              </w:rPr>
              <w:t>December 31,</w:t>
            </w:r>
          </w:p>
        </w:tc>
        <w:tc>
          <w:tcPr>
            <w:tcW w:w="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154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2023</w:t>
            </w:r>
          </w:p>
        </w:tc>
        <w:tc>
          <w:tcPr>
            <w:tcW w:w="15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   287,446,844     $</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247,617     </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1,247,012     $</w:t>
            </w:r>
          </w:p>
        </w:tc>
        <w:tc>
          <w:tcPr>
            <w:tcW w:w="76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w w:val="99"/>
              </w:rPr>
              <w:t>—     $</w:t>
            </w:r>
          </w:p>
        </w:tc>
        <w:tc>
          <w:tcPr>
            <w:tcW w:w="1280" w:type="dxa"/>
            <w:vAlign w:val="bottom"/>
            <w:gridSpan w:val="3"/>
            <w:shd w:val="clear" w:color="auto" w:fill="CCEEFF"/>
          </w:tcPr>
          <w:p>
            <w:pPr>
              <w:jc w:val="right"/>
              <w:ind w:right="112"/>
              <w:spacing w:after="0"/>
              <w:rPr>
                <w:sz w:val="20"/>
                <w:szCs w:val="20"/>
                <w:color w:val="auto"/>
              </w:rPr>
            </w:pPr>
            <w:r>
              <w:rPr>
                <w:rFonts w:ascii="Arial" w:cs="Arial" w:eastAsia="Arial" w:hAnsi="Arial"/>
                <w:sz w:val="17"/>
                <w:szCs w:val="17"/>
                <w:color w:val="auto"/>
              </w:rPr>
              <w:t>8,987     $</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40     $</w:t>
            </w:r>
          </w:p>
        </w:tc>
        <w:tc>
          <w:tcPr>
            <w:tcW w:w="1360" w:type="dxa"/>
            <w:vAlign w:val="bottom"/>
            <w:gridSpan w:val="4"/>
            <w:shd w:val="clear" w:color="auto" w:fill="CCEEFF"/>
          </w:tcPr>
          <w:p>
            <w:pPr>
              <w:jc w:val="right"/>
              <w:ind w:right="52"/>
              <w:spacing w:after="0"/>
              <w:rPr>
                <w:sz w:val="20"/>
                <w:szCs w:val="20"/>
                <w:color w:val="auto"/>
              </w:rPr>
            </w:pPr>
            <w:r>
              <w:rPr>
                <w:rFonts w:ascii="Arial" w:cs="Arial" w:eastAsia="Arial" w:hAnsi="Arial"/>
                <w:sz w:val="17"/>
                <w:szCs w:val="17"/>
                <w:color w:val="auto"/>
              </w:rPr>
              <w:t>(136,109)    $</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(127,082)</w:t>
            </w: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2857500</wp:posOffset>
            </wp:positionH>
            <wp:positionV relativeFrom="paragraph">
              <wp:posOffset>-5483860</wp:posOffset>
            </wp:positionV>
            <wp:extent cx="8255" cy="54927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5492750"/>
                    </a:xfrm>
                    <a:prstGeom prst="rect">
                      <a:avLst/>
                    </a:prstGeom>
                    <a:noFill/>
                  </pic:spPr>
                </pic:pic>
              </a:graphicData>
            </a:graphic>
          </wp:anchor>
        </w:drawing>
      </w:r>
    </w:p>
    <w:p>
      <w:pPr>
        <w:spacing w:after="0" w:line="182"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See accompanying notes to financial statements.</w:t>
      </w:r>
    </w:p>
    <w:p>
      <w:pPr>
        <w:spacing w:after="0" w:line="13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340"/>
          </w:cols>
          <w:pgMar w:left="320" w:top="439" w:right="2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Boundless Bio, Inc.</w:t>
      </w:r>
    </w:p>
    <w:p>
      <w:pPr>
        <w:spacing w:after="0" w:line="98" w:lineRule="exact"/>
        <w:rPr>
          <w:sz w:val="20"/>
          <w:szCs w:val="20"/>
          <w:color w:val="auto"/>
        </w:rPr>
      </w:pPr>
    </w:p>
    <w:p>
      <w:pPr>
        <w:ind w:left="4560"/>
        <w:spacing w:after="0"/>
        <w:rPr>
          <w:sz w:val="20"/>
          <w:szCs w:val="20"/>
          <w:color w:val="auto"/>
        </w:rPr>
      </w:pPr>
      <w:r>
        <w:rPr>
          <w:rFonts w:ascii="Arial" w:cs="Arial" w:eastAsia="Arial" w:hAnsi="Arial"/>
          <w:sz w:val="17"/>
          <w:szCs w:val="17"/>
          <w:b w:val="1"/>
          <w:bCs w:val="1"/>
          <w:color w:val="auto"/>
        </w:rPr>
        <w:t>Statements of Cash Flows</w:t>
      </w:r>
    </w:p>
    <w:p>
      <w:pPr>
        <w:spacing w:after="0" w:line="12"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(in thousands)</w:t>
      </w:r>
    </w:p>
    <w:p>
      <w:pPr>
        <w:spacing w:after="0" w:line="217" w:lineRule="exact"/>
        <w:rPr>
          <w:sz w:val="20"/>
          <w:szCs w:val="20"/>
          <w:color w:val="auto"/>
        </w:rPr>
      </w:pPr>
    </w:p>
    <w:tbl>
      <w:tblPr>
        <w:tblLayout w:type="fixed"/>
        <w:tblInd w:w="420" w:type="dxa"/>
        <w:tblCellMar>
          <w:top w:w="0" w:type="dxa"/>
          <w:left w:w="0" w:type="dxa"/>
          <w:bottom w:w="0" w:type="dxa"/>
          <w:right w:w="0" w:type="dxa"/>
        </w:tblCellMar>
      </w:tblPr>
      <w:tr>
        <w:trPr>
          <w:trHeight w:val="163"/>
        </w:trPr>
        <w:tc>
          <w:tcPr>
            <w:tcW w:w="7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7"/>
              </w:rPr>
              <w:t>Year Ended December 31,</w:t>
            </w:r>
          </w:p>
        </w:tc>
        <w:tc>
          <w:tcPr>
            <w:tcW w:w="0" w:type="dxa"/>
            <w:vAlign w:val="bottom"/>
          </w:tcPr>
          <w:p>
            <w:pPr>
              <w:spacing w:after="0"/>
              <w:rPr>
                <w:sz w:val="1"/>
                <w:szCs w:val="1"/>
                <w:color w:val="auto"/>
              </w:rPr>
            </w:pPr>
          </w:p>
        </w:tc>
      </w:tr>
      <w:tr>
        <w:trPr>
          <w:trHeight w:val="146"/>
        </w:trPr>
        <w:tc>
          <w:tcPr>
            <w:tcW w:w="79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36"/>
              <w:spacing w:after="0" w:line="146"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35"/>
              <w:spacing w:after="0" w:line="146" w:lineRule="exact"/>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920" w:type="dxa"/>
            <w:vAlign w:val="bottom"/>
            <w:shd w:val="clear" w:color="auto" w:fill="CCEEFF"/>
          </w:tcPr>
          <w:p>
            <w:pPr>
              <w:spacing w:after="0" w:line="172" w:lineRule="exact"/>
              <w:rPr>
                <w:sz w:val="20"/>
                <w:szCs w:val="20"/>
                <w:color w:val="auto"/>
              </w:rPr>
            </w:pPr>
            <w:r>
              <w:rPr>
                <w:rFonts w:ascii="Arial" w:cs="Arial" w:eastAsia="Arial" w:hAnsi="Arial"/>
                <w:sz w:val="17"/>
                <w:szCs w:val="17"/>
                <w:b w:val="1"/>
                <w:bCs w:val="1"/>
                <w:color w:val="auto"/>
              </w:rPr>
              <w:t>Cash flows from operating activities</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920" w:type="dxa"/>
            <w:vAlign w:val="bottom"/>
          </w:tcPr>
          <w:p>
            <w:pPr>
              <w:ind w:left="160"/>
              <w:spacing w:after="0" w:line="192" w:lineRule="exact"/>
              <w:rPr>
                <w:sz w:val="20"/>
                <w:szCs w:val="20"/>
                <w:color w:val="auto"/>
              </w:rPr>
            </w:pPr>
            <w:r>
              <w:rPr>
                <w:rFonts w:ascii="Arial" w:cs="Arial" w:eastAsia="Arial" w:hAnsi="Arial"/>
                <w:sz w:val="17"/>
                <w:szCs w:val="17"/>
                <w:color w:val="auto"/>
              </w:rPr>
              <w:t>Net loss</w:t>
            </w:r>
          </w:p>
        </w:tc>
        <w:tc>
          <w:tcPr>
            <w:tcW w:w="240" w:type="dxa"/>
            <w:vAlign w:val="bottom"/>
            <w:gridSpan w:val="2"/>
          </w:tcPr>
          <w:p>
            <w:pPr>
              <w:spacing w:after="0" w:line="192" w:lineRule="exact"/>
              <w:rPr>
                <w:sz w:val="20"/>
                <w:szCs w:val="20"/>
                <w:color w:val="auto"/>
              </w:rPr>
            </w:pPr>
            <w:r>
              <w:rPr>
                <w:rFonts w:ascii="Arial" w:cs="Arial" w:eastAsia="Arial" w:hAnsi="Arial"/>
                <w:sz w:val="17"/>
                <w:szCs w:val="17"/>
                <w:color w:val="auto"/>
              </w:rPr>
              <w:t xml:space="preserve"> $ </w:t>
            </w:r>
          </w:p>
        </w:tc>
        <w:tc>
          <w:tcPr>
            <w:tcW w:w="1300" w:type="dxa"/>
            <w:vAlign w:val="bottom"/>
            <w:gridSpan w:val="3"/>
          </w:tcPr>
          <w:p>
            <w:pPr>
              <w:jc w:val="right"/>
              <w:ind w:right="60"/>
              <w:spacing w:after="0" w:line="192" w:lineRule="exact"/>
              <w:rPr>
                <w:sz w:val="20"/>
                <w:szCs w:val="20"/>
                <w:color w:val="auto"/>
              </w:rPr>
            </w:pPr>
            <w:r>
              <w:rPr>
                <w:rFonts w:ascii="Arial" w:cs="Arial" w:eastAsia="Arial" w:hAnsi="Arial"/>
                <w:sz w:val="17"/>
                <w:szCs w:val="17"/>
                <w:color w:val="auto"/>
                <w:w w:val="99"/>
              </w:rPr>
              <w:t xml:space="preserve">   (45,901)     $ </w:t>
            </w:r>
          </w:p>
        </w:tc>
        <w:tc>
          <w:tcPr>
            <w:tcW w:w="960" w:type="dxa"/>
            <w:vAlign w:val="bottom"/>
            <w:gridSpan w:val="2"/>
          </w:tcPr>
          <w:p>
            <w:pPr>
              <w:jc w:val="right"/>
              <w:spacing w:after="0" w:line="192" w:lineRule="exact"/>
              <w:rPr>
                <w:sz w:val="20"/>
                <w:szCs w:val="20"/>
                <w:color w:val="auto"/>
              </w:rPr>
            </w:pPr>
            <w:r>
              <w:rPr>
                <w:rFonts w:ascii="Arial" w:cs="Arial" w:eastAsia="Arial" w:hAnsi="Arial"/>
                <w:sz w:val="17"/>
                <w:szCs w:val="17"/>
                <w:color w:val="auto"/>
                <w:w w:val="95"/>
              </w:rPr>
              <w:t>   (49,434)  </w:t>
            </w:r>
          </w:p>
        </w:tc>
        <w:tc>
          <w:tcPr>
            <w:tcW w:w="0" w:type="dxa"/>
            <w:vAlign w:val="bottom"/>
          </w:tcPr>
          <w:p>
            <w:pPr>
              <w:spacing w:after="0"/>
              <w:rPr>
                <w:sz w:val="1"/>
                <w:szCs w:val="1"/>
                <w:color w:val="auto"/>
              </w:rPr>
            </w:pPr>
          </w:p>
        </w:tc>
      </w:tr>
      <w:tr>
        <w:trPr>
          <w:trHeight w:val="192"/>
        </w:trPr>
        <w:tc>
          <w:tcPr>
            <w:tcW w:w="7920" w:type="dxa"/>
            <w:vAlign w:val="bottom"/>
            <w:shd w:val="clear" w:color="auto" w:fill="CCEEFF"/>
          </w:tcPr>
          <w:p>
            <w:pPr>
              <w:ind w:left="160"/>
              <w:spacing w:after="0" w:line="192" w:lineRule="exact"/>
              <w:rPr>
                <w:sz w:val="20"/>
                <w:szCs w:val="20"/>
                <w:color w:val="auto"/>
              </w:rPr>
            </w:pPr>
            <w:r>
              <w:rPr>
                <w:rFonts w:ascii="Arial" w:cs="Arial" w:eastAsia="Arial" w:hAnsi="Arial"/>
                <w:sz w:val="17"/>
                <w:szCs w:val="17"/>
                <w:color w:val="auto"/>
              </w:rPr>
              <w:t>Reconciliation of net loss to net cash used in operating activities: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920" w:type="dxa"/>
            <w:vAlign w:val="bottom"/>
          </w:tcPr>
          <w:p>
            <w:pPr>
              <w:ind w:left="340"/>
              <w:spacing w:after="0" w:line="192" w:lineRule="exact"/>
              <w:rPr>
                <w:sz w:val="20"/>
                <w:szCs w:val="20"/>
                <w:color w:val="auto"/>
              </w:rPr>
            </w:pPr>
            <w:r>
              <w:rPr>
                <w:rFonts w:ascii="Arial" w:cs="Arial" w:eastAsia="Arial" w:hAnsi="Arial"/>
                <w:sz w:val="17"/>
                <w:szCs w:val="17"/>
                <w:color w:val="auto"/>
              </w:rPr>
              <w:t>Stock-based compensation</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jc w:val="right"/>
              <w:ind w:right="200"/>
              <w:spacing w:after="0" w:line="192" w:lineRule="exact"/>
              <w:rPr>
                <w:sz w:val="20"/>
                <w:szCs w:val="20"/>
                <w:color w:val="auto"/>
              </w:rPr>
            </w:pPr>
            <w:r>
              <w:rPr>
                <w:rFonts w:ascii="Arial" w:cs="Arial" w:eastAsia="Arial" w:hAnsi="Arial"/>
                <w:sz w:val="17"/>
                <w:szCs w:val="17"/>
                <w:color w:val="auto"/>
              </w:rPr>
              <w:t>2,290      </w:t>
            </w:r>
          </w:p>
        </w:tc>
        <w:tc>
          <w:tcPr>
            <w:tcW w:w="96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3,336   </w:t>
            </w:r>
          </w:p>
        </w:tc>
        <w:tc>
          <w:tcPr>
            <w:tcW w:w="0" w:type="dxa"/>
            <w:vAlign w:val="bottom"/>
          </w:tcPr>
          <w:p>
            <w:pPr>
              <w:spacing w:after="0"/>
              <w:rPr>
                <w:sz w:val="1"/>
                <w:szCs w:val="1"/>
                <w:color w:val="auto"/>
              </w:rPr>
            </w:pPr>
          </w:p>
        </w:tc>
      </w:tr>
      <w:tr>
        <w:trPr>
          <w:trHeight w:val="192"/>
        </w:trPr>
        <w:tc>
          <w:tcPr>
            <w:tcW w:w="7920" w:type="dxa"/>
            <w:vAlign w:val="bottom"/>
            <w:shd w:val="clear" w:color="auto" w:fill="CCEEFF"/>
          </w:tcPr>
          <w:p>
            <w:pPr>
              <w:ind w:left="340"/>
              <w:spacing w:after="0" w:line="192" w:lineRule="exact"/>
              <w:rPr>
                <w:sz w:val="20"/>
                <w:szCs w:val="20"/>
                <w:color w:val="auto"/>
              </w:rPr>
            </w:pPr>
            <w:r>
              <w:rPr>
                <w:rFonts w:ascii="Arial" w:cs="Arial" w:eastAsia="Arial" w:hAnsi="Arial"/>
                <w:sz w:val="17"/>
                <w:szCs w:val="17"/>
                <w:color w:val="auto"/>
              </w:rPr>
              <w:t>Depreciation</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200"/>
              <w:spacing w:after="0" w:line="192" w:lineRule="exact"/>
              <w:rPr>
                <w:sz w:val="20"/>
                <w:szCs w:val="20"/>
                <w:color w:val="auto"/>
              </w:rPr>
            </w:pPr>
            <w:r>
              <w:rPr>
                <w:rFonts w:ascii="Arial" w:cs="Arial" w:eastAsia="Arial" w:hAnsi="Arial"/>
                <w:sz w:val="17"/>
                <w:szCs w:val="17"/>
                <w:color w:val="auto"/>
              </w:rPr>
              <w:t>942      </w:t>
            </w:r>
          </w:p>
        </w:tc>
        <w:tc>
          <w:tcPr>
            <w:tcW w:w="9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957   </w:t>
            </w:r>
          </w:p>
        </w:tc>
        <w:tc>
          <w:tcPr>
            <w:tcW w:w="0" w:type="dxa"/>
            <w:vAlign w:val="bottom"/>
          </w:tcPr>
          <w:p>
            <w:pPr>
              <w:spacing w:after="0"/>
              <w:rPr>
                <w:sz w:val="1"/>
                <w:szCs w:val="1"/>
                <w:color w:val="auto"/>
              </w:rPr>
            </w:pPr>
          </w:p>
        </w:tc>
      </w:tr>
      <w:tr>
        <w:trPr>
          <w:trHeight w:val="192"/>
        </w:trPr>
        <w:tc>
          <w:tcPr>
            <w:tcW w:w="7920" w:type="dxa"/>
            <w:vAlign w:val="bottom"/>
          </w:tcPr>
          <w:p>
            <w:pPr>
              <w:ind w:left="340"/>
              <w:spacing w:after="0" w:line="192" w:lineRule="exact"/>
              <w:rPr>
                <w:sz w:val="20"/>
                <w:szCs w:val="20"/>
                <w:color w:val="auto"/>
              </w:rPr>
            </w:pPr>
            <w:r>
              <w:rPr>
                <w:rFonts w:ascii="Arial" w:cs="Arial" w:eastAsia="Arial" w:hAnsi="Arial"/>
                <w:sz w:val="17"/>
                <w:szCs w:val="17"/>
                <w:color w:val="auto"/>
              </w:rPr>
              <w:t>Amortization (accretion) of investments, net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jc w:val="right"/>
              <w:ind w:right="200"/>
              <w:spacing w:after="0" w:line="192" w:lineRule="exact"/>
              <w:rPr>
                <w:sz w:val="20"/>
                <w:szCs w:val="20"/>
                <w:color w:val="auto"/>
              </w:rPr>
            </w:pPr>
            <w:r>
              <w:rPr>
                <w:rFonts w:ascii="Arial" w:cs="Arial" w:eastAsia="Arial" w:hAnsi="Arial"/>
                <w:sz w:val="17"/>
                <w:szCs w:val="17"/>
                <w:color w:val="auto"/>
              </w:rPr>
              <w:t>503      </w:t>
            </w:r>
          </w:p>
        </w:tc>
        <w:tc>
          <w:tcPr>
            <w:tcW w:w="96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(3,300)  </w:t>
            </w:r>
          </w:p>
        </w:tc>
        <w:tc>
          <w:tcPr>
            <w:tcW w:w="0" w:type="dxa"/>
            <w:vAlign w:val="bottom"/>
          </w:tcPr>
          <w:p>
            <w:pPr>
              <w:spacing w:after="0"/>
              <w:rPr>
                <w:sz w:val="1"/>
                <w:szCs w:val="1"/>
                <w:color w:val="auto"/>
              </w:rPr>
            </w:pPr>
          </w:p>
        </w:tc>
      </w:tr>
      <w:tr>
        <w:trPr>
          <w:trHeight w:val="192"/>
        </w:trPr>
        <w:tc>
          <w:tcPr>
            <w:tcW w:w="7920" w:type="dxa"/>
            <w:vAlign w:val="bottom"/>
            <w:shd w:val="clear" w:color="auto" w:fill="CCEEFF"/>
          </w:tcPr>
          <w:p>
            <w:pPr>
              <w:ind w:left="340"/>
              <w:spacing w:after="0" w:line="192" w:lineRule="exact"/>
              <w:rPr>
                <w:sz w:val="20"/>
                <w:szCs w:val="20"/>
                <w:color w:val="auto"/>
              </w:rPr>
            </w:pPr>
            <w:r>
              <w:rPr>
                <w:rFonts w:ascii="Arial" w:cs="Arial" w:eastAsia="Arial" w:hAnsi="Arial"/>
                <w:sz w:val="17"/>
                <w:szCs w:val="17"/>
                <w:color w:val="auto"/>
              </w:rPr>
              <w:t>Non-cash lease expense</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200"/>
              <w:spacing w:after="0" w:line="192" w:lineRule="exact"/>
              <w:rPr>
                <w:sz w:val="20"/>
                <w:szCs w:val="20"/>
                <w:color w:val="auto"/>
              </w:rPr>
            </w:pPr>
            <w:r>
              <w:rPr>
                <w:rFonts w:ascii="Arial" w:cs="Arial" w:eastAsia="Arial" w:hAnsi="Arial"/>
                <w:sz w:val="17"/>
                <w:szCs w:val="17"/>
                <w:color w:val="auto"/>
              </w:rPr>
              <w:t>1,607      </w:t>
            </w:r>
          </w:p>
        </w:tc>
        <w:tc>
          <w:tcPr>
            <w:tcW w:w="9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2,360   </w:t>
            </w:r>
          </w:p>
        </w:tc>
        <w:tc>
          <w:tcPr>
            <w:tcW w:w="0" w:type="dxa"/>
            <w:vAlign w:val="bottom"/>
          </w:tcPr>
          <w:p>
            <w:pPr>
              <w:spacing w:after="0"/>
              <w:rPr>
                <w:sz w:val="1"/>
                <w:szCs w:val="1"/>
                <w:color w:val="auto"/>
              </w:rPr>
            </w:pPr>
          </w:p>
        </w:tc>
      </w:tr>
      <w:tr>
        <w:trPr>
          <w:trHeight w:val="192"/>
        </w:trPr>
        <w:tc>
          <w:tcPr>
            <w:tcW w:w="7920" w:type="dxa"/>
            <w:vAlign w:val="bottom"/>
          </w:tcPr>
          <w:p>
            <w:pPr>
              <w:ind w:left="340"/>
              <w:spacing w:after="0" w:line="192" w:lineRule="exact"/>
              <w:rPr>
                <w:sz w:val="20"/>
                <w:szCs w:val="20"/>
                <w:color w:val="auto"/>
              </w:rPr>
            </w:pPr>
            <w:r>
              <w:rPr>
                <w:rFonts w:ascii="Arial" w:cs="Arial" w:eastAsia="Arial" w:hAnsi="Arial"/>
                <w:sz w:val="17"/>
                <w:szCs w:val="17"/>
                <w:color w:val="auto"/>
              </w:rPr>
              <w:t>Other</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jc w:val="right"/>
              <w:ind w:right="200"/>
              <w:spacing w:after="0" w:line="192" w:lineRule="exact"/>
              <w:rPr>
                <w:sz w:val="20"/>
                <w:szCs w:val="20"/>
                <w:color w:val="auto"/>
              </w:rPr>
            </w:pPr>
            <w:r>
              <w:rPr>
                <w:rFonts w:ascii="Arial" w:cs="Arial" w:eastAsia="Arial" w:hAnsi="Arial"/>
                <w:sz w:val="17"/>
                <w:szCs w:val="17"/>
                <w:color w:val="auto"/>
              </w:rPr>
              <w:t>97      </w:t>
            </w:r>
          </w:p>
        </w:tc>
        <w:tc>
          <w:tcPr>
            <w:tcW w:w="96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25   </w:t>
            </w:r>
          </w:p>
        </w:tc>
        <w:tc>
          <w:tcPr>
            <w:tcW w:w="0" w:type="dxa"/>
            <w:vAlign w:val="bottom"/>
          </w:tcPr>
          <w:p>
            <w:pPr>
              <w:spacing w:after="0"/>
              <w:rPr>
                <w:sz w:val="1"/>
                <w:szCs w:val="1"/>
                <w:color w:val="auto"/>
              </w:rPr>
            </w:pPr>
          </w:p>
        </w:tc>
      </w:tr>
      <w:tr>
        <w:trPr>
          <w:trHeight w:val="192"/>
        </w:trPr>
        <w:tc>
          <w:tcPr>
            <w:tcW w:w="7920" w:type="dxa"/>
            <w:vAlign w:val="bottom"/>
            <w:shd w:val="clear" w:color="auto" w:fill="CCEEFF"/>
          </w:tcPr>
          <w:p>
            <w:pPr>
              <w:ind w:left="340"/>
              <w:spacing w:after="0" w:line="192" w:lineRule="exact"/>
              <w:rPr>
                <w:sz w:val="20"/>
                <w:szCs w:val="20"/>
                <w:color w:val="auto"/>
              </w:rPr>
            </w:pPr>
            <w:r>
              <w:rPr>
                <w:rFonts w:ascii="Arial" w:cs="Arial" w:eastAsia="Arial" w:hAnsi="Arial"/>
                <w:sz w:val="17"/>
                <w:szCs w:val="17"/>
                <w:color w:val="auto"/>
              </w:rPr>
              <w:t>Changes in operating assets and liabilities: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920" w:type="dxa"/>
            <w:vAlign w:val="bottom"/>
          </w:tcPr>
          <w:p>
            <w:pPr>
              <w:ind w:left="500"/>
              <w:spacing w:after="0" w:line="192" w:lineRule="exact"/>
              <w:rPr>
                <w:sz w:val="20"/>
                <w:szCs w:val="20"/>
                <w:color w:val="auto"/>
              </w:rPr>
            </w:pPr>
            <w:r>
              <w:rPr>
                <w:rFonts w:ascii="Arial" w:cs="Arial" w:eastAsia="Arial" w:hAnsi="Arial"/>
                <w:sz w:val="17"/>
                <w:szCs w:val="17"/>
                <w:color w:val="auto"/>
              </w:rPr>
              <w:t>Prepaid expenses and other assets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jc w:val="right"/>
              <w:ind w:right="200"/>
              <w:spacing w:after="0" w:line="192" w:lineRule="exact"/>
              <w:rPr>
                <w:sz w:val="20"/>
                <w:szCs w:val="20"/>
                <w:color w:val="auto"/>
              </w:rPr>
            </w:pPr>
            <w:r>
              <w:rPr>
                <w:rFonts w:ascii="Arial" w:cs="Arial" w:eastAsia="Arial" w:hAnsi="Arial"/>
                <w:sz w:val="17"/>
                <w:szCs w:val="17"/>
                <w:color w:val="auto"/>
              </w:rPr>
              <w:t>217      </w:t>
            </w:r>
          </w:p>
        </w:tc>
        <w:tc>
          <w:tcPr>
            <w:tcW w:w="96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85   </w:t>
            </w:r>
          </w:p>
        </w:tc>
        <w:tc>
          <w:tcPr>
            <w:tcW w:w="0" w:type="dxa"/>
            <w:vAlign w:val="bottom"/>
          </w:tcPr>
          <w:p>
            <w:pPr>
              <w:spacing w:after="0"/>
              <w:rPr>
                <w:sz w:val="1"/>
                <w:szCs w:val="1"/>
                <w:color w:val="auto"/>
              </w:rPr>
            </w:pPr>
          </w:p>
        </w:tc>
      </w:tr>
      <w:tr>
        <w:trPr>
          <w:trHeight w:val="192"/>
        </w:trPr>
        <w:tc>
          <w:tcPr>
            <w:tcW w:w="7920" w:type="dxa"/>
            <w:vAlign w:val="bottom"/>
            <w:shd w:val="clear" w:color="auto" w:fill="CCEEFF"/>
          </w:tcPr>
          <w:p>
            <w:pPr>
              <w:ind w:left="500"/>
              <w:spacing w:after="0" w:line="192" w:lineRule="exact"/>
              <w:rPr>
                <w:sz w:val="20"/>
                <w:szCs w:val="20"/>
                <w:color w:val="auto"/>
              </w:rPr>
            </w:pPr>
            <w:r>
              <w:rPr>
                <w:rFonts w:ascii="Arial" w:cs="Arial" w:eastAsia="Arial" w:hAnsi="Arial"/>
                <w:sz w:val="17"/>
                <w:szCs w:val="17"/>
                <w:color w:val="auto"/>
              </w:rPr>
              <w:t>Accounts payable and accrued liabilities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200"/>
              <w:spacing w:after="0" w:line="192" w:lineRule="exact"/>
              <w:rPr>
                <w:sz w:val="20"/>
                <w:szCs w:val="20"/>
                <w:color w:val="auto"/>
              </w:rPr>
            </w:pPr>
            <w:r>
              <w:rPr>
                <w:rFonts w:ascii="Arial" w:cs="Arial" w:eastAsia="Arial" w:hAnsi="Arial"/>
                <w:sz w:val="17"/>
                <w:szCs w:val="17"/>
                <w:color w:val="auto"/>
              </w:rPr>
              <w:t>1,911      </w:t>
            </w:r>
          </w:p>
        </w:tc>
        <w:tc>
          <w:tcPr>
            <w:tcW w:w="9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1,663   </w:t>
            </w:r>
          </w:p>
        </w:tc>
        <w:tc>
          <w:tcPr>
            <w:tcW w:w="0" w:type="dxa"/>
            <w:vAlign w:val="bottom"/>
          </w:tcPr>
          <w:p>
            <w:pPr>
              <w:spacing w:after="0"/>
              <w:rPr>
                <w:sz w:val="1"/>
                <w:szCs w:val="1"/>
                <w:color w:val="auto"/>
              </w:rPr>
            </w:pPr>
          </w:p>
        </w:tc>
      </w:tr>
      <w:tr>
        <w:trPr>
          <w:trHeight w:val="192"/>
        </w:trPr>
        <w:tc>
          <w:tcPr>
            <w:tcW w:w="7920" w:type="dxa"/>
            <w:vAlign w:val="bottom"/>
          </w:tcPr>
          <w:p>
            <w:pPr>
              <w:ind w:left="500"/>
              <w:spacing w:after="0" w:line="192" w:lineRule="exact"/>
              <w:rPr>
                <w:sz w:val="20"/>
                <w:szCs w:val="20"/>
                <w:color w:val="auto"/>
              </w:rPr>
            </w:pPr>
            <w:r>
              <w:rPr>
                <w:rFonts w:ascii="Arial" w:cs="Arial" w:eastAsia="Arial" w:hAnsi="Arial"/>
                <w:sz w:val="17"/>
                <w:szCs w:val="17"/>
                <w:color w:val="auto"/>
              </w:rPr>
              <w:t>Operating lease liabilities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jc w:val="right"/>
              <w:ind w:right="200"/>
              <w:spacing w:after="0" w:line="192" w:lineRule="exact"/>
              <w:rPr>
                <w:sz w:val="20"/>
                <w:szCs w:val="20"/>
                <w:color w:val="auto"/>
              </w:rPr>
            </w:pPr>
            <w:r>
              <w:rPr>
                <w:rFonts w:ascii="Arial" w:cs="Arial" w:eastAsia="Arial" w:hAnsi="Arial"/>
                <w:sz w:val="17"/>
                <w:szCs w:val="17"/>
                <w:color w:val="auto"/>
              </w:rPr>
              <w:t xml:space="preserve">(1,262)     </w:t>
            </w:r>
          </w:p>
        </w:tc>
        <w:tc>
          <w:tcPr>
            <w:tcW w:w="96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(2,547)  </w:t>
            </w:r>
          </w:p>
        </w:tc>
        <w:tc>
          <w:tcPr>
            <w:tcW w:w="0" w:type="dxa"/>
            <w:vAlign w:val="bottom"/>
          </w:tcPr>
          <w:p>
            <w:pPr>
              <w:spacing w:after="0"/>
              <w:rPr>
                <w:sz w:val="1"/>
                <w:szCs w:val="1"/>
                <w:color w:val="auto"/>
              </w:rPr>
            </w:pPr>
          </w:p>
        </w:tc>
      </w:tr>
      <w:tr>
        <w:trPr>
          <w:trHeight w:val="26"/>
        </w:trPr>
        <w:tc>
          <w:tcPr>
            <w:tcW w:w="79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920" w:type="dxa"/>
            <w:vAlign w:val="bottom"/>
            <w:shd w:val="clear" w:color="auto" w:fill="CCEEFF"/>
          </w:tcPr>
          <w:p>
            <w:pPr>
              <w:ind w:left="680"/>
              <w:spacing w:after="0" w:line="192" w:lineRule="exact"/>
              <w:rPr>
                <w:sz w:val="20"/>
                <w:szCs w:val="20"/>
                <w:color w:val="auto"/>
              </w:rPr>
            </w:pPr>
            <w:r>
              <w:rPr>
                <w:rFonts w:ascii="Arial" w:cs="Arial" w:eastAsia="Arial" w:hAnsi="Arial"/>
                <w:sz w:val="17"/>
                <w:szCs w:val="17"/>
                <w:color w:val="auto"/>
              </w:rPr>
              <w:t>Net cash used in operating activities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200"/>
              <w:spacing w:after="0" w:line="192" w:lineRule="exact"/>
              <w:rPr>
                <w:sz w:val="20"/>
                <w:szCs w:val="20"/>
                <w:color w:val="auto"/>
              </w:rPr>
            </w:pPr>
            <w:r>
              <w:rPr>
                <w:rFonts w:ascii="Arial" w:cs="Arial" w:eastAsia="Arial" w:hAnsi="Arial"/>
                <w:sz w:val="17"/>
                <w:szCs w:val="17"/>
                <w:color w:val="auto"/>
              </w:rPr>
              <w:t xml:space="preserve">(39,596)     </w:t>
            </w:r>
          </w:p>
        </w:tc>
        <w:tc>
          <w:tcPr>
            <w:tcW w:w="9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(46,855)  </w:t>
            </w:r>
          </w:p>
        </w:tc>
        <w:tc>
          <w:tcPr>
            <w:tcW w:w="0" w:type="dxa"/>
            <w:vAlign w:val="bottom"/>
          </w:tcPr>
          <w:p>
            <w:pPr>
              <w:spacing w:after="0"/>
              <w:rPr>
                <w:sz w:val="1"/>
                <w:szCs w:val="1"/>
                <w:color w:val="auto"/>
              </w:rPr>
            </w:pPr>
          </w:p>
        </w:tc>
      </w:tr>
      <w:tr>
        <w:trPr>
          <w:trHeight w:val="192"/>
        </w:trPr>
        <w:tc>
          <w:tcPr>
            <w:tcW w:w="7920" w:type="dxa"/>
            <w:vAlign w:val="bottom"/>
          </w:tcPr>
          <w:p>
            <w:pPr>
              <w:spacing w:after="0" w:line="192" w:lineRule="exact"/>
              <w:rPr>
                <w:sz w:val="20"/>
                <w:szCs w:val="20"/>
                <w:color w:val="auto"/>
              </w:rPr>
            </w:pPr>
            <w:r>
              <w:rPr>
                <w:rFonts w:ascii="Arial" w:cs="Arial" w:eastAsia="Arial" w:hAnsi="Arial"/>
                <w:sz w:val="17"/>
                <w:szCs w:val="17"/>
                <w:b w:val="1"/>
                <w:bCs w:val="1"/>
                <w:color w:val="auto"/>
              </w:rPr>
              <w:t>Cash flows from investing activities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920" w:type="dxa"/>
            <w:vAlign w:val="bottom"/>
            <w:shd w:val="clear" w:color="auto" w:fill="CCEEFF"/>
          </w:tcPr>
          <w:p>
            <w:pPr>
              <w:ind w:left="160"/>
              <w:spacing w:after="0" w:line="192" w:lineRule="exact"/>
              <w:rPr>
                <w:sz w:val="20"/>
                <w:szCs w:val="20"/>
                <w:color w:val="auto"/>
              </w:rPr>
            </w:pPr>
            <w:r>
              <w:rPr>
                <w:rFonts w:ascii="Arial" w:cs="Arial" w:eastAsia="Arial" w:hAnsi="Arial"/>
                <w:sz w:val="17"/>
                <w:szCs w:val="17"/>
                <w:color w:val="auto"/>
              </w:rPr>
              <w:t>Purchases of investments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200"/>
              <w:spacing w:after="0" w:line="192" w:lineRule="exact"/>
              <w:rPr>
                <w:sz w:val="20"/>
                <w:szCs w:val="20"/>
                <w:color w:val="auto"/>
              </w:rPr>
            </w:pPr>
            <w:r>
              <w:rPr>
                <w:rFonts w:ascii="Arial" w:cs="Arial" w:eastAsia="Arial" w:hAnsi="Arial"/>
                <w:sz w:val="17"/>
                <w:szCs w:val="17"/>
                <w:color w:val="auto"/>
              </w:rPr>
              <w:t xml:space="preserve">(42,598)     </w:t>
            </w:r>
          </w:p>
        </w:tc>
        <w:tc>
          <w:tcPr>
            <w:tcW w:w="9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(160,123)  </w:t>
            </w:r>
          </w:p>
        </w:tc>
        <w:tc>
          <w:tcPr>
            <w:tcW w:w="0" w:type="dxa"/>
            <w:vAlign w:val="bottom"/>
          </w:tcPr>
          <w:p>
            <w:pPr>
              <w:spacing w:after="0"/>
              <w:rPr>
                <w:sz w:val="1"/>
                <w:szCs w:val="1"/>
                <w:color w:val="auto"/>
              </w:rPr>
            </w:pPr>
          </w:p>
        </w:tc>
      </w:tr>
      <w:tr>
        <w:trPr>
          <w:trHeight w:val="192"/>
        </w:trPr>
        <w:tc>
          <w:tcPr>
            <w:tcW w:w="7920" w:type="dxa"/>
            <w:vAlign w:val="bottom"/>
          </w:tcPr>
          <w:p>
            <w:pPr>
              <w:ind w:left="160"/>
              <w:spacing w:after="0" w:line="192" w:lineRule="exact"/>
              <w:rPr>
                <w:sz w:val="20"/>
                <w:szCs w:val="20"/>
                <w:color w:val="auto"/>
              </w:rPr>
            </w:pPr>
            <w:r>
              <w:rPr>
                <w:rFonts w:ascii="Arial" w:cs="Arial" w:eastAsia="Arial" w:hAnsi="Arial"/>
                <w:sz w:val="17"/>
                <w:szCs w:val="17"/>
                <w:color w:val="auto"/>
              </w:rPr>
              <w:t>Maturities of investments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jc w:val="right"/>
              <w:ind w:right="200"/>
              <w:spacing w:after="0" w:line="192" w:lineRule="exact"/>
              <w:rPr>
                <w:sz w:val="20"/>
                <w:szCs w:val="20"/>
                <w:color w:val="auto"/>
              </w:rPr>
            </w:pPr>
            <w:r>
              <w:rPr>
                <w:rFonts w:ascii="Arial" w:cs="Arial" w:eastAsia="Arial" w:hAnsi="Arial"/>
                <w:sz w:val="17"/>
                <w:szCs w:val="17"/>
                <w:color w:val="auto"/>
              </w:rPr>
              <w:t>59,796      </w:t>
            </w:r>
          </w:p>
        </w:tc>
        <w:tc>
          <w:tcPr>
            <w:tcW w:w="96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122,496   </w:t>
            </w:r>
          </w:p>
        </w:tc>
        <w:tc>
          <w:tcPr>
            <w:tcW w:w="0" w:type="dxa"/>
            <w:vAlign w:val="bottom"/>
          </w:tcPr>
          <w:p>
            <w:pPr>
              <w:spacing w:after="0"/>
              <w:rPr>
                <w:sz w:val="1"/>
                <w:szCs w:val="1"/>
                <w:color w:val="auto"/>
              </w:rPr>
            </w:pPr>
          </w:p>
        </w:tc>
      </w:tr>
      <w:tr>
        <w:trPr>
          <w:trHeight w:val="192"/>
        </w:trPr>
        <w:tc>
          <w:tcPr>
            <w:tcW w:w="7920" w:type="dxa"/>
            <w:vAlign w:val="bottom"/>
            <w:shd w:val="clear" w:color="auto" w:fill="CCEEFF"/>
          </w:tcPr>
          <w:p>
            <w:pPr>
              <w:ind w:left="160"/>
              <w:spacing w:after="0" w:line="192" w:lineRule="exact"/>
              <w:rPr>
                <w:sz w:val="20"/>
                <w:szCs w:val="20"/>
                <w:color w:val="auto"/>
              </w:rPr>
            </w:pPr>
            <w:r>
              <w:rPr>
                <w:rFonts w:ascii="Arial" w:cs="Arial" w:eastAsia="Arial" w:hAnsi="Arial"/>
                <w:sz w:val="17"/>
                <w:szCs w:val="17"/>
                <w:color w:val="auto"/>
              </w:rPr>
              <w:t>Purchases of property and equipment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200"/>
              <w:spacing w:after="0" w:line="192" w:lineRule="exact"/>
              <w:rPr>
                <w:sz w:val="20"/>
                <w:szCs w:val="20"/>
                <w:color w:val="auto"/>
              </w:rPr>
            </w:pPr>
            <w:r>
              <w:rPr>
                <w:rFonts w:ascii="Arial" w:cs="Arial" w:eastAsia="Arial" w:hAnsi="Arial"/>
                <w:sz w:val="17"/>
                <w:szCs w:val="17"/>
                <w:color w:val="auto"/>
              </w:rPr>
              <w:t xml:space="preserve">(1,066)     </w:t>
            </w:r>
          </w:p>
        </w:tc>
        <w:tc>
          <w:tcPr>
            <w:tcW w:w="9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(633)  </w:t>
            </w:r>
          </w:p>
        </w:tc>
        <w:tc>
          <w:tcPr>
            <w:tcW w:w="0" w:type="dxa"/>
            <w:vAlign w:val="bottom"/>
          </w:tcPr>
          <w:p>
            <w:pPr>
              <w:spacing w:after="0"/>
              <w:rPr>
                <w:sz w:val="1"/>
                <w:szCs w:val="1"/>
                <w:color w:val="auto"/>
              </w:rPr>
            </w:pPr>
          </w:p>
        </w:tc>
      </w:tr>
      <w:tr>
        <w:trPr>
          <w:trHeight w:val="20"/>
        </w:trPr>
        <w:tc>
          <w:tcPr>
            <w:tcW w:w="7920" w:type="dxa"/>
            <w:vAlign w:val="bottom"/>
            <w:vMerge w:val="restart"/>
          </w:tcPr>
          <w:p>
            <w:pPr>
              <w:ind w:left="680"/>
              <w:spacing w:after="0"/>
              <w:rPr>
                <w:sz w:val="20"/>
                <w:szCs w:val="20"/>
                <w:color w:val="auto"/>
              </w:rPr>
            </w:pPr>
            <w:r>
              <w:rPr>
                <w:rFonts w:ascii="Arial" w:cs="Arial" w:eastAsia="Arial" w:hAnsi="Arial"/>
                <w:sz w:val="17"/>
                <w:szCs w:val="17"/>
                <w:color w:val="auto"/>
              </w:rPr>
              <w:t>Net cash provided by (used in) investing activities</w:t>
            </w: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16,132      </w:t>
            </w:r>
          </w:p>
        </w:tc>
        <w:tc>
          <w:tcPr>
            <w:tcW w:w="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(38,260)  </w:t>
            </w:r>
          </w:p>
        </w:tc>
        <w:tc>
          <w:tcPr>
            <w:tcW w:w="0" w:type="dxa"/>
            <w:vAlign w:val="bottom"/>
          </w:tcPr>
          <w:p>
            <w:pPr>
              <w:spacing w:after="0"/>
              <w:rPr>
                <w:sz w:val="1"/>
                <w:szCs w:val="1"/>
                <w:color w:val="auto"/>
              </w:rPr>
            </w:pPr>
          </w:p>
        </w:tc>
      </w:tr>
      <w:tr>
        <w:trPr>
          <w:trHeight w:val="192"/>
        </w:trPr>
        <w:tc>
          <w:tcPr>
            <w:tcW w:w="7920" w:type="dxa"/>
            <w:vAlign w:val="bottom"/>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Cash flows from financing activities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920" w:type="dxa"/>
            <w:vAlign w:val="bottom"/>
          </w:tcPr>
          <w:p>
            <w:pPr>
              <w:ind w:left="160"/>
              <w:spacing w:after="0" w:line="192" w:lineRule="exact"/>
              <w:rPr>
                <w:sz w:val="20"/>
                <w:szCs w:val="20"/>
                <w:color w:val="auto"/>
              </w:rPr>
            </w:pPr>
            <w:r>
              <w:rPr>
                <w:rFonts w:ascii="Arial" w:cs="Arial" w:eastAsia="Arial" w:hAnsi="Arial"/>
                <w:sz w:val="17"/>
                <w:szCs w:val="17"/>
                <w:color w:val="auto"/>
              </w:rPr>
              <w:t>Proceeds from issuance of Series C preferred stock, net of issuance costs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jc w:val="right"/>
              <w:ind w:right="200"/>
              <w:spacing w:after="0" w:line="192" w:lineRule="exact"/>
              <w:rPr>
                <w:sz w:val="20"/>
                <w:szCs w:val="20"/>
                <w:color w:val="auto"/>
              </w:rPr>
            </w:pPr>
            <w:r>
              <w:rPr>
                <w:rFonts w:ascii="Arial" w:cs="Arial" w:eastAsia="Arial" w:hAnsi="Arial"/>
                <w:sz w:val="17"/>
                <w:szCs w:val="17"/>
                <w:color w:val="auto"/>
              </w:rPr>
              <w:t>—      </w:t>
            </w:r>
          </w:p>
        </w:tc>
        <w:tc>
          <w:tcPr>
            <w:tcW w:w="96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99,671   </w:t>
            </w:r>
          </w:p>
        </w:tc>
        <w:tc>
          <w:tcPr>
            <w:tcW w:w="0" w:type="dxa"/>
            <w:vAlign w:val="bottom"/>
          </w:tcPr>
          <w:p>
            <w:pPr>
              <w:spacing w:after="0"/>
              <w:rPr>
                <w:sz w:val="1"/>
                <w:szCs w:val="1"/>
                <w:color w:val="auto"/>
              </w:rPr>
            </w:pPr>
          </w:p>
        </w:tc>
      </w:tr>
      <w:tr>
        <w:trPr>
          <w:trHeight w:val="192"/>
        </w:trPr>
        <w:tc>
          <w:tcPr>
            <w:tcW w:w="7920" w:type="dxa"/>
            <w:vAlign w:val="bottom"/>
            <w:shd w:val="clear" w:color="auto" w:fill="CCEEFF"/>
          </w:tcPr>
          <w:p>
            <w:pPr>
              <w:ind w:left="160"/>
              <w:spacing w:after="0" w:line="192" w:lineRule="exact"/>
              <w:rPr>
                <w:sz w:val="20"/>
                <w:szCs w:val="20"/>
                <w:color w:val="auto"/>
              </w:rPr>
            </w:pPr>
            <w:r>
              <w:rPr>
                <w:rFonts w:ascii="Arial" w:cs="Arial" w:eastAsia="Arial" w:hAnsi="Arial"/>
                <w:sz w:val="17"/>
                <w:szCs w:val="17"/>
                <w:color w:val="auto"/>
              </w:rPr>
              <w:t>Payment of deferred offering costs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200"/>
              <w:spacing w:after="0" w:line="192" w:lineRule="exact"/>
              <w:rPr>
                <w:sz w:val="20"/>
                <w:szCs w:val="20"/>
                <w:color w:val="auto"/>
              </w:rPr>
            </w:pPr>
            <w:r>
              <w:rPr>
                <w:rFonts w:ascii="Arial" w:cs="Arial" w:eastAsia="Arial" w:hAnsi="Arial"/>
                <w:sz w:val="17"/>
                <w:szCs w:val="17"/>
                <w:color w:val="auto"/>
              </w:rPr>
              <w:t>—      </w:t>
            </w:r>
          </w:p>
        </w:tc>
        <w:tc>
          <w:tcPr>
            <w:tcW w:w="9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(1,956)  </w:t>
            </w:r>
          </w:p>
        </w:tc>
        <w:tc>
          <w:tcPr>
            <w:tcW w:w="0" w:type="dxa"/>
            <w:vAlign w:val="bottom"/>
          </w:tcPr>
          <w:p>
            <w:pPr>
              <w:spacing w:after="0"/>
              <w:rPr>
                <w:sz w:val="1"/>
                <w:szCs w:val="1"/>
                <w:color w:val="auto"/>
              </w:rPr>
            </w:pPr>
          </w:p>
        </w:tc>
      </w:tr>
      <w:tr>
        <w:trPr>
          <w:trHeight w:val="192"/>
        </w:trPr>
        <w:tc>
          <w:tcPr>
            <w:tcW w:w="7920" w:type="dxa"/>
            <w:vAlign w:val="bottom"/>
          </w:tcPr>
          <w:p>
            <w:pPr>
              <w:ind w:left="160"/>
              <w:spacing w:after="0" w:line="192" w:lineRule="exact"/>
              <w:rPr>
                <w:sz w:val="20"/>
                <w:szCs w:val="20"/>
                <w:color w:val="auto"/>
              </w:rPr>
            </w:pPr>
            <w:r>
              <w:rPr>
                <w:rFonts w:ascii="Arial" w:cs="Arial" w:eastAsia="Arial" w:hAnsi="Arial"/>
                <w:sz w:val="17"/>
                <w:szCs w:val="17"/>
                <w:color w:val="auto"/>
              </w:rPr>
              <w:t>Proceeds from the exercise of stock options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jc w:val="right"/>
              <w:ind w:right="200"/>
              <w:spacing w:after="0" w:line="192" w:lineRule="exact"/>
              <w:rPr>
                <w:sz w:val="20"/>
                <w:szCs w:val="20"/>
                <w:color w:val="auto"/>
              </w:rPr>
            </w:pPr>
            <w:r>
              <w:rPr>
                <w:rFonts w:ascii="Arial" w:cs="Arial" w:eastAsia="Arial" w:hAnsi="Arial"/>
                <w:sz w:val="17"/>
                <w:szCs w:val="17"/>
                <w:color w:val="auto"/>
              </w:rPr>
              <w:t>126      </w:t>
            </w:r>
          </w:p>
        </w:tc>
        <w:tc>
          <w:tcPr>
            <w:tcW w:w="96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182   </w:t>
            </w:r>
          </w:p>
        </w:tc>
        <w:tc>
          <w:tcPr>
            <w:tcW w:w="0" w:type="dxa"/>
            <w:vAlign w:val="bottom"/>
          </w:tcPr>
          <w:p>
            <w:pPr>
              <w:spacing w:after="0"/>
              <w:rPr>
                <w:sz w:val="1"/>
                <w:szCs w:val="1"/>
                <w:color w:val="auto"/>
              </w:rPr>
            </w:pPr>
          </w:p>
        </w:tc>
      </w:tr>
      <w:tr>
        <w:trPr>
          <w:trHeight w:val="26"/>
        </w:trPr>
        <w:tc>
          <w:tcPr>
            <w:tcW w:w="79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920" w:type="dxa"/>
            <w:vAlign w:val="bottom"/>
            <w:shd w:val="clear" w:color="auto" w:fill="CCEEFF"/>
          </w:tcPr>
          <w:p>
            <w:pPr>
              <w:ind w:left="680"/>
              <w:spacing w:after="0" w:line="192" w:lineRule="exact"/>
              <w:rPr>
                <w:sz w:val="20"/>
                <w:szCs w:val="20"/>
                <w:color w:val="auto"/>
              </w:rPr>
            </w:pPr>
            <w:r>
              <w:rPr>
                <w:rFonts w:ascii="Arial" w:cs="Arial" w:eastAsia="Arial" w:hAnsi="Arial"/>
                <w:sz w:val="17"/>
                <w:szCs w:val="17"/>
                <w:color w:val="auto"/>
              </w:rPr>
              <w:t>Net cash provided by financing activities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200"/>
              <w:spacing w:after="0" w:line="192" w:lineRule="exact"/>
              <w:rPr>
                <w:sz w:val="20"/>
                <w:szCs w:val="20"/>
                <w:color w:val="auto"/>
              </w:rPr>
            </w:pPr>
            <w:r>
              <w:rPr>
                <w:rFonts w:ascii="Arial" w:cs="Arial" w:eastAsia="Arial" w:hAnsi="Arial"/>
                <w:sz w:val="17"/>
                <w:szCs w:val="17"/>
                <w:color w:val="auto"/>
              </w:rPr>
              <w:t>126      </w:t>
            </w:r>
          </w:p>
        </w:tc>
        <w:tc>
          <w:tcPr>
            <w:tcW w:w="9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97,897   </w:t>
            </w:r>
          </w:p>
        </w:tc>
        <w:tc>
          <w:tcPr>
            <w:tcW w:w="0" w:type="dxa"/>
            <w:vAlign w:val="bottom"/>
          </w:tcPr>
          <w:p>
            <w:pPr>
              <w:spacing w:after="0"/>
              <w:rPr>
                <w:sz w:val="1"/>
                <w:szCs w:val="1"/>
                <w:color w:val="auto"/>
              </w:rPr>
            </w:pPr>
          </w:p>
        </w:tc>
      </w:tr>
      <w:tr>
        <w:trPr>
          <w:trHeight w:val="197"/>
        </w:trPr>
        <w:tc>
          <w:tcPr>
            <w:tcW w:w="7920" w:type="dxa"/>
            <w:vAlign w:val="bottom"/>
          </w:tcPr>
          <w:p>
            <w:pPr>
              <w:ind w:left="160"/>
              <w:spacing w:after="0"/>
              <w:rPr>
                <w:sz w:val="20"/>
                <w:szCs w:val="20"/>
                <w:color w:val="auto"/>
              </w:rPr>
            </w:pPr>
            <w:r>
              <w:rPr>
                <w:rFonts w:ascii="Arial" w:cs="Arial" w:eastAsia="Arial" w:hAnsi="Arial"/>
                <w:sz w:val="17"/>
                <w:szCs w:val="17"/>
                <w:color w:val="auto"/>
              </w:rPr>
              <w:t>Net increase (decrease) in cash and cash equivalents</w:t>
            </w: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(23,338)</w:t>
            </w:r>
          </w:p>
        </w:tc>
        <w:tc>
          <w:tcPr>
            <w:tcW w:w="160" w:type="dxa"/>
            <w:vAlign w:val="bottom"/>
          </w:tcPr>
          <w:p>
            <w:pPr>
              <w:jc w:val="center"/>
              <w:spacing w:after="0"/>
              <w:rPr>
                <w:sz w:val="20"/>
                <w:szCs w:val="20"/>
                <w:color w:val="auto"/>
              </w:rPr>
            </w:pPr>
            <w:r>
              <w:rPr>
                <w:rFonts w:ascii="Arial" w:cs="Arial" w:eastAsia="Arial" w:hAnsi="Arial"/>
                <w:sz w:val="17"/>
                <w:szCs w:val="17"/>
                <w:color w:val="auto"/>
                <w:w w:val="71"/>
              </w:rPr>
              <w:t>     </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12,782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920" w:type="dxa"/>
            <w:vAlign w:val="bottom"/>
            <w:shd w:val="clear" w:color="auto" w:fill="CCEEFF"/>
          </w:tcPr>
          <w:p>
            <w:pPr>
              <w:ind w:left="160"/>
              <w:spacing w:after="0" w:line="192" w:lineRule="exact"/>
              <w:rPr>
                <w:sz w:val="20"/>
                <w:szCs w:val="20"/>
                <w:color w:val="auto"/>
              </w:rPr>
            </w:pPr>
            <w:r>
              <w:rPr>
                <w:rFonts w:ascii="Arial" w:cs="Arial" w:eastAsia="Arial" w:hAnsi="Arial"/>
                <w:sz w:val="17"/>
                <w:szCs w:val="17"/>
                <w:color w:val="auto"/>
              </w:rPr>
              <w:t>Cash, cash equivalents, and restricted cash at beginning of year</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200"/>
              <w:spacing w:after="0" w:line="192" w:lineRule="exact"/>
              <w:rPr>
                <w:sz w:val="20"/>
                <w:szCs w:val="20"/>
                <w:color w:val="auto"/>
              </w:rPr>
            </w:pPr>
            <w:r>
              <w:rPr>
                <w:rFonts w:ascii="Arial" w:cs="Arial" w:eastAsia="Arial" w:hAnsi="Arial"/>
                <w:sz w:val="17"/>
                <w:szCs w:val="17"/>
                <w:color w:val="auto"/>
              </w:rPr>
              <w:t>34,822      </w:t>
            </w:r>
          </w:p>
        </w:tc>
        <w:tc>
          <w:tcPr>
            <w:tcW w:w="9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11,484   </w:t>
            </w:r>
          </w:p>
        </w:tc>
        <w:tc>
          <w:tcPr>
            <w:tcW w:w="0" w:type="dxa"/>
            <w:vAlign w:val="bottom"/>
          </w:tcPr>
          <w:p>
            <w:pPr>
              <w:spacing w:after="0"/>
              <w:rPr>
                <w:sz w:val="1"/>
                <w:szCs w:val="1"/>
                <w:color w:val="auto"/>
              </w:rPr>
            </w:pPr>
          </w:p>
        </w:tc>
      </w:tr>
      <w:tr>
        <w:trPr>
          <w:trHeight w:val="20"/>
        </w:trPr>
        <w:tc>
          <w:tcPr>
            <w:tcW w:w="7920" w:type="dxa"/>
            <w:vAlign w:val="bottom"/>
            <w:vMerge w:val="restart"/>
          </w:tcPr>
          <w:p>
            <w:pPr>
              <w:ind w:left="160"/>
              <w:spacing w:after="0"/>
              <w:rPr>
                <w:sz w:val="20"/>
                <w:szCs w:val="20"/>
                <w:color w:val="auto"/>
              </w:rPr>
            </w:pPr>
            <w:r>
              <w:rPr>
                <w:rFonts w:ascii="Arial" w:cs="Arial" w:eastAsia="Arial" w:hAnsi="Arial"/>
                <w:sz w:val="17"/>
                <w:szCs w:val="17"/>
                <w:color w:val="auto"/>
              </w:rPr>
              <w:t>Cash, cash equivalents, and restricted cash at end of year</w:t>
            </w:r>
          </w:p>
        </w:tc>
        <w:tc>
          <w:tcPr>
            <w:tcW w:w="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7"/>
                <w:szCs w:val="17"/>
                <w:color w:val="auto"/>
              </w:rPr>
              <w:t> $</w:t>
            </w:r>
          </w:p>
        </w:tc>
        <w:tc>
          <w:tcPr>
            <w:tcW w:w="1300" w:type="dxa"/>
            <w:vAlign w:val="bottom"/>
            <w:gridSpan w:val="3"/>
          </w:tcPr>
          <w:p>
            <w:pPr>
              <w:jc w:val="right"/>
              <w:ind w:right="120"/>
              <w:spacing w:after="0"/>
              <w:rPr>
                <w:sz w:val="20"/>
                <w:szCs w:val="20"/>
                <w:color w:val="auto"/>
              </w:rPr>
            </w:pPr>
            <w:r>
              <w:rPr>
                <w:rFonts w:ascii="Arial" w:cs="Arial" w:eastAsia="Arial" w:hAnsi="Arial"/>
                <w:sz w:val="17"/>
                <w:szCs w:val="17"/>
                <w:color w:val="auto"/>
              </w:rPr>
              <w:t>11,484      $</w:t>
            </w:r>
          </w:p>
        </w:tc>
        <w:tc>
          <w:tcPr>
            <w:tcW w:w="900" w:type="dxa"/>
            <w:vAlign w:val="bottom"/>
          </w:tcPr>
          <w:p>
            <w:pPr>
              <w:jc w:val="right"/>
              <w:spacing w:after="0"/>
              <w:rPr>
                <w:sz w:val="20"/>
                <w:szCs w:val="20"/>
                <w:color w:val="auto"/>
              </w:rPr>
            </w:pPr>
            <w:r>
              <w:rPr>
                <w:rFonts w:ascii="Arial" w:cs="Arial" w:eastAsia="Arial" w:hAnsi="Arial"/>
                <w:sz w:val="17"/>
                <w:szCs w:val="17"/>
                <w:color w:val="auto"/>
              </w:rPr>
              <w:t>24,266   </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2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Components of cash, cash equivalents, and restricted cash</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920" w:type="dxa"/>
            <w:vAlign w:val="bottom"/>
          </w:tcPr>
          <w:p>
            <w:pPr>
              <w:ind w:left="160"/>
              <w:spacing w:after="0" w:line="192" w:lineRule="exact"/>
              <w:rPr>
                <w:sz w:val="20"/>
                <w:szCs w:val="20"/>
                <w:color w:val="auto"/>
              </w:rPr>
            </w:pPr>
            <w:r>
              <w:rPr>
                <w:rFonts w:ascii="Arial" w:cs="Arial" w:eastAsia="Arial" w:hAnsi="Arial"/>
                <w:sz w:val="17"/>
                <w:szCs w:val="17"/>
                <w:color w:val="auto"/>
              </w:rPr>
              <w:t>Cash and cash equivalents</w:t>
            </w:r>
          </w:p>
        </w:tc>
        <w:tc>
          <w:tcPr>
            <w:tcW w:w="240" w:type="dxa"/>
            <w:vAlign w:val="bottom"/>
            <w:gridSpan w:val="2"/>
          </w:tcPr>
          <w:p>
            <w:pPr>
              <w:spacing w:after="0" w:line="192" w:lineRule="exact"/>
              <w:rPr>
                <w:sz w:val="20"/>
                <w:szCs w:val="20"/>
                <w:color w:val="auto"/>
              </w:rPr>
            </w:pPr>
            <w:r>
              <w:rPr>
                <w:rFonts w:ascii="Arial" w:cs="Arial" w:eastAsia="Arial" w:hAnsi="Arial"/>
                <w:sz w:val="17"/>
                <w:szCs w:val="17"/>
                <w:color w:val="auto"/>
              </w:rPr>
              <w:t> $</w:t>
            </w:r>
          </w:p>
        </w:tc>
        <w:tc>
          <w:tcPr>
            <w:tcW w:w="1300" w:type="dxa"/>
            <w:vAlign w:val="bottom"/>
            <w:gridSpan w:val="3"/>
          </w:tcPr>
          <w:p>
            <w:pPr>
              <w:jc w:val="right"/>
              <w:ind w:right="120"/>
              <w:spacing w:after="0" w:line="192" w:lineRule="exact"/>
              <w:rPr>
                <w:sz w:val="20"/>
                <w:szCs w:val="20"/>
                <w:color w:val="auto"/>
              </w:rPr>
            </w:pPr>
            <w:r>
              <w:rPr>
                <w:rFonts w:ascii="Arial" w:cs="Arial" w:eastAsia="Arial" w:hAnsi="Arial"/>
                <w:sz w:val="17"/>
                <w:szCs w:val="17"/>
                <w:color w:val="auto"/>
              </w:rPr>
              <w:t>10,951      $</w:t>
            </w:r>
          </w:p>
        </w:tc>
        <w:tc>
          <w:tcPr>
            <w:tcW w:w="96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23,706   </w:t>
            </w:r>
          </w:p>
        </w:tc>
        <w:tc>
          <w:tcPr>
            <w:tcW w:w="0" w:type="dxa"/>
            <w:vAlign w:val="bottom"/>
          </w:tcPr>
          <w:p>
            <w:pPr>
              <w:spacing w:after="0"/>
              <w:rPr>
                <w:sz w:val="1"/>
                <w:szCs w:val="1"/>
                <w:color w:val="auto"/>
              </w:rPr>
            </w:pPr>
          </w:p>
        </w:tc>
      </w:tr>
      <w:tr>
        <w:trPr>
          <w:trHeight w:val="192"/>
        </w:trPr>
        <w:tc>
          <w:tcPr>
            <w:tcW w:w="7920" w:type="dxa"/>
            <w:vAlign w:val="bottom"/>
            <w:shd w:val="clear" w:color="auto" w:fill="CCEEFF"/>
          </w:tcPr>
          <w:p>
            <w:pPr>
              <w:ind w:left="160"/>
              <w:spacing w:after="0" w:line="192" w:lineRule="exact"/>
              <w:rPr>
                <w:sz w:val="20"/>
                <w:szCs w:val="20"/>
                <w:color w:val="auto"/>
              </w:rPr>
            </w:pPr>
            <w:r>
              <w:rPr>
                <w:rFonts w:ascii="Arial" w:cs="Arial" w:eastAsia="Arial" w:hAnsi="Arial"/>
                <w:sz w:val="17"/>
                <w:szCs w:val="17"/>
                <w:color w:val="auto"/>
              </w:rPr>
              <w:t>Restricted cash</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200"/>
              <w:spacing w:after="0" w:line="192" w:lineRule="exact"/>
              <w:rPr>
                <w:sz w:val="20"/>
                <w:szCs w:val="20"/>
                <w:color w:val="auto"/>
              </w:rPr>
            </w:pPr>
            <w:r>
              <w:rPr>
                <w:rFonts w:ascii="Arial" w:cs="Arial" w:eastAsia="Arial" w:hAnsi="Arial"/>
                <w:sz w:val="17"/>
                <w:szCs w:val="17"/>
                <w:color w:val="auto"/>
              </w:rPr>
              <w:t>533      </w:t>
            </w:r>
          </w:p>
        </w:tc>
        <w:tc>
          <w:tcPr>
            <w:tcW w:w="9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560   </w:t>
            </w:r>
          </w:p>
        </w:tc>
        <w:tc>
          <w:tcPr>
            <w:tcW w:w="0" w:type="dxa"/>
            <w:vAlign w:val="bottom"/>
          </w:tcPr>
          <w:p>
            <w:pPr>
              <w:spacing w:after="0"/>
              <w:rPr>
                <w:sz w:val="1"/>
                <w:szCs w:val="1"/>
                <w:color w:val="auto"/>
              </w:rPr>
            </w:pPr>
          </w:p>
        </w:tc>
      </w:tr>
      <w:tr>
        <w:trPr>
          <w:trHeight w:val="20"/>
        </w:trPr>
        <w:tc>
          <w:tcPr>
            <w:tcW w:w="7920" w:type="dxa"/>
            <w:vAlign w:val="bottom"/>
            <w:vMerge w:val="restart"/>
          </w:tcPr>
          <w:p>
            <w:pPr>
              <w:ind w:left="680"/>
              <w:spacing w:after="0"/>
              <w:rPr>
                <w:sz w:val="20"/>
                <w:szCs w:val="20"/>
                <w:color w:val="auto"/>
              </w:rPr>
            </w:pPr>
            <w:r>
              <w:rPr>
                <w:rFonts w:ascii="Arial" w:cs="Arial" w:eastAsia="Arial" w:hAnsi="Arial"/>
                <w:sz w:val="17"/>
                <w:szCs w:val="17"/>
                <w:color w:val="auto"/>
              </w:rPr>
              <w:t>Cash, cash equivalents, and restricted cash at end of year</w:t>
            </w:r>
          </w:p>
        </w:tc>
        <w:tc>
          <w:tcPr>
            <w:tcW w:w="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7"/>
                <w:szCs w:val="17"/>
                <w:color w:val="auto"/>
              </w:rPr>
              <w:t> $</w:t>
            </w:r>
          </w:p>
        </w:tc>
        <w:tc>
          <w:tcPr>
            <w:tcW w:w="1300" w:type="dxa"/>
            <w:vAlign w:val="bottom"/>
            <w:gridSpan w:val="3"/>
          </w:tcPr>
          <w:p>
            <w:pPr>
              <w:jc w:val="right"/>
              <w:ind w:right="120"/>
              <w:spacing w:after="0"/>
              <w:rPr>
                <w:sz w:val="20"/>
                <w:szCs w:val="20"/>
                <w:color w:val="auto"/>
              </w:rPr>
            </w:pPr>
            <w:r>
              <w:rPr>
                <w:rFonts w:ascii="Arial" w:cs="Arial" w:eastAsia="Arial" w:hAnsi="Arial"/>
                <w:sz w:val="17"/>
                <w:szCs w:val="17"/>
                <w:color w:val="auto"/>
              </w:rPr>
              <w:t>11,484      $</w:t>
            </w:r>
          </w:p>
        </w:tc>
        <w:tc>
          <w:tcPr>
            <w:tcW w:w="900" w:type="dxa"/>
            <w:vAlign w:val="bottom"/>
          </w:tcPr>
          <w:p>
            <w:pPr>
              <w:jc w:val="right"/>
              <w:spacing w:after="0"/>
              <w:rPr>
                <w:sz w:val="20"/>
                <w:szCs w:val="20"/>
                <w:color w:val="auto"/>
              </w:rPr>
            </w:pPr>
            <w:r>
              <w:rPr>
                <w:rFonts w:ascii="Arial" w:cs="Arial" w:eastAsia="Arial" w:hAnsi="Arial"/>
                <w:sz w:val="17"/>
                <w:szCs w:val="17"/>
                <w:color w:val="auto"/>
              </w:rPr>
              <w:t>24,266   </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2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Non-cash investing and financing activities</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920" w:type="dxa"/>
            <w:vAlign w:val="bottom"/>
          </w:tcPr>
          <w:p>
            <w:pPr>
              <w:spacing w:after="0" w:line="192" w:lineRule="exact"/>
              <w:rPr>
                <w:sz w:val="20"/>
                <w:szCs w:val="20"/>
                <w:color w:val="auto"/>
              </w:rPr>
            </w:pPr>
            <w:r>
              <w:rPr>
                <w:rFonts w:ascii="Arial" w:cs="Arial" w:eastAsia="Arial" w:hAnsi="Arial"/>
                <w:sz w:val="17"/>
                <w:szCs w:val="17"/>
                <w:color w:val="auto"/>
              </w:rPr>
              <w:t>Deferred offering costs in accounts payable and accrued expenses</w:t>
            </w:r>
          </w:p>
        </w:tc>
        <w:tc>
          <w:tcPr>
            <w:tcW w:w="240" w:type="dxa"/>
            <w:vAlign w:val="bottom"/>
            <w:gridSpan w:val="2"/>
          </w:tcPr>
          <w:p>
            <w:pPr>
              <w:spacing w:after="0" w:line="192" w:lineRule="exact"/>
              <w:rPr>
                <w:sz w:val="20"/>
                <w:szCs w:val="20"/>
                <w:color w:val="auto"/>
              </w:rPr>
            </w:pPr>
            <w:r>
              <w:rPr>
                <w:rFonts w:ascii="Arial" w:cs="Arial" w:eastAsia="Arial" w:hAnsi="Arial"/>
                <w:sz w:val="17"/>
                <w:szCs w:val="17"/>
                <w:color w:val="auto"/>
              </w:rPr>
              <w:t> $</w:t>
            </w:r>
          </w:p>
        </w:tc>
        <w:tc>
          <w:tcPr>
            <w:tcW w:w="1300" w:type="dxa"/>
            <w:vAlign w:val="bottom"/>
            <w:gridSpan w:val="3"/>
          </w:tcPr>
          <w:p>
            <w:pPr>
              <w:jc w:val="right"/>
              <w:ind w:right="120"/>
              <w:spacing w:after="0" w:line="192" w:lineRule="exact"/>
              <w:rPr>
                <w:sz w:val="20"/>
                <w:szCs w:val="20"/>
                <w:color w:val="auto"/>
              </w:rPr>
            </w:pPr>
            <w:r>
              <w:rPr>
                <w:rFonts w:ascii="Arial" w:cs="Arial" w:eastAsia="Arial" w:hAnsi="Arial"/>
                <w:sz w:val="17"/>
                <w:szCs w:val="17"/>
                <w:color w:val="auto"/>
              </w:rPr>
              <w:t>—      $</w:t>
            </w:r>
          </w:p>
        </w:tc>
        <w:tc>
          <w:tcPr>
            <w:tcW w:w="96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197   </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Addition to ROU assets</w:t>
            </w:r>
          </w:p>
        </w:tc>
        <w:tc>
          <w:tcPr>
            <w:tcW w:w="24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 $</w:t>
            </w:r>
          </w:p>
        </w:tc>
        <w:tc>
          <w:tcPr>
            <w:tcW w:w="1300" w:type="dxa"/>
            <w:vAlign w:val="bottom"/>
            <w:gridSpan w:val="3"/>
            <w:shd w:val="clear" w:color="auto" w:fill="CCEEFF"/>
          </w:tcPr>
          <w:p>
            <w:pPr>
              <w:jc w:val="right"/>
              <w:ind w:right="120"/>
              <w:spacing w:after="0" w:line="183" w:lineRule="exact"/>
              <w:rPr>
                <w:sz w:val="20"/>
                <w:szCs w:val="20"/>
                <w:color w:val="auto"/>
              </w:rPr>
            </w:pPr>
            <w:r>
              <w:rPr>
                <w:rFonts w:ascii="Arial" w:cs="Arial" w:eastAsia="Arial" w:hAnsi="Arial"/>
                <w:sz w:val="17"/>
                <w:szCs w:val="17"/>
                <w:color w:val="auto"/>
              </w:rPr>
              <w:t>5,506      $</w:t>
            </w:r>
          </w:p>
        </w:tc>
        <w:tc>
          <w:tcPr>
            <w:tcW w:w="9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282   </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7"/>
                <w:szCs w:val="17"/>
                <w:color w:val="auto"/>
              </w:rPr>
              <w:t>Increase (decrease) to ROU assets due to remeasurement of lease obligation</w:t>
            </w: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line="183" w:lineRule="exact"/>
              <w:rPr>
                <w:sz w:val="20"/>
                <w:szCs w:val="20"/>
                <w:color w:val="auto"/>
              </w:rPr>
            </w:pPr>
            <w:r>
              <w:rPr>
                <w:rFonts w:ascii="Arial" w:cs="Arial" w:eastAsia="Arial" w:hAnsi="Arial"/>
                <w:sz w:val="17"/>
                <w:szCs w:val="17"/>
                <w:color w:val="auto"/>
              </w:rPr>
              <w:t> $</w:t>
            </w:r>
          </w:p>
        </w:tc>
        <w:tc>
          <w:tcPr>
            <w:tcW w:w="1300" w:type="dxa"/>
            <w:vAlign w:val="bottom"/>
            <w:gridSpan w:val="3"/>
          </w:tcPr>
          <w:p>
            <w:pPr>
              <w:jc w:val="right"/>
              <w:ind w:right="120"/>
              <w:spacing w:after="0" w:line="183" w:lineRule="exact"/>
              <w:rPr>
                <w:sz w:val="20"/>
                <w:szCs w:val="20"/>
                <w:color w:val="auto"/>
              </w:rPr>
            </w:pPr>
            <w:r>
              <w:rPr>
                <w:rFonts w:ascii="Arial" w:cs="Arial" w:eastAsia="Arial" w:hAnsi="Arial"/>
                <w:sz w:val="17"/>
                <w:szCs w:val="17"/>
                <w:color w:val="auto"/>
              </w:rPr>
              <w:t>562      $</w:t>
            </w:r>
          </w:p>
        </w:tc>
        <w:tc>
          <w:tcPr>
            <w:tcW w:w="96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(723)  </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Vesting of early exercised stock options</w:t>
            </w:r>
          </w:p>
        </w:tc>
        <w:tc>
          <w:tcPr>
            <w:tcW w:w="24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 $</w:t>
            </w:r>
          </w:p>
        </w:tc>
        <w:tc>
          <w:tcPr>
            <w:tcW w:w="1300" w:type="dxa"/>
            <w:vAlign w:val="bottom"/>
            <w:gridSpan w:val="3"/>
            <w:shd w:val="clear" w:color="auto" w:fill="CCEEFF"/>
          </w:tcPr>
          <w:p>
            <w:pPr>
              <w:jc w:val="right"/>
              <w:ind w:right="120"/>
              <w:spacing w:after="0" w:line="183" w:lineRule="exact"/>
              <w:rPr>
                <w:sz w:val="20"/>
                <w:szCs w:val="20"/>
                <w:color w:val="auto"/>
              </w:rPr>
            </w:pPr>
            <w:r>
              <w:rPr>
                <w:rFonts w:ascii="Arial" w:cs="Arial" w:eastAsia="Arial" w:hAnsi="Arial"/>
                <w:sz w:val="17"/>
                <w:szCs w:val="17"/>
                <w:color w:val="auto"/>
              </w:rPr>
              <w:t>206      $</w:t>
            </w:r>
          </w:p>
        </w:tc>
        <w:tc>
          <w:tcPr>
            <w:tcW w:w="9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92   </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7"/>
                <w:szCs w:val="17"/>
                <w:color w:val="auto"/>
              </w:rPr>
              <w:t>Unpaid property and equipment purchases</w:t>
            </w: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line="183" w:lineRule="exact"/>
              <w:rPr>
                <w:sz w:val="20"/>
                <w:szCs w:val="20"/>
                <w:color w:val="auto"/>
              </w:rPr>
            </w:pPr>
            <w:r>
              <w:rPr>
                <w:rFonts w:ascii="Arial" w:cs="Arial" w:eastAsia="Arial" w:hAnsi="Arial"/>
                <w:sz w:val="17"/>
                <w:szCs w:val="17"/>
                <w:color w:val="auto"/>
              </w:rPr>
              <w:t> $</w:t>
            </w:r>
          </w:p>
        </w:tc>
        <w:tc>
          <w:tcPr>
            <w:tcW w:w="1300" w:type="dxa"/>
            <w:vAlign w:val="bottom"/>
            <w:gridSpan w:val="3"/>
          </w:tcPr>
          <w:p>
            <w:pPr>
              <w:jc w:val="right"/>
              <w:ind w:right="120"/>
              <w:spacing w:after="0" w:line="183" w:lineRule="exact"/>
              <w:rPr>
                <w:sz w:val="20"/>
                <w:szCs w:val="20"/>
                <w:color w:val="auto"/>
              </w:rPr>
            </w:pPr>
            <w:r>
              <w:rPr>
                <w:rFonts w:ascii="Arial" w:cs="Arial" w:eastAsia="Arial" w:hAnsi="Arial"/>
                <w:sz w:val="17"/>
                <w:szCs w:val="17"/>
                <w:color w:val="auto"/>
              </w:rPr>
              <w:t>102      $</w:t>
            </w:r>
          </w:p>
        </w:tc>
        <w:tc>
          <w:tcPr>
            <w:tcW w:w="900" w:type="dxa"/>
            <w:vAlign w:val="bottom"/>
          </w:tcPr>
          <w:p>
            <w:pPr>
              <w:jc w:val="right"/>
              <w:spacing w:after="0" w:line="183" w:lineRule="exact"/>
              <w:rPr>
                <w:sz w:val="20"/>
                <w:szCs w:val="20"/>
                <w:color w:val="auto"/>
              </w:rPr>
            </w:pPr>
            <w:r>
              <w:rPr>
                <w:rFonts w:ascii="Arial" w:cs="Arial" w:eastAsia="Arial" w:hAnsi="Arial"/>
                <w:sz w:val="17"/>
                <w:szCs w:val="17"/>
                <w:color w:val="auto"/>
              </w:rPr>
              <w:t>—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9"/>
        <w:spacing w:after="0"/>
        <w:rPr>
          <w:sz w:val="20"/>
          <w:szCs w:val="20"/>
          <w:color w:val="auto"/>
        </w:rPr>
      </w:pPr>
      <w:r>
        <w:rPr>
          <w:rFonts w:ascii="Arial" w:cs="Arial" w:eastAsia="Arial" w:hAnsi="Arial"/>
          <w:sz w:val="17"/>
          <w:szCs w:val="17"/>
          <w:i w:val="1"/>
          <w:iCs w:val="1"/>
          <w:color w:val="auto"/>
        </w:rPr>
        <w:t>See accompanying notes to financial statements.</w:t>
      </w:r>
    </w:p>
    <w:p>
      <w:pPr>
        <w:spacing w:after="0" w:line="135"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0840"/>
          </w:cols>
          <w:pgMar w:left="320" w:top="439" w:right="7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Boundless Bio, Inc.</w:t>
      </w:r>
    </w:p>
    <w:p>
      <w:pPr>
        <w:spacing w:after="0" w:line="9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Financial Statements</w:t>
      </w:r>
    </w:p>
    <w:p>
      <w:pPr>
        <w:spacing w:after="0" w:line="226" w:lineRule="exact"/>
        <w:rPr>
          <w:sz w:val="20"/>
          <w:szCs w:val="20"/>
          <w:color w:val="auto"/>
        </w:rPr>
      </w:pPr>
    </w:p>
    <w:p>
      <w:pPr>
        <w:ind w:left="420" w:right="6820" w:hanging="9"/>
        <w:spacing w:after="0" w:line="360" w:lineRule="auto"/>
        <w:tabs>
          <w:tab w:leader="none" w:pos="829" w:val="left"/>
        </w:tabs>
        <w:numPr>
          <w:ilvl w:val="0"/>
          <w:numId w:val="10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Organization and Basis of Presentation </w:t>
      </w:r>
      <w:r>
        <w:rPr>
          <w:rFonts w:ascii="Arial" w:cs="Arial" w:eastAsia="Arial" w:hAnsi="Arial"/>
          <w:sz w:val="17"/>
          <w:szCs w:val="17"/>
          <w:b w:val="1"/>
          <w:bCs w:val="1"/>
          <w:i w:val="1"/>
          <w:iCs w:val="1"/>
          <w:color w:val="auto"/>
        </w:rPr>
        <w:t>Description of Business</w:t>
      </w:r>
    </w:p>
    <w:p>
      <w:pPr>
        <w:spacing w:after="0" w:line="1" w:lineRule="exact"/>
        <w:rPr>
          <w:sz w:val="20"/>
          <w:szCs w:val="20"/>
          <w:color w:val="auto"/>
        </w:rPr>
      </w:pPr>
    </w:p>
    <w:p>
      <w:pPr>
        <w:ind w:left="420" w:right="80" w:firstLine="417"/>
        <w:spacing w:after="0" w:line="247" w:lineRule="auto"/>
        <w:rPr>
          <w:sz w:val="20"/>
          <w:szCs w:val="20"/>
          <w:color w:val="auto"/>
        </w:rPr>
      </w:pPr>
      <w:r>
        <w:rPr>
          <w:rFonts w:ascii="Arial" w:cs="Arial" w:eastAsia="Arial" w:hAnsi="Arial"/>
          <w:sz w:val="17"/>
          <w:szCs w:val="17"/>
          <w:color w:val="auto"/>
        </w:rPr>
        <w:t>Boundless Bio, Inc. (the Company) is a clinical-stage precision oncology company dedicated to unlocking a new paradigm in cancer therapeutics to address the significant unmet need in patients with oncogene amplified tumors by targeting extrachromosomal DNA (ecDNA). The Company is focused on designing and developing small molecule drugs called ecDNA directed therapeutic candidates (ecDTx). The Company was incorporated in the state of Delaware on April 10, 2018 and is headquartered in San Diego, California.</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Liquidity</w:t>
      </w:r>
    </w:p>
    <w:p>
      <w:pPr>
        <w:spacing w:after="0" w:line="98" w:lineRule="exact"/>
        <w:rPr>
          <w:sz w:val="20"/>
          <w:szCs w:val="20"/>
          <w:color w:val="auto"/>
        </w:rPr>
      </w:pPr>
    </w:p>
    <w:p>
      <w:pPr>
        <w:ind w:left="420" w:firstLine="417"/>
        <w:spacing w:after="0" w:line="247" w:lineRule="auto"/>
        <w:rPr>
          <w:sz w:val="20"/>
          <w:szCs w:val="20"/>
          <w:color w:val="auto"/>
        </w:rPr>
      </w:pPr>
      <w:r>
        <w:rPr>
          <w:rFonts w:ascii="Arial" w:cs="Arial" w:eastAsia="Arial" w:hAnsi="Arial"/>
          <w:sz w:val="17"/>
          <w:szCs w:val="17"/>
          <w:color w:val="auto"/>
        </w:rPr>
        <w:t>Since the Company commenced operations in 2018, it has devoted substantially all of its efforts and resources to organizing and staffing the company, business planning, raising capital, building its proprietary Spyglass platform, discovering its ecDTx, establishing its intellectual property portfolio, conducting research, preclinical studies and clinical trials, establishing arrangements with third parties for the manufacture of its ecDTx and related raw materials, and providing other general and administrative support for these operations.</w:t>
      </w:r>
    </w:p>
    <w:p>
      <w:pPr>
        <w:spacing w:after="0" w:line="141" w:lineRule="exact"/>
        <w:rPr>
          <w:sz w:val="20"/>
          <w:szCs w:val="20"/>
          <w:color w:val="auto"/>
        </w:rPr>
      </w:pPr>
    </w:p>
    <w:p>
      <w:pPr>
        <w:ind w:left="420" w:right="100" w:firstLine="417"/>
        <w:spacing w:after="0" w:line="239" w:lineRule="auto"/>
        <w:rPr>
          <w:sz w:val="20"/>
          <w:szCs w:val="20"/>
          <w:color w:val="auto"/>
        </w:rPr>
      </w:pPr>
      <w:r>
        <w:rPr>
          <w:rFonts w:ascii="Arial" w:cs="Arial" w:eastAsia="Arial" w:hAnsi="Arial"/>
          <w:sz w:val="17"/>
          <w:szCs w:val="17"/>
          <w:color w:val="auto"/>
        </w:rPr>
        <w:t>As of December 31, 2023, the Company had an accumulated deficit of $136.1 million and cash, cash equivalents, and short-term investments of $120.8 million. The Company has incurred significant operating losses and negative cash flows from its operations and expects that it will continue to do so into the foreseeable future as it continues its development of, seeks regulatory approval for, and potentially commercializes any of its ecDTx and seeks to discover, and develop additional ecDTx, utilizes third parties to manufacture its ecDTx and related raw materials, hires additional personnel, and expands and protects its intellectual property. If the Company obtains regulatory approval for any of its ecDTx, it expects to incur significant commercialization expenses related to product sales, marketing, manufacturing, and distribution. As such, the Company will need to continue to raise a substantial amount of funds until it is able to generate revenues to fund its development activities and operations. Since its inception, the Company has funded its operations from the gross proceeds from the sale and issuance of its convertible preferred stock.</w:t>
      </w:r>
    </w:p>
    <w:p>
      <w:pPr>
        <w:spacing w:after="0" w:line="139" w:lineRule="exact"/>
        <w:rPr>
          <w:sz w:val="20"/>
          <w:szCs w:val="20"/>
          <w:color w:val="auto"/>
        </w:rPr>
      </w:pPr>
    </w:p>
    <w:p>
      <w:pPr>
        <w:ind w:left="420" w:right="20" w:firstLine="417"/>
        <w:spacing w:after="0" w:line="238" w:lineRule="auto"/>
        <w:rPr>
          <w:sz w:val="20"/>
          <w:szCs w:val="20"/>
          <w:color w:val="auto"/>
        </w:rPr>
      </w:pPr>
      <w:r>
        <w:rPr>
          <w:rFonts w:ascii="Arial" w:cs="Arial" w:eastAsia="Arial" w:hAnsi="Arial"/>
          <w:sz w:val="17"/>
          <w:szCs w:val="17"/>
          <w:color w:val="auto"/>
        </w:rPr>
        <w:t>The Company does not have any products approved for sale and has not generated any revenue to date. The Company does not expect to generate any revenue from product sales until it successfully completes development and obtains regulatory approval for one or more of its ecDTx, which the Company expects will take a number of years and may never occur. The Company will need substantial additional funding to support its continuing operations and pursue its long-term business plan, including to complete the development and commercialization of its ecDTx, if approved. Accordingly, until such time as the Company can generate significant revenue from sales of its ecDTx, if ever, the Company expects to finance its future cash needs through equity offerings, debt financings, or other capital sources, including potential collaborations, licenses, and other similar arrangements. However, the Company may be unable to raise additional funds or enter into such other arrangements when needed on favorable terms or at all. The Company’s failure to raise capital or enter into such other arrangements when needed would have a negative impact on its financial condition and could force it to delay, limit, reduce, or terminate its research and development programs or other operations, or grant rights to develop and market ecDTx that the Company would otherwise prefer to develop and market itself. Although there can be no assurance that the Company will be successful in acquiring additional funding, that projections of future working capital needs will prove accurate, or that any additional funding would be sufficient to continue operations in future years, the Company believes that its existing cash, and cash equivalents and investments securities will be sufficient to fund operations for the next 12 months from the date these financial statements are available to be issued.</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98" w:lineRule="exact"/>
        <w:rPr>
          <w:sz w:val="20"/>
          <w:szCs w:val="20"/>
          <w:color w:val="auto"/>
        </w:rPr>
      </w:pPr>
    </w:p>
    <w:p>
      <w:pPr>
        <w:ind w:left="420" w:right="40" w:firstLine="417"/>
        <w:spacing w:after="0" w:line="252" w:lineRule="auto"/>
        <w:rPr>
          <w:sz w:val="20"/>
          <w:szCs w:val="20"/>
          <w:color w:val="auto"/>
        </w:rPr>
      </w:pPr>
      <w:r>
        <w:rPr>
          <w:rFonts w:ascii="Arial" w:cs="Arial" w:eastAsia="Arial" w:hAnsi="Arial"/>
          <w:sz w:val="17"/>
          <w:szCs w:val="17"/>
          <w:color w:val="auto"/>
        </w:rPr>
        <w:t>The accompanying financial statements have been prepared in accordance with U.S. generally accepted accounting principles (U.S. GAAP). Any reference in these notes to applicable guidance is meant to refer to U.S. GAAP as found in the Accounting Standards Codification (ASC) and Accounting Standards Updates (ASU) promulgated by the Financial Accounting Standards Board (FASB).</w:t>
      </w:r>
    </w:p>
    <w:p>
      <w:pPr>
        <w:spacing w:after="0" w:line="10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0820"/>
          </w:cols>
          <w:pgMar w:left="320" w:top="439" w:right="7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6440" w:hanging="9"/>
        <w:spacing w:after="0" w:line="360" w:lineRule="auto"/>
        <w:tabs>
          <w:tab w:leader="none" w:pos="829" w:val="left"/>
        </w:tabs>
        <w:numPr>
          <w:ilvl w:val="0"/>
          <w:numId w:val="10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Use of Estimates</w:t>
      </w:r>
    </w:p>
    <w:p>
      <w:pPr>
        <w:spacing w:after="0" w:line="1" w:lineRule="exact"/>
        <w:rPr>
          <w:sz w:val="20"/>
          <w:szCs w:val="20"/>
          <w:color w:val="auto"/>
        </w:rPr>
      </w:pPr>
    </w:p>
    <w:p>
      <w:pPr>
        <w:ind w:left="420" w:firstLine="417"/>
        <w:spacing w:after="0" w:line="247"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impact the reported amounts of assets, liabilities, revenue and expenses and the disclosure of contingent assets and liabilities in the Company’s financial statements and accompanying notes. Although these estimates are based on the Company’s knowledge of current events and actions it may undertake in the future, actual results may materially differ from these estimates and assumptions.</w:t>
      </w:r>
    </w:p>
    <w:p>
      <w:pPr>
        <w:spacing w:after="0" w:line="141" w:lineRule="exact"/>
        <w:rPr>
          <w:sz w:val="20"/>
          <w:szCs w:val="20"/>
          <w:color w:val="auto"/>
        </w:rPr>
      </w:pPr>
    </w:p>
    <w:p>
      <w:pPr>
        <w:ind w:left="420" w:right="40" w:firstLine="417"/>
        <w:spacing w:after="0" w:line="242" w:lineRule="auto"/>
        <w:rPr>
          <w:sz w:val="20"/>
          <w:szCs w:val="20"/>
          <w:color w:val="auto"/>
        </w:rPr>
      </w:pPr>
      <w:r>
        <w:rPr>
          <w:rFonts w:ascii="Arial" w:cs="Arial" w:eastAsia="Arial" w:hAnsi="Arial"/>
          <w:sz w:val="17"/>
          <w:szCs w:val="17"/>
          <w:color w:val="auto"/>
        </w:rPr>
        <w:t>On an ongoing basis, management evaluates its estimates, primarily related to stock-based compensation, the fair value of its investments and common stock, and accrued research and development costs. These estimates are based on historical data and experience, as well as various other factors that management believes to be reasonable under the circumstances, the results of which form the basis for making judgments about the carrying value of assets and liabilities that are not readily apparent from other sources. The Company’s estimates relating to the valuation of stock options require the selection of appropriate valuation methodologies and models, and significant judgment in evaluating ranges of assumptions and financial inputs.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Cash, Cash Equivalents, and Restricted Cash</w:t>
      </w:r>
    </w:p>
    <w:p>
      <w:pPr>
        <w:spacing w:after="0" w:line="98" w:lineRule="exact"/>
        <w:rPr>
          <w:sz w:val="20"/>
          <w:szCs w:val="20"/>
          <w:color w:val="auto"/>
        </w:rPr>
      </w:pPr>
    </w:p>
    <w:p>
      <w:pPr>
        <w:ind w:left="420" w:right="300" w:firstLine="417"/>
        <w:spacing w:after="0" w:line="270" w:lineRule="auto"/>
        <w:rPr>
          <w:sz w:val="20"/>
          <w:szCs w:val="20"/>
          <w:color w:val="auto"/>
        </w:rPr>
      </w:pPr>
      <w:r>
        <w:rPr>
          <w:rFonts w:ascii="Arial" w:cs="Arial" w:eastAsia="Arial" w:hAnsi="Arial"/>
          <w:sz w:val="17"/>
          <w:szCs w:val="17"/>
          <w:color w:val="auto"/>
        </w:rPr>
        <w:t>The Company considers all highly liquid investments with an original maturity of three months or less when purchased to be cash equivalents. Cash and cash equivalents include cash in readily available checking and money market accounts.</w:t>
      </w:r>
    </w:p>
    <w:p>
      <w:pPr>
        <w:spacing w:after="0" w:line="110" w:lineRule="exact"/>
        <w:rPr>
          <w:sz w:val="20"/>
          <w:szCs w:val="20"/>
          <w:color w:val="auto"/>
        </w:rPr>
      </w:pPr>
    </w:p>
    <w:p>
      <w:pPr>
        <w:jc w:val="both"/>
        <w:ind w:left="420" w:right="60" w:firstLine="417"/>
        <w:spacing w:after="0" w:line="252" w:lineRule="auto"/>
        <w:rPr>
          <w:sz w:val="20"/>
          <w:szCs w:val="20"/>
          <w:color w:val="auto"/>
        </w:rPr>
      </w:pPr>
      <w:r>
        <w:rPr>
          <w:rFonts w:ascii="Arial" w:cs="Arial" w:eastAsia="Arial" w:hAnsi="Arial"/>
          <w:sz w:val="17"/>
          <w:szCs w:val="17"/>
          <w:color w:val="auto"/>
        </w:rPr>
        <w:t>The balance reflected in these financial statements as restricted cash represents a deposit account pledged as collateral to secure a standby letter of credit required as a security deposit on one of the Company’s leased facilities. The Company has classified the restricted cash as a noncurrent asset on its balance sheets as of December 31, 2022 and 2023.</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98" w:lineRule="exact"/>
        <w:rPr>
          <w:sz w:val="20"/>
          <w:szCs w:val="20"/>
          <w:color w:val="auto"/>
        </w:rPr>
      </w:pPr>
    </w:p>
    <w:p>
      <w:pPr>
        <w:ind w:left="420" w:right="40" w:firstLine="417"/>
        <w:spacing w:after="0" w:line="242" w:lineRule="auto"/>
        <w:rPr>
          <w:sz w:val="20"/>
          <w:szCs w:val="20"/>
          <w:color w:val="auto"/>
        </w:rPr>
      </w:pPr>
      <w:r>
        <w:rPr>
          <w:rFonts w:ascii="Arial" w:cs="Arial" w:eastAsia="Arial" w:hAnsi="Arial"/>
          <w:sz w:val="17"/>
          <w:szCs w:val="17"/>
          <w:color w:val="auto"/>
        </w:rPr>
        <w:t>Financial instruments, which potentially subject the Company to the concentration of credit risk, consist primarily of cash, cash equivalents, and investments. The Company maintains deposits in federally insured financial institutions which exceeded federally insured limits by $1.6 million. Management believes that the Company is not exposed to significant credit risk due to the financial position of the depository institutions in which those deposits are held. The Company’s investment policy includes guidelines for the quality of the related institutions and financial instruments and defines allowable investments that the Company may invest in, which the Company believes minimizes its exposure to concentration of credit risk.</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Short-Term Investments</w:t>
      </w:r>
    </w:p>
    <w:p>
      <w:pPr>
        <w:spacing w:after="0" w:line="98" w:lineRule="exact"/>
        <w:rPr>
          <w:sz w:val="20"/>
          <w:szCs w:val="20"/>
          <w:color w:val="auto"/>
        </w:rPr>
      </w:pPr>
    </w:p>
    <w:p>
      <w:pPr>
        <w:ind w:left="420" w:right="40" w:firstLine="417"/>
        <w:spacing w:after="0" w:line="238" w:lineRule="auto"/>
        <w:rPr>
          <w:sz w:val="20"/>
          <w:szCs w:val="20"/>
          <w:color w:val="auto"/>
        </w:rPr>
      </w:pPr>
      <w:r>
        <w:rPr>
          <w:rFonts w:ascii="Arial" w:cs="Arial" w:eastAsia="Arial" w:hAnsi="Arial"/>
          <w:sz w:val="17"/>
          <w:szCs w:val="17"/>
          <w:color w:val="auto"/>
        </w:rPr>
        <w:t>Short-term investments consist of money market funds, U.S. government obligations, corporate debt securities, government agency securities, asset-backed securities, and commercial paper. The Company obtains pricing information from its investment manager and generally determines the fair value of investment securities using standard observable inputs, including reported trades, broker/dealer quotes, and bid and/or offers. The Company classifies its investment securities as available-for-sale, as the sale of such securities may be required prior to maturity. Management determines the appropriate classification of its investments in debt securities at the time of purchase. Investments with original maturities beyond three months at the date of purchase and which mature at, or less than 12 months from, the balance sheet date are classified as short-term investments. Available-for-sale securities are carried at fair value, with the unrealized gains and losses reported as accumulated other comprehensive income (loss) until realized. The amortized cost of available-for-sale debt securities is adjusted for amortization of premiums and accretion of discounts to maturity. Such amortization and accretion are included in interest income. The cost of securities sold is based on the specific identification method. Interest and dividends on securities classified as available-for-sale are included in interest income.</w:t>
      </w:r>
    </w:p>
    <w:p>
      <w:pPr>
        <w:spacing w:after="0" w:line="142" w:lineRule="exact"/>
        <w:rPr>
          <w:sz w:val="20"/>
          <w:szCs w:val="20"/>
          <w:color w:val="auto"/>
        </w:rPr>
      </w:pPr>
    </w:p>
    <w:p>
      <w:pPr>
        <w:ind w:left="420" w:right="80" w:firstLine="417"/>
        <w:spacing w:after="0" w:line="242" w:lineRule="auto"/>
        <w:rPr>
          <w:sz w:val="20"/>
          <w:szCs w:val="20"/>
          <w:color w:val="auto"/>
        </w:rPr>
      </w:pPr>
      <w:r>
        <w:rPr>
          <w:rFonts w:ascii="Arial" w:cs="Arial" w:eastAsia="Arial" w:hAnsi="Arial"/>
          <w:sz w:val="17"/>
          <w:szCs w:val="17"/>
          <w:color w:val="auto"/>
        </w:rPr>
        <w:t>At each balance sheet date, the Company reviews its available-for-sale debt securities that are in an unrealized loss position to determine whether the unrealized loss or any potential credit losses should be recognized in the statements of operations. For available-for-sale debt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through net income (loss). For available-for-sale securities that do not meet the aforementioned criteria,</w:t>
      </w:r>
    </w:p>
    <w:p>
      <w:pPr>
        <w:spacing w:after="0" w:line="10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0840"/>
          </w:cols>
          <w:pgMar w:left="320" w:top="439" w:right="7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120"/>
        <w:spacing w:after="0" w:line="244" w:lineRule="auto"/>
        <w:rPr>
          <w:sz w:val="20"/>
          <w:szCs w:val="20"/>
          <w:color w:val="auto"/>
        </w:rPr>
      </w:pPr>
      <w:r>
        <w:rPr>
          <w:rFonts w:ascii="Arial" w:cs="Arial" w:eastAsia="Arial" w:hAnsi="Arial"/>
          <w:sz w:val="17"/>
          <w:szCs w:val="17"/>
          <w:color w:val="auto"/>
        </w:rPr>
        <w:t>the Company evaluates whether the decline in fair value has resulted from credit losses or other factors. In making this assessment, the Company considers the severity of the impairment, any changes in interest rates, changes to the underlying credit ratings and forecasted recovery, among other factors. The credit-related portion of unrealized losses, and any subsequent improvements, are recorded in other income, net through an allowance account. There have been no impairment or credit losses recognized during any of the periods presented.</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98" w:lineRule="exact"/>
        <w:rPr>
          <w:sz w:val="20"/>
          <w:szCs w:val="20"/>
          <w:color w:val="auto"/>
        </w:rPr>
      </w:pPr>
    </w:p>
    <w:p>
      <w:pPr>
        <w:ind w:left="420" w:right="40" w:firstLine="417"/>
        <w:spacing w:after="0" w:line="244" w:lineRule="auto"/>
        <w:rPr>
          <w:sz w:val="20"/>
          <w:szCs w:val="20"/>
          <w:color w:val="auto"/>
        </w:rPr>
      </w:pPr>
      <w:r>
        <w:rPr>
          <w:rFonts w:ascii="Arial" w:cs="Arial" w:eastAsia="Arial" w:hAnsi="Arial"/>
          <w:sz w:val="17"/>
          <w:szCs w:val="17"/>
          <w:color w:val="auto"/>
        </w:rPr>
        <w:t>Certain assets and liabilities are carried at fair value under U.S. GAAP. Fair value is defined as an exit price, representing the amount that would be received to sell an asset or paid to transfer a liability in an orderly transaction between market participants. As such, fair value is a market-based measurement determined based on assumptions that market participants would use in pricing an asset or liability. Financial assets and liabilities carried at fair value are classified and disclosed in one of the following three levels of the fair value hierarchy, of which the first two are considered observable and the last is considered unobservable:</w:t>
      </w:r>
    </w:p>
    <w:p>
      <w:pPr>
        <w:spacing w:after="0" w:line="67"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Level 1</w:t>
      </w:r>
      <w:r>
        <w:rPr>
          <w:rFonts w:ascii="Arial" w:cs="Arial" w:eastAsia="Arial" w:hAnsi="Arial"/>
          <w:sz w:val="17"/>
          <w:szCs w:val="17"/>
          <w:color w:val="auto"/>
        </w:rPr>
        <w:t>—Quoted prices in active markets for identical assets or liabilities.</w:t>
      </w:r>
    </w:p>
    <w:p>
      <w:pPr>
        <w:spacing w:after="0" w:line="98" w:lineRule="exact"/>
        <w:rPr>
          <w:sz w:val="20"/>
          <w:szCs w:val="20"/>
          <w:color w:val="auto"/>
        </w:rPr>
      </w:pPr>
    </w:p>
    <w:p>
      <w:pPr>
        <w:ind w:left="820" w:right="420"/>
        <w:spacing w:after="0" w:line="270" w:lineRule="auto"/>
        <w:rPr>
          <w:sz w:val="20"/>
          <w:szCs w:val="20"/>
          <w:color w:val="auto"/>
        </w:rPr>
      </w:pPr>
      <w:r>
        <w:rPr>
          <w:rFonts w:ascii="Arial" w:cs="Arial" w:eastAsia="Arial" w:hAnsi="Arial"/>
          <w:sz w:val="17"/>
          <w:szCs w:val="17"/>
          <w:b w:val="1"/>
          <w:bCs w:val="1"/>
          <w:color w:val="auto"/>
        </w:rPr>
        <w:t>Level 2</w:t>
      </w:r>
      <w:r>
        <w:rPr>
          <w:rFonts w:ascii="Arial" w:cs="Arial" w:eastAsia="Arial" w:hAnsi="Arial"/>
          <w:sz w:val="17"/>
          <w:szCs w:val="17"/>
          <w:color w:val="auto"/>
        </w:rPr>
        <w:t>—Quoted prices for similar assets and liabilities in active markets, quoted prices in markets that are not active, or inputs</w:t>
      </w:r>
      <w:r>
        <w:rPr>
          <w:rFonts w:ascii="Arial" w:cs="Arial" w:eastAsia="Arial" w:hAnsi="Arial"/>
          <w:sz w:val="17"/>
          <w:szCs w:val="17"/>
          <w:b w:val="1"/>
          <w:bCs w:val="1"/>
          <w:color w:val="auto"/>
        </w:rPr>
        <w:t xml:space="preserve"> </w:t>
      </w:r>
      <w:r>
        <w:rPr>
          <w:rFonts w:ascii="Arial" w:cs="Arial" w:eastAsia="Arial" w:hAnsi="Arial"/>
          <w:sz w:val="17"/>
          <w:szCs w:val="17"/>
          <w:color w:val="auto"/>
        </w:rPr>
        <w:t>which are observable, either directly or indirectly, for substantially the full term of the asset or liability.</w:t>
      </w:r>
    </w:p>
    <w:p>
      <w:pPr>
        <w:spacing w:after="0" w:line="46" w:lineRule="exact"/>
        <w:rPr>
          <w:sz w:val="20"/>
          <w:szCs w:val="20"/>
          <w:color w:val="auto"/>
        </w:rPr>
      </w:pPr>
    </w:p>
    <w:p>
      <w:pPr>
        <w:ind w:left="820" w:right="20"/>
        <w:spacing w:after="0" w:line="270" w:lineRule="auto"/>
        <w:rPr>
          <w:sz w:val="20"/>
          <w:szCs w:val="20"/>
          <w:color w:val="auto"/>
        </w:rPr>
      </w:pPr>
      <w:r>
        <w:rPr>
          <w:rFonts w:ascii="Arial" w:cs="Arial" w:eastAsia="Arial" w:hAnsi="Arial"/>
          <w:sz w:val="17"/>
          <w:szCs w:val="17"/>
          <w:b w:val="1"/>
          <w:bCs w:val="1"/>
          <w:color w:val="auto"/>
        </w:rPr>
        <w:t>Level 3</w:t>
      </w:r>
      <w:r>
        <w:rPr>
          <w:rFonts w:ascii="Arial" w:cs="Arial" w:eastAsia="Arial" w:hAnsi="Arial"/>
          <w:sz w:val="17"/>
          <w:szCs w:val="17"/>
          <w:color w:val="auto"/>
        </w:rPr>
        <w:t>—Unobservable inputs that are supported by little or no market activity and that are significant to determining the fair value of</w:t>
      </w:r>
      <w:r>
        <w:rPr>
          <w:rFonts w:ascii="Arial" w:cs="Arial" w:eastAsia="Arial" w:hAnsi="Arial"/>
          <w:sz w:val="17"/>
          <w:szCs w:val="17"/>
          <w:b w:val="1"/>
          <w:bCs w:val="1"/>
          <w:color w:val="auto"/>
        </w:rPr>
        <w:t xml:space="preserve"> </w:t>
      </w:r>
      <w:r>
        <w:rPr>
          <w:rFonts w:ascii="Arial" w:cs="Arial" w:eastAsia="Arial" w:hAnsi="Arial"/>
          <w:sz w:val="17"/>
          <w:szCs w:val="17"/>
          <w:color w:val="auto"/>
        </w:rPr>
        <w:t>the assets or liabilities, including pricing models, discounted cash flow methodologies and similar techniques.</w:t>
      </w:r>
    </w:p>
    <w:p>
      <w:pPr>
        <w:spacing w:after="0" w:line="122" w:lineRule="exact"/>
        <w:rPr>
          <w:sz w:val="20"/>
          <w:szCs w:val="20"/>
          <w:color w:val="auto"/>
        </w:rPr>
      </w:pPr>
    </w:p>
    <w:p>
      <w:pPr>
        <w:ind w:left="420" w:right="20" w:firstLine="417"/>
        <w:spacing w:after="0" w:line="247" w:lineRule="auto"/>
        <w:rPr>
          <w:sz w:val="20"/>
          <w:szCs w:val="20"/>
          <w:color w:val="auto"/>
        </w:rPr>
      </w:pPr>
      <w:r>
        <w:rPr>
          <w:rFonts w:ascii="Arial" w:cs="Arial" w:eastAsia="Arial" w:hAnsi="Arial"/>
          <w:sz w:val="17"/>
          <w:szCs w:val="17"/>
          <w:color w:val="auto"/>
        </w:rPr>
        <w:t>Cash, cash equivalents, and short-term investments are carried at fair value, determined according to the fair value hierarchy described above. The carrying values of the Company’s prepaid expenses, accounts payable, and accrued expenses approximate their fair value due to the short-term nature of these assets and liabilities. None of the Company’s non-financial assets or liabilities are recorded at fair value on a non-recurring basis.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98" w:lineRule="exact"/>
        <w:rPr>
          <w:sz w:val="20"/>
          <w:szCs w:val="20"/>
          <w:color w:val="auto"/>
        </w:rPr>
      </w:pPr>
    </w:p>
    <w:p>
      <w:pPr>
        <w:ind w:left="420" w:firstLine="417"/>
        <w:spacing w:after="0" w:line="242"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stockholders’ equity (deficit) as a reduction of proceeds generated as a result of the offering. Should the in-process equity financing be abandoned, the deferred offering costs will be expensed immediately as a charge to operating expenses in the consolidated statements of operations and comprehensive loss. As of December 31, 2022 and 2023, there were $0 and $2.2 million of deferred offering costs, respectively.</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98" w:lineRule="exact"/>
        <w:rPr>
          <w:sz w:val="20"/>
          <w:szCs w:val="20"/>
          <w:color w:val="auto"/>
        </w:rPr>
      </w:pPr>
    </w:p>
    <w:p>
      <w:pPr>
        <w:ind w:left="420" w:right="80" w:firstLine="417"/>
        <w:spacing w:after="0" w:line="244" w:lineRule="auto"/>
        <w:rPr>
          <w:sz w:val="20"/>
          <w:szCs w:val="20"/>
          <w:color w:val="auto"/>
        </w:rPr>
      </w:pPr>
      <w:r>
        <w:rPr>
          <w:rFonts w:ascii="Arial" w:cs="Arial" w:eastAsia="Arial" w:hAnsi="Arial"/>
          <w:sz w:val="17"/>
          <w:szCs w:val="17"/>
          <w:color w:val="auto"/>
        </w:rPr>
        <w:t>Property and equipment, including leasehold improvements, are stated at cost less accumulated depreciation and amortization. Depreciation and amortization are recorded using the straight-line method over the estimated useful lives of the related assets, which ranges from three to seven years. Leasehold improvements are amortized on a straight-line basis over the shorter of the estimated useful lives of the assets or the remaining lease term. Repairs and maintenance charges that do not increase the useful life of the assets are charged to operating expenses as incurred.</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98" w:lineRule="exact"/>
        <w:rPr>
          <w:sz w:val="20"/>
          <w:szCs w:val="20"/>
          <w:color w:val="auto"/>
        </w:rPr>
      </w:pPr>
    </w:p>
    <w:p>
      <w:pPr>
        <w:ind w:left="420" w:right="20" w:firstLine="417"/>
        <w:spacing w:after="0" w:line="244" w:lineRule="auto"/>
        <w:rPr>
          <w:sz w:val="20"/>
          <w:szCs w:val="20"/>
          <w:color w:val="auto"/>
        </w:rPr>
      </w:pPr>
      <w:r>
        <w:rPr>
          <w:rFonts w:ascii="Arial" w:cs="Arial" w:eastAsia="Arial" w:hAnsi="Arial"/>
          <w:sz w:val="17"/>
          <w:szCs w:val="17"/>
          <w:color w:val="auto"/>
        </w:rPr>
        <w:t>An impairment loss is recorded if and when events and circumstances indicate that any of the Company’s long-lived assets might be impaired and the undiscounted cash flows estimated to be generated by those assets are less than the carrying amount of those assets. If such assets are considered to be impaired, the impairment to be recognized is measured by the amount by which the book values of the assets exceed their fair value. The Company has not recognized any impairment losses in any of the periods presented in these financial statements.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Leases</w:t>
      </w:r>
    </w:p>
    <w:p>
      <w:pPr>
        <w:spacing w:after="0" w:line="98" w:lineRule="exact"/>
        <w:rPr>
          <w:sz w:val="20"/>
          <w:szCs w:val="20"/>
          <w:color w:val="auto"/>
        </w:rPr>
      </w:pPr>
    </w:p>
    <w:p>
      <w:pPr>
        <w:ind w:left="420" w:right="140" w:firstLine="417"/>
        <w:spacing w:after="0" w:line="247" w:lineRule="auto"/>
        <w:rPr>
          <w:sz w:val="20"/>
          <w:szCs w:val="20"/>
          <w:color w:val="auto"/>
        </w:rPr>
      </w:pPr>
      <w:r>
        <w:rPr>
          <w:rFonts w:ascii="Arial" w:cs="Arial" w:eastAsia="Arial" w:hAnsi="Arial"/>
          <w:sz w:val="17"/>
          <w:szCs w:val="17"/>
          <w:color w:val="auto"/>
        </w:rPr>
        <w:t>The Company leases real estate facilities under non-cancellable operating leases with various expiration dates through fiscal year 2034. At the inception of an arrangement, the Company determines whether the arrangement is or contains a lease based on the unique facts and circumstances present, the existence of an identified asset(s), if any, and the Company’s control over the use of the identified asset(s), if applicable.</w:t>
      </w:r>
    </w:p>
    <w:p>
      <w:pPr>
        <w:spacing w:after="0" w:line="10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0820"/>
          </w:cols>
          <w:pgMar w:left="320" w:top="439" w:right="7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40" w:firstLine="417"/>
        <w:spacing w:after="0" w:line="244" w:lineRule="auto"/>
        <w:rPr>
          <w:sz w:val="20"/>
          <w:szCs w:val="20"/>
          <w:color w:val="auto"/>
        </w:rPr>
      </w:pPr>
      <w:r>
        <w:rPr>
          <w:rFonts w:ascii="Arial" w:cs="Arial" w:eastAsia="Arial" w:hAnsi="Arial"/>
          <w:sz w:val="17"/>
          <w:szCs w:val="17"/>
          <w:color w:val="auto"/>
        </w:rPr>
        <w:t xml:space="preserve">Prior to January 1, 2021, the Company accounted for its leases under </w:t>
      </w:r>
      <w:r>
        <w:rPr>
          <w:rFonts w:ascii="Arial" w:cs="Arial" w:eastAsia="Arial" w:hAnsi="Arial"/>
          <w:sz w:val="17"/>
          <w:szCs w:val="17"/>
          <w:i w:val="1"/>
          <w:iCs w:val="1"/>
          <w:color w:val="auto"/>
        </w:rPr>
        <w:t>ASC 840, Leases</w:t>
      </w:r>
      <w:r>
        <w:rPr>
          <w:rFonts w:ascii="Arial" w:cs="Arial" w:eastAsia="Arial" w:hAnsi="Arial"/>
          <w:sz w:val="17"/>
          <w:szCs w:val="17"/>
          <w:color w:val="auto"/>
        </w:rPr>
        <w:t xml:space="preserve"> (ASC 840). The Company adopted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on January 1, 2021. The Company elected the package of practical expedients for transition under which the Company did not reassess its prior conclusions about lease identification, lease classification, and initial direct costs. Additionally, the Company elected the “hindsight” and “land easement” practical expedients for transition under which conclusions around lease term, impairment, and land easements will not be reassessed. The Company did not apply the portfolio approach to its lease agreements.</w:t>
      </w:r>
    </w:p>
    <w:p>
      <w:pPr>
        <w:spacing w:after="0" w:line="143" w:lineRule="exact"/>
        <w:rPr>
          <w:sz w:val="20"/>
          <w:szCs w:val="20"/>
          <w:color w:val="auto"/>
        </w:rPr>
      </w:pPr>
    </w:p>
    <w:p>
      <w:pPr>
        <w:ind w:left="420" w:right="60" w:firstLine="417"/>
        <w:spacing w:after="0"/>
        <w:rPr>
          <w:sz w:val="20"/>
          <w:szCs w:val="20"/>
          <w:color w:val="auto"/>
        </w:rPr>
      </w:pPr>
      <w:r>
        <w:rPr>
          <w:rFonts w:ascii="Arial" w:cs="Arial" w:eastAsia="Arial" w:hAnsi="Arial"/>
          <w:sz w:val="17"/>
          <w:szCs w:val="17"/>
          <w:color w:val="auto"/>
        </w:rPr>
        <w:t>Operating leases are included in operating lease assets and in operating lease liabilities in the accompanying balance sheets. Operating lease assets represent the Company’s right to use an underlying asset for the lease term, and lease liabilities represent the Company’s obligation to make lease payments arising from the lease. Operating lease liabilities are recognized at the lease commencement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leases do not provide an implicit rate, the Company estimates its incremental borrowing rate based on the information available at lease commencement date for borrowings with a similar term.</w:t>
      </w:r>
    </w:p>
    <w:p>
      <w:pPr>
        <w:spacing w:after="0" w:line="136" w:lineRule="exact"/>
        <w:rPr>
          <w:sz w:val="20"/>
          <w:szCs w:val="20"/>
          <w:color w:val="auto"/>
        </w:rPr>
      </w:pPr>
    </w:p>
    <w:p>
      <w:pPr>
        <w:ind w:left="420" w:right="100" w:firstLine="417"/>
        <w:spacing w:after="0" w:line="241" w:lineRule="auto"/>
        <w:rPr>
          <w:sz w:val="20"/>
          <w:szCs w:val="20"/>
          <w:color w:val="auto"/>
        </w:rPr>
      </w:pPr>
      <w:r>
        <w:rPr>
          <w:rFonts w:ascii="Arial" w:cs="Arial" w:eastAsia="Arial" w:hAnsi="Arial"/>
          <w:sz w:val="17"/>
          <w:szCs w:val="17"/>
          <w:color w:val="auto"/>
        </w:rPr>
        <w:t>The Company’s operating lease assets are measured based on the corresponding operating lease liability adjusted for (i) 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elected the practical expedient, which allows the Company to not allocate consideration between lease and non-lease components. Variable lease payments are recognized in the period in which the obligations for those payments are incurred. In addition, the Company elected the practical expedient such that it does not recognize lease assets or lease liabilities for leases with a term of 12 months or less of all asset classes. Operating lease expense is recognized on a straight-line basis over the lease term.</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Segments</w:t>
      </w:r>
    </w:p>
    <w:p>
      <w:pPr>
        <w:spacing w:after="0" w:line="98" w:lineRule="exact"/>
        <w:rPr>
          <w:sz w:val="20"/>
          <w:szCs w:val="20"/>
          <w:color w:val="auto"/>
        </w:rPr>
      </w:pPr>
    </w:p>
    <w:p>
      <w:pPr>
        <w:ind w:left="420" w:right="460" w:firstLine="417"/>
        <w:spacing w:after="0" w:line="252" w:lineRule="auto"/>
        <w:rPr>
          <w:sz w:val="20"/>
          <w:szCs w:val="20"/>
          <w:color w:val="auto"/>
        </w:rPr>
      </w:pPr>
      <w:r>
        <w:rPr>
          <w:rFonts w:ascii="Arial" w:cs="Arial" w:eastAsia="Arial" w:hAnsi="Arial"/>
          <w:sz w:val="17"/>
          <w:szCs w:val="17"/>
          <w:color w:val="auto"/>
        </w:rPr>
        <w:t>Operating segments are identified as components of an enterprise about which discrete financial information is available for evaluation by the chief operating decision-maker in making decisions regarding resource allocation and assessing performance. The Company views its operations and manages its business as one operating segment.</w:t>
      </w:r>
    </w:p>
    <w:p>
      <w:pPr>
        <w:spacing w:after="0" w:line="266"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Convertible Preferred Stock</w:t>
      </w:r>
    </w:p>
    <w:p>
      <w:pPr>
        <w:spacing w:after="0" w:line="98" w:lineRule="exact"/>
        <w:rPr>
          <w:sz w:val="20"/>
          <w:szCs w:val="20"/>
          <w:color w:val="auto"/>
        </w:rPr>
      </w:pPr>
    </w:p>
    <w:p>
      <w:pPr>
        <w:ind w:left="420" w:firstLine="417"/>
        <w:spacing w:after="0" w:line="241" w:lineRule="auto"/>
        <w:rPr>
          <w:sz w:val="20"/>
          <w:szCs w:val="20"/>
          <w:color w:val="auto"/>
        </w:rPr>
      </w:pPr>
      <w:r>
        <w:rPr>
          <w:rFonts w:ascii="Arial" w:cs="Arial" w:eastAsia="Arial" w:hAnsi="Arial"/>
          <w:sz w:val="17"/>
          <w:szCs w:val="17"/>
          <w:color w:val="auto"/>
        </w:rPr>
        <w:t>The Company’s convertible preferred stock is classified as temporary equity in the accompanying balance sheets and excluded from stockholders’ deficit as the potential redemption of such stock is outside the Company’s control and would require the redemption of the then-outstanding convertible preferred stock. The convertible preferred stock is not redeemable except for in the event of a liquidation, dissolution, or winding up of the Company. Costs incurred in connection with the issuance of convertible preferred stock are recorded as a reduction of gross proceeds from issuance. The Company does not accrete the carrying values of the preferred stock to the redemption values since the occurrence of these events was not considered probable as of December 31, 2022 and 2023. Subsequent adjustments of the carrying values to the ultimate redemption values will be made only when it becomes probable that these events will occur.</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98" w:lineRule="exact"/>
        <w:rPr>
          <w:sz w:val="20"/>
          <w:szCs w:val="20"/>
          <w:color w:val="auto"/>
        </w:rPr>
      </w:pPr>
    </w:p>
    <w:p>
      <w:pPr>
        <w:ind w:left="420" w:right="100" w:firstLine="417"/>
        <w:spacing w:after="0" w:line="241" w:lineRule="auto"/>
        <w:rPr>
          <w:sz w:val="20"/>
          <w:szCs w:val="20"/>
          <w:color w:val="auto"/>
        </w:rPr>
      </w:pPr>
      <w:r>
        <w:rPr>
          <w:rFonts w:ascii="Arial" w:cs="Arial" w:eastAsia="Arial" w:hAnsi="Arial"/>
          <w:sz w:val="17"/>
          <w:szCs w:val="17"/>
          <w:color w:val="auto"/>
        </w:rPr>
        <w:t>Research and development (R&amp;D) expenses are costs incurred by the Company in connection with its discovery and research efforts and the preclinical and clinical development of ecDTx. The Company’s R&amp;D expenses include direct program costs, consisting of expenses incurred under arrangements with third parties, such as contract research organizations, contract manufacturers, consultants and its scientific advisors; and indirect costs, consisting of personnel-related expenses, including salaries, benefits, and stock-based compensation, for those individuals involved in R&amp;D efforts, the costs of lab and pharmacology supplies and acquiring, developing, and manufacturing preclinical and clinical study materials, and facilities and depreciation, which include direct and allocated expenses for rent of facilities and depreciation of equipment. R&amp;D costs are expensed as incurred.</w:t>
      </w:r>
    </w:p>
    <w:p>
      <w:pPr>
        <w:spacing w:after="0" w:line="134" w:lineRule="exact"/>
        <w:rPr>
          <w:sz w:val="20"/>
          <w:szCs w:val="20"/>
          <w:color w:val="auto"/>
        </w:rPr>
      </w:pPr>
    </w:p>
    <w:p>
      <w:pPr>
        <w:ind w:left="420" w:right="20" w:firstLine="417"/>
        <w:spacing w:after="0" w:line="244" w:lineRule="auto"/>
        <w:rPr>
          <w:sz w:val="20"/>
          <w:szCs w:val="20"/>
          <w:color w:val="auto"/>
        </w:rPr>
      </w:pPr>
      <w:r>
        <w:rPr>
          <w:rFonts w:ascii="Arial" w:cs="Arial" w:eastAsia="Arial" w:hAnsi="Arial"/>
          <w:sz w:val="17"/>
          <w:szCs w:val="17"/>
          <w:color w:val="auto"/>
        </w:rPr>
        <w:t>The Company records accruals for estimated R&amp;D costs, comprising payments for work performed by third party contractors, labs, and others. Some of these contractors bill monthly based on actual services performed, while others bill periodically based upon achieving certain contractual milestones. For the latter, the Company accrues the expenses as goods or services are used or rendered. Non-refundable advance payments for goods or services that will be used or rendered for future R&amp;D activities are deferred and capitalized as prepaid expenses until the related goods are delivered or services are performed.</w:t>
      </w:r>
    </w:p>
    <w:p>
      <w:pPr>
        <w:spacing w:after="0" w:line="105"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0820"/>
          </w:cols>
          <w:pgMar w:left="320" w:top="439" w:right="75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98" w:lineRule="exact"/>
        <w:rPr>
          <w:sz w:val="20"/>
          <w:szCs w:val="20"/>
          <w:color w:val="auto"/>
        </w:rPr>
      </w:pPr>
    </w:p>
    <w:p>
      <w:pPr>
        <w:ind w:left="420" w:right="200" w:firstLine="417"/>
        <w:spacing w:after="0" w:line="244" w:lineRule="auto"/>
        <w:rPr>
          <w:sz w:val="20"/>
          <w:szCs w:val="20"/>
          <w:color w:val="auto"/>
        </w:rPr>
      </w:pPr>
      <w:r>
        <w:rPr>
          <w:rFonts w:ascii="Arial" w:cs="Arial" w:eastAsia="Arial" w:hAnsi="Arial"/>
          <w:sz w:val="17"/>
          <w:szCs w:val="17"/>
          <w:color w:val="auto"/>
        </w:rPr>
        <w:t>General and administrative (G&amp;A) expenses consist primarily of personnel-related expenses, including salaries, bonuses, benefits, travel, and stock-based compensation expenses, for employees in executive, accounting and finance, business development, human resources, legal, and other administrative functions. Other significant G&amp;A expenses include allocated facility-related costs, legal fees relating to corporate and intellectual property matters, professional fees for accounting and tax services, consulting fees, and insurance costs. G&amp;A costs are expensed as incurred.</w:t>
      </w:r>
    </w:p>
    <w:p>
      <w:pPr>
        <w:spacing w:after="0" w:line="169" w:lineRule="exact"/>
        <w:rPr>
          <w:sz w:val="20"/>
          <w:szCs w:val="20"/>
          <w:color w:val="auto"/>
        </w:rPr>
      </w:pPr>
    </w:p>
    <w:p>
      <w:pPr>
        <w:ind w:left="420" w:right="560" w:firstLine="417"/>
        <w:spacing w:after="0" w:line="270" w:lineRule="auto"/>
        <w:rPr>
          <w:sz w:val="20"/>
          <w:szCs w:val="20"/>
          <w:color w:val="auto"/>
        </w:rPr>
      </w:pPr>
      <w:r>
        <w:rPr>
          <w:rFonts w:ascii="Arial" w:cs="Arial" w:eastAsia="Arial" w:hAnsi="Arial"/>
          <w:sz w:val="17"/>
          <w:szCs w:val="17"/>
          <w:color w:val="auto"/>
        </w:rPr>
        <w:t>Costs related to filing and pursuing patent applications are recorded as G&amp;A expense and are expensed as incurred since the recoverability of such expenditures is uncertain.</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98" w:lineRule="exact"/>
        <w:rPr>
          <w:sz w:val="20"/>
          <w:szCs w:val="20"/>
          <w:color w:val="auto"/>
        </w:rPr>
      </w:pPr>
    </w:p>
    <w:p>
      <w:pPr>
        <w:ind w:left="420" w:right="200" w:firstLine="417"/>
        <w:spacing w:after="0" w:line="247" w:lineRule="auto"/>
        <w:rPr>
          <w:sz w:val="20"/>
          <w:szCs w:val="20"/>
          <w:color w:val="auto"/>
        </w:rPr>
      </w:pPr>
      <w:r>
        <w:rPr>
          <w:rFonts w:ascii="Arial" w:cs="Arial" w:eastAsia="Arial" w:hAnsi="Arial"/>
          <w:sz w:val="17"/>
          <w:szCs w:val="17"/>
          <w:color w:val="auto"/>
        </w:rPr>
        <w:t>The Company expenses stock-based compensation over the requisite service period (usually the vesting period) on a straight-line basis, net of actual forfeitures during the period, based on the estimated grant-date fair value of the awards. The fair value of each stock option grant is estimated on the date of grant using the Black-Scholes option pricing model, which requires inputs based on certain subjective assumptions, including the:</w:t>
      </w:r>
    </w:p>
    <w:p>
      <w:pPr>
        <w:spacing w:after="0" w:line="39" w:lineRule="exact"/>
        <w:rPr>
          <w:sz w:val="20"/>
          <w:szCs w:val="20"/>
          <w:color w:val="auto"/>
        </w:rPr>
      </w:pPr>
    </w:p>
    <w:p>
      <w:pPr>
        <w:ind w:left="1540" w:right="40" w:hanging="298"/>
        <w:spacing w:after="0" w:line="238" w:lineRule="auto"/>
        <w:tabs>
          <w:tab w:leader="none" w:pos="1540"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Fair value of common stock</w:t>
      </w:r>
      <w:r>
        <w:rPr>
          <w:rFonts w:ascii="Arial" w:cs="Arial" w:eastAsia="Arial" w:hAnsi="Arial"/>
          <w:sz w:val="17"/>
          <w:szCs w:val="17"/>
          <w:color w:val="auto"/>
        </w:rPr>
        <w:t>. Due to the absence of an active market for the Company’s common stock,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utilized methodologies, approaches, and assumptions consistent with the American Institute of Certified Public Accountants’ Practice Aid, </w:t>
      </w:r>
      <w:r>
        <w:rPr>
          <w:rFonts w:ascii="Arial" w:cs="Arial" w:eastAsia="Arial" w:hAnsi="Arial"/>
          <w:sz w:val="17"/>
          <w:szCs w:val="17"/>
          <w:i w:val="1"/>
          <w:iCs w:val="1"/>
          <w:color w:val="auto"/>
        </w:rPr>
        <w:t>Valuation of Privately Held Company Equity Securities Issued as Compensation</w:t>
      </w:r>
      <w:r>
        <w:rPr>
          <w:rFonts w:ascii="Arial" w:cs="Arial" w:eastAsia="Arial" w:hAnsi="Arial"/>
          <w:sz w:val="17"/>
          <w:szCs w:val="17"/>
          <w:color w:val="auto"/>
        </w:rPr>
        <w:t xml:space="preserve"> to estimate the fair value of its common stock. In determining the fair value of the restricted stock awards, the Company has considered the fair value of the common stock as of the grant date. The fair value of the common stock has been determined based upon a variety of factors, including the Company’s stage of development and material risks related to the business; the progress of the Company’s R&amp;D programs; business conditions and projections; financial position and historical and forecasted performance and operating results; the lack of an active public market for the Company’s common stock and preferred stock; the prices of the Company’s preferred stock sold to or exchanged between outside investors in arm’s length transactions and the rights, preferences, and privileges of the preferred stock as compared to those of the Company’s common stock, including liquidation preferences of the Company’s preferred stock; the likelihood of achieving a liquidity event, such as an initial public offering or sale of the Company in light of prevailing market conditions; the hiring of key personnel and the experience of management; trends and developments in the Company’s industry; and external market conditions affecting the biopharmaceutical industry and trends within the biopharmaceutical industry.</w:t>
      </w:r>
    </w:p>
    <w:p>
      <w:pPr>
        <w:spacing w:after="0" w:line="45" w:lineRule="exact"/>
        <w:rPr>
          <w:rFonts w:ascii="Arial" w:cs="Arial" w:eastAsia="Arial" w:hAnsi="Arial"/>
          <w:sz w:val="17"/>
          <w:szCs w:val="17"/>
          <w:color w:val="auto"/>
        </w:rPr>
      </w:pPr>
    </w:p>
    <w:p>
      <w:pPr>
        <w:ind w:left="1540" w:right="440" w:hanging="298"/>
        <w:spacing w:after="0" w:line="252" w:lineRule="auto"/>
        <w:tabs>
          <w:tab w:leader="none" w:pos="1540"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 Given that the Company’s common stock is privately held, there is no active trading market for its</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The expected volatility assumption is based on volatilities of a peer group of similar companies whose share prices are publicly available. The peer group was developed based on companies in the biotechnology industry.</w:t>
      </w:r>
    </w:p>
    <w:p>
      <w:pPr>
        <w:spacing w:after="0" w:line="35" w:lineRule="exact"/>
        <w:rPr>
          <w:rFonts w:ascii="Arial" w:cs="Arial" w:eastAsia="Arial" w:hAnsi="Arial"/>
          <w:sz w:val="17"/>
          <w:szCs w:val="17"/>
          <w:color w:val="auto"/>
        </w:rPr>
      </w:pPr>
    </w:p>
    <w:p>
      <w:pPr>
        <w:ind w:left="1540" w:right="400" w:hanging="298"/>
        <w:spacing w:after="0" w:line="270" w:lineRule="auto"/>
        <w:tabs>
          <w:tab w:leader="none" w:pos="1540"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 The Company bases the risk-free interest rate assumption on the U.S. Treasury’s rates for U.S.</w:t>
      </w:r>
      <w:r>
        <w:rPr>
          <w:rFonts w:ascii="Arial" w:cs="Arial" w:eastAsia="Arial" w:hAnsi="Arial"/>
          <w:sz w:val="17"/>
          <w:szCs w:val="17"/>
          <w:i w:val="1"/>
          <w:iCs w:val="1"/>
          <w:color w:val="auto"/>
        </w:rPr>
        <w:t xml:space="preserve"> </w:t>
      </w:r>
      <w:r>
        <w:rPr>
          <w:rFonts w:ascii="Arial" w:cs="Arial" w:eastAsia="Arial" w:hAnsi="Arial"/>
          <w:sz w:val="17"/>
          <w:szCs w:val="17"/>
          <w:color w:val="auto"/>
        </w:rPr>
        <w:t>Treasury zero-coupon bonds with maturities similar to those of the expected term of the award being valued.</w:t>
      </w:r>
    </w:p>
    <w:p>
      <w:pPr>
        <w:spacing w:after="0" w:line="20" w:lineRule="exact"/>
        <w:rPr>
          <w:rFonts w:ascii="Arial" w:cs="Arial" w:eastAsia="Arial" w:hAnsi="Arial"/>
          <w:sz w:val="17"/>
          <w:szCs w:val="17"/>
          <w:color w:val="auto"/>
        </w:rPr>
      </w:pPr>
    </w:p>
    <w:p>
      <w:pPr>
        <w:ind w:left="1540" w:right="100" w:hanging="298"/>
        <w:spacing w:after="0" w:line="252" w:lineRule="auto"/>
        <w:tabs>
          <w:tab w:leader="none" w:pos="1540"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represents the period of time that options are expected to be outstanding. Because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does not have significant historical exercise behavior, it determines the expected life assumption using the simplified method, which is an average of the contractual term of the option and its vesting period.</w:t>
      </w:r>
    </w:p>
    <w:p>
      <w:pPr>
        <w:spacing w:after="0" w:line="35" w:lineRule="exact"/>
        <w:rPr>
          <w:rFonts w:ascii="Arial" w:cs="Arial" w:eastAsia="Arial" w:hAnsi="Arial"/>
          <w:sz w:val="17"/>
          <w:szCs w:val="17"/>
          <w:color w:val="auto"/>
        </w:rPr>
      </w:pPr>
    </w:p>
    <w:p>
      <w:pPr>
        <w:ind w:left="1540" w:right="500" w:hanging="298"/>
        <w:spacing w:after="0" w:line="270" w:lineRule="auto"/>
        <w:tabs>
          <w:tab w:leader="none" w:pos="1540"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Expected dividend yield</w:t>
      </w:r>
      <w:r>
        <w:rPr>
          <w:rFonts w:ascii="Arial" w:cs="Arial" w:eastAsia="Arial" w:hAnsi="Arial"/>
          <w:sz w:val="17"/>
          <w:szCs w:val="17"/>
          <w:color w:val="auto"/>
        </w:rPr>
        <w:t>. The Company used an expected dividend yield of zero, as it has never paid dividends on its</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and has no present intention of doing so in the foreseeable future.</w:t>
      </w:r>
    </w:p>
    <w:p>
      <w:pPr>
        <w:spacing w:after="0" w:line="148" w:lineRule="exact"/>
        <w:rPr>
          <w:sz w:val="20"/>
          <w:szCs w:val="20"/>
          <w:color w:val="auto"/>
        </w:rPr>
      </w:pPr>
    </w:p>
    <w:p>
      <w:pPr>
        <w:ind w:left="420" w:right="40" w:firstLine="417"/>
        <w:spacing w:after="0" w:line="270" w:lineRule="auto"/>
        <w:rPr>
          <w:sz w:val="20"/>
          <w:szCs w:val="20"/>
          <w:color w:val="auto"/>
        </w:rPr>
      </w:pPr>
      <w:r>
        <w:rPr>
          <w:rFonts w:ascii="Arial" w:cs="Arial" w:eastAsia="Arial" w:hAnsi="Arial"/>
          <w:sz w:val="17"/>
          <w:szCs w:val="17"/>
          <w:color w:val="auto"/>
        </w:rPr>
        <w:t>For restricted stock awards, the fair value of the award is the estimated fair value of the Company’s common stock on the grant date, as determined by the Company’s Board of Directors.</w:t>
      </w:r>
    </w:p>
    <w:p>
      <w:pPr>
        <w:spacing w:after="0" w:line="148" w:lineRule="exact"/>
        <w:rPr>
          <w:sz w:val="20"/>
          <w:szCs w:val="20"/>
          <w:color w:val="auto"/>
        </w:rPr>
      </w:pPr>
    </w:p>
    <w:p>
      <w:pPr>
        <w:ind w:left="420" w:right="520" w:firstLine="417"/>
        <w:spacing w:after="0" w:line="270" w:lineRule="auto"/>
        <w:rPr>
          <w:sz w:val="20"/>
          <w:szCs w:val="20"/>
          <w:color w:val="auto"/>
        </w:rPr>
      </w:pPr>
      <w:r>
        <w:rPr>
          <w:rFonts w:ascii="Arial" w:cs="Arial" w:eastAsia="Arial" w:hAnsi="Arial"/>
          <w:sz w:val="17"/>
          <w:szCs w:val="17"/>
          <w:color w:val="auto"/>
        </w:rPr>
        <w:t>The assumptions used in calculating the fair value of stock-based awards represent management’s best estimates and involve inherent uncertainties and the application of management’s judgment.</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Common Stock Valuation</w:t>
      </w:r>
    </w:p>
    <w:p>
      <w:pPr>
        <w:spacing w:after="0" w:line="98" w:lineRule="exact"/>
        <w:rPr>
          <w:sz w:val="20"/>
          <w:szCs w:val="20"/>
          <w:color w:val="auto"/>
        </w:rPr>
      </w:pPr>
    </w:p>
    <w:p>
      <w:pPr>
        <w:ind w:left="420" w:firstLine="417"/>
        <w:spacing w:after="0" w:line="252" w:lineRule="auto"/>
        <w:rPr>
          <w:sz w:val="20"/>
          <w:szCs w:val="20"/>
          <w:color w:val="auto"/>
        </w:rPr>
      </w:pPr>
      <w:r>
        <w:rPr>
          <w:rFonts w:ascii="Arial" w:cs="Arial" w:eastAsia="Arial" w:hAnsi="Arial"/>
          <w:sz w:val="17"/>
          <w:szCs w:val="17"/>
          <w:color w:val="auto"/>
        </w:rPr>
        <w:t>Due to the absence of an active market for the Company’s common stock, the Company utilized methodologies in accordance with the framework of the American Institute of Certified Public Accountants Technical Practice Aid (</w:t>
      </w:r>
      <w:r>
        <w:rPr>
          <w:rFonts w:ascii="Arial" w:cs="Arial" w:eastAsia="Arial" w:hAnsi="Arial"/>
          <w:sz w:val="17"/>
          <w:szCs w:val="17"/>
          <w:i w:val="1"/>
          <w:iCs w:val="1"/>
          <w:color w:val="auto"/>
        </w:rPr>
        <w:t>Valuation of Privately Held Company Equity</w:t>
      </w:r>
      <w:r>
        <w:rPr>
          <w:rFonts w:ascii="Arial" w:cs="Arial" w:eastAsia="Arial" w:hAnsi="Arial"/>
          <w:sz w:val="17"/>
          <w:szCs w:val="17"/>
          <w:color w:val="auto"/>
        </w:rPr>
        <w:t xml:space="preserve"> </w:t>
      </w:r>
      <w:r>
        <w:rPr>
          <w:rFonts w:ascii="Arial" w:cs="Arial" w:eastAsia="Arial" w:hAnsi="Arial"/>
          <w:sz w:val="17"/>
          <w:szCs w:val="17"/>
          <w:i w:val="1"/>
          <w:iCs w:val="1"/>
          <w:color w:val="auto"/>
        </w:rPr>
        <w:t>Securities Issued as Compensation</w:t>
      </w:r>
      <w:r>
        <w:rPr>
          <w:rFonts w:ascii="Arial" w:cs="Arial" w:eastAsia="Arial" w:hAnsi="Arial"/>
          <w:sz w:val="17"/>
          <w:szCs w:val="17"/>
          <w:color w:val="auto"/>
        </w:rPr>
        <w:t>) to estimate the fair value of its common stock. In</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0840"/>
          </w:cols>
          <w:pgMar w:left="320" w:top="439" w:right="7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determining the exercise prices for options granted, the Company has considered the estimated fair value of the common stock as of the measurement date. The estimated fair value of the common stock has been determined at each grant date based upon a variety of factors, including the illiquid nature of the common stock, arm’s-length sales of the Company’s capital stock (including convertible preferred stock), the effect of the rights, preferences, and privileges of the convertible preferred stockholders, and the prospects of a liquidity event. Among other factors are the Company’s financial position and historical financial performance, the status of technological developments within the Company’s research, the composition and ability of the current research and management team, an evaluation or benchmark of the Company’s competition, and the current business climate in the marketplace. Significant changes to the key assumptions underlying the factors used could result in different fair values of common stock at each valuation date.</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Income Taxes</w:t>
      </w:r>
    </w:p>
    <w:p>
      <w:pPr>
        <w:spacing w:after="0" w:line="98" w:lineRule="exact"/>
        <w:rPr>
          <w:sz w:val="20"/>
          <w:szCs w:val="20"/>
          <w:color w:val="auto"/>
        </w:rPr>
      </w:pPr>
    </w:p>
    <w:p>
      <w:pPr>
        <w:ind w:left="420" w:firstLine="417"/>
        <w:spacing w:after="0" w:line="238" w:lineRule="auto"/>
        <w:rPr>
          <w:sz w:val="20"/>
          <w:szCs w:val="20"/>
          <w:color w:val="auto"/>
        </w:rPr>
      </w:pPr>
      <w:r>
        <w:rPr>
          <w:rFonts w:ascii="Arial" w:cs="Arial" w:eastAsia="Arial" w:hAnsi="Arial"/>
          <w:sz w:val="17"/>
          <w:szCs w:val="17"/>
          <w:color w:val="auto"/>
        </w:rPr>
        <w:t>The Company accounts for income taxes under the asset and liability method, which requires the recognition of deferred tax assets and liabilities for the expected future tax consequences of events that have been included in the Company’s financial statements and related disclosures. Deferred tax assets and liabilities are determined on the basis of the differences between the Company’s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 The Company recognizes net deferred tax assets to the extent that the Company believes these assets are more likely than not to be realized. In making such a determination, management considers all available positive and negative evidence, including projected future taxable income, future reversals of existing taxable temporary differences, tax-planning strategies, and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 Interest and penalties are included as a component of income tax expense.</w:t>
      </w:r>
    </w:p>
    <w:p>
      <w:pPr>
        <w:spacing w:after="0" w:line="180" w:lineRule="exact"/>
        <w:rPr>
          <w:sz w:val="20"/>
          <w:szCs w:val="20"/>
          <w:color w:val="auto"/>
        </w:rPr>
      </w:pPr>
    </w:p>
    <w:p>
      <w:pPr>
        <w:ind w:left="420" w:right="140" w:firstLine="417"/>
        <w:spacing w:after="0" w:line="244" w:lineRule="auto"/>
        <w:rPr>
          <w:sz w:val="20"/>
          <w:szCs w:val="20"/>
          <w:color w:val="auto"/>
        </w:rPr>
      </w:pPr>
      <w:r>
        <w:rPr>
          <w:rFonts w:ascii="Arial" w:cs="Arial" w:eastAsia="Arial" w:hAnsi="Arial"/>
          <w:sz w:val="17"/>
          <w:szCs w:val="17"/>
          <w:color w:val="auto"/>
        </w:rPr>
        <w:t>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more-likely-than-not recognition threshold, management recognizes the largest amount of tax benefit that is more than 50 percent likely to be realized upon ultimate settlement with the related tax authority. Any resulting unrecognized tax benefits are included within the related tax liability.</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98" w:lineRule="exact"/>
        <w:rPr>
          <w:sz w:val="20"/>
          <w:szCs w:val="20"/>
          <w:color w:val="auto"/>
        </w:rPr>
      </w:pPr>
    </w:p>
    <w:p>
      <w:pPr>
        <w:ind w:left="420" w:firstLine="417"/>
        <w:spacing w:after="0"/>
        <w:rPr>
          <w:sz w:val="20"/>
          <w:szCs w:val="20"/>
          <w:color w:val="auto"/>
        </w:rPr>
      </w:pPr>
      <w:r>
        <w:rPr>
          <w:rFonts w:ascii="Arial" w:cs="Arial" w:eastAsia="Arial" w:hAnsi="Arial"/>
          <w:sz w:val="17"/>
          <w:szCs w:val="17"/>
          <w:color w:val="auto"/>
        </w:rPr>
        <w:t>Basic net loss per common share attributable to common stockholders is calculated by dividing the net loss by the weighted-average number of shares of common stock outstanding during the period, without consideration of potentially dilutive securities. Diluted net loss per share attributable to common stockholders is computed by dividing the net loss by the weighted-average number of shares of common stock and potentially dilutive securities outstanding for the period. The Company’s potentially dilutive securities, which include its convertible preferred stock, options to purchase common stock and common stock subject to repurchase related to unvested restricted stock and options early exercised, have been excluded from the computation of diluted net loss per share as the effect would reduce the net loss per share. Therefore, the weighted-average number of shares of common stock outstanding used to calculate both basic and diluted net loss per share is the same.</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98" w:lineRule="exact"/>
        <w:rPr>
          <w:sz w:val="20"/>
          <w:szCs w:val="20"/>
          <w:color w:val="auto"/>
        </w:rPr>
      </w:pPr>
    </w:p>
    <w:p>
      <w:pPr>
        <w:ind w:left="420" w:right="40" w:firstLine="417"/>
        <w:spacing w:after="0" w:line="252" w:lineRule="auto"/>
        <w:rPr>
          <w:sz w:val="20"/>
          <w:szCs w:val="20"/>
          <w:color w:val="auto"/>
        </w:rPr>
      </w:pPr>
      <w:r>
        <w:rPr>
          <w:rFonts w:ascii="Arial" w:cs="Arial" w:eastAsia="Arial" w:hAnsi="Arial"/>
          <w:sz w:val="17"/>
          <w:szCs w:val="17"/>
          <w:color w:val="auto"/>
        </w:rPr>
        <w:t>Comprehensive loss consists of net loss and unrealized gains and losses on the Company’s available-for-sale investments. The Company reports all components of comprehensive income (loss) in the statements of operations and comprehensive loss in the period in which they are recognized.</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Emerging Growth Company Status</w:t>
      </w:r>
    </w:p>
    <w:p>
      <w:pPr>
        <w:spacing w:after="0" w:line="98" w:lineRule="exact"/>
        <w:rPr>
          <w:sz w:val="20"/>
          <w:szCs w:val="20"/>
          <w:color w:val="auto"/>
        </w:rPr>
      </w:pPr>
    </w:p>
    <w:p>
      <w:pPr>
        <w:ind w:left="420" w:right="20" w:firstLine="417"/>
        <w:spacing w:after="0" w:line="242" w:lineRule="auto"/>
        <w:rPr>
          <w:sz w:val="20"/>
          <w:szCs w:val="20"/>
          <w:color w:val="auto"/>
        </w:rPr>
      </w:pPr>
      <w:r>
        <w:rPr>
          <w:rFonts w:ascii="Arial" w:cs="Arial" w:eastAsia="Arial" w:hAnsi="Arial"/>
          <w:sz w:val="17"/>
          <w:szCs w:val="17"/>
          <w:color w:val="auto"/>
        </w:rPr>
        <w:t>The Company is an emerging growth company (EGC) as defined in the Jumpstart Our Business Startups Act of 2012, as amended (the JOBS Act), and may take advantage of certain exemptions from various reporting requirements that are applicable to other public companies that are not EGCs. The Company may take advantage of these exemptions until it is no longer an EGC under Section 107 of the JOBS Act and has elected to use the extended transition period for complying with new or revised accounting standards. As a result of this election, the Company’s financial statements may not be comparable to companies that comply with public company FASB standards’ effective dates.</w:t>
      </w:r>
    </w:p>
    <w:p>
      <w:pPr>
        <w:spacing w:after="0" w:line="10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0820"/>
          </w:cols>
          <w:pgMar w:left="320" w:top="439" w:right="75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98" w:lineRule="exact"/>
        <w:rPr>
          <w:sz w:val="20"/>
          <w:szCs w:val="20"/>
          <w:color w:val="auto"/>
        </w:rPr>
      </w:pPr>
    </w:p>
    <w:p>
      <w:pPr>
        <w:ind w:left="420" w:right="20" w:firstLine="417"/>
        <w:spacing w:after="0" w:line="237"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Credit Losses: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 (Topic 326</w:t>
      </w:r>
      <w:r>
        <w:rPr>
          <w:rFonts w:ascii="Arial" w:cs="Arial" w:eastAsia="Arial" w:hAnsi="Arial"/>
          <w:sz w:val="17"/>
          <w:szCs w:val="17"/>
          <w:color w:val="auto"/>
        </w:rPr>
        <w:t>) (CECL). The new standard requires entities to measure all expected credit losses for financial assets held at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reporting date based on historical experience, current conditions, and reasonable and supportable forecasts. Subsequent to the issuance of ASU 2016-13, the FASB issued ASU 2018-19, </w:t>
      </w:r>
      <w:r>
        <w:rPr>
          <w:rFonts w:ascii="Arial" w:cs="Arial" w:eastAsia="Arial" w:hAnsi="Arial"/>
          <w:sz w:val="17"/>
          <w:szCs w:val="17"/>
          <w:i w:val="1"/>
          <w:iCs w:val="1"/>
          <w:color w:val="auto"/>
        </w:rPr>
        <w:t>Codification Improvements to Topic 326, Financial Instruments—Credit Losses</w:t>
      </w:r>
      <w:r>
        <w:rPr>
          <w:rFonts w:ascii="Arial" w:cs="Arial" w:eastAsia="Arial" w:hAnsi="Arial"/>
          <w:sz w:val="17"/>
          <w:szCs w:val="17"/>
          <w:color w:val="auto"/>
        </w:rPr>
        <w:t xml:space="preserve">. This ASU does not change the core principle of the guidance in ASU 2016-13, instead these amendments are intended to clarify and improve operability of certain topics included within the credit losses guidance. The FASB also subsequently issued ASU No. 2019-04, </w:t>
      </w:r>
      <w:r>
        <w:rPr>
          <w:rFonts w:ascii="Arial" w:cs="Arial" w:eastAsia="Arial" w:hAnsi="Arial"/>
          <w:sz w:val="17"/>
          <w:szCs w:val="17"/>
          <w:i w:val="1"/>
          <w:iCs w:val="1"/>
          <w:color w:val="auto"/>
        </w:rPr>
        <w:t>Codification</w:t>
      </w:r>
      <w:r>
        <w:rPr>
          <w:rFonts w:ascii="Arial" w:cs="Arial" w:eastAsia="Arial" w:hAnsi="Arial"/>
          <w:sz w:val="17"/>
          <w:szCs w:val="17"/>
          <w:color w:val="auto"/>
        </w:rPr>
        <w:t xml:space="preserve"> </w:t>
      </w:r>
      <w:r>
        <w:rPr>
          <w:rFonts w:ascii="Arial" w:cs="Arial" w:eastAsia="Arial" w:hAnsi="Arial"/>
          <w:sz w:val="17"/>
          <w:szCs w:val="17"/>
          <w:i w:val="1"/>
          <w:iCs w:val="1"/>
          <w:color w:val="auto"/>
        </w:rPr>
        <w:t>Improvements to Topic 326, Financial Instruments—Credit Losses, Derivatives and Hedging (Topic 815)</w:t>
      </w:r>
      <w:r>
        <w:rPr>
          <w:rFonts w:ascii="Arial" w:cs="Arial" w:eastAsia="Arial" w:hAnsi="Arial"/>
          <w:sz w:val="17"/>
          <w:szCs w:val="17"/>
          <w:color w:val="auto"/>
        </w:rPr>
        <w:t>, and</w:t>
      </w:r>
      <w:r>
        <w:rPr>
          <w:rFonts w:ascii="Arial" w:cs="Arial" w:eastAsia="Arial" w:hAnsi="Arial"/>
          <w:sz w:val="17"/>
          <w:szCs w:val="17"/>
          <w:i w:val="1"/>
          <w:iCs w:val="1"/>
          <w:color w:val="auto"/>
        </w:rPr>
        <w:t xml:space="preserve"> Financial Instruments (Topic 825</w:t>
      </w:r>
      <w:r>
        <w:rPr>
          <w:rFonts w:ascii="Arial" w:cs="Arial" w:eastAsia="Arial" w:hAnsi="Arial"/>
          <w:sz w:val="17"/>
          <w:szCs w:val="17"/>
          <w:color w:val="auto"/>
        </w:rPr>
        <w:t>), which did not change the core principle of the guidance in ASU 2016-13 but clarified that expected recoveries of amounts previously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written off and expected to be written off should be included in the valuation account and should not exceed amounts previously written off and expected to be written off. In March 2020, the FASB issued ASU No. 2020-3, </w:t>
      </w:r>
      <w:r>
        <w:rPr>
          <w:rFonts w:ascii="Arial" w:cs="Arial" w:eastAsia="Arial" w:hAnsi="Arial"/>
          <w:sz w:val="17"/>
          <w:szCs w:val="17"/>
          <w:i w:val="1"/>
          <w:iCs w:val="1"/>
          <w:color w:val="auto"/>
        </w:rPr>
        <w:t>Codification Improvements to Financial Instruments</w:t>
      </w:r>
      <w:r>
        <w:rPr>
          <w:rFonts w:ascii="Arial" w:cs="Arial" w:eastAsia="Arial" w:hAnsi="Arial"/>
          <w:sz w:val="17"/>
          <w:szCs w:val="17"/>
          <w:color w:val="auto"/>
        </w:rPr>
        <w:t xml:space="preserve"> which makes narrow-scope improvements to various financial instruments topics, including the new credit losses standard and clarifies the following areas (i) the contractual term of a net investment in a lease should be the contractual term used to measure expected credit losses; (ii) when an entity regains control of financial assets sold, an allowance for credit losses should be recorded. The new standard is effective for annual reporting periods beginning after December 15, 2022, including interim reporting periods within each annual reporting period for smaller reporting companies. The Company adopted ASU 2016-13 on a modified retrospective basis on January 1, 2023, and noted no material impact to the Company’s financial statements for the year ended December 31, 2023.</w:t>
      </w:r>
    </w:p>
    <w:p>
      <w:pPr>
        <w:spacing w:after="0" w:line="182" w:lineRule="exact"/>
        <w:rPr>
          <w:sz w:val="20"/>
          <w:szCs w:val="20"/>
          <w:color w:val="auto"/>
        </w:rPr>
      </w:pPr>
    </w:p>
    <w:p>
      <w:pPr>
        <w:ind w:left="420" w:right="160" w:firstLine="417"/>
        <w:spacing w:after="0" w:line="242"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 Debt with Conversion and Other Options (Subtopic 470-20)</w:t>
      </w:r>
      <w:r>
        <w:rPr>
          <w:rFonts w:ascii="Arial" w:cs="Arial" w:eastAsia="Arial" w:hAnsi="Arial"/>
          <w:sz w:val="17"/>
          <w:szCs w:val="17"/>
          <w:color w:val="auto"/>
        </w:rPr>
        <w:t xml:space="preserve"> and </w:t>
      </w:r>
      <w:r>
        <w:rPr>
          <w:rFonts w:ascii="Arial" w:cs="Arial" w:eastAsia="Arial" w:hAnsi="Arial"/>
          <w:sz w:val="17"/>
          <w:szCs w:val="17"/>
          <w:i w:val="1"/>
          <w:iCs w:val="1"/>
          <w:color w:val="auto"/>
        </w:rPr>
        <w:t>Derivatives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Hedging—Contracts in Entity’s Own Equity (Subtopic 815-40) </w:t>
      </w:r>
      <w:r>
        <w:rPr>
          <w:rFonts w:ascii="Arial" w:cs="Arial" w:eastAsia="Arial" w:hAnsi="Arial"/>
          <w:sz w:val="17"/>
          <w:szCs w:val="17"/>
          <w:color w:val="auto"/>
        </w:rPr>
        <w:t>(ASU 2020-06), which simplifies the accounting for convertible</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and contracts in an entity’s own equity. This guidance is effective for the Company in its annual reporting period beginning after December 15, 2023, including interim periods within that reporting period, with early adoption permitted only as of annual reporting periods beginning after December 15, 2020. The Company adopted ASU 2020-06 on a modified retrospective basis on January 1, 2023, and the adoption had no impact on its financial statements and related disclosures.</w:t>
      </w:r>
    </w:p>
    <w:p>
      <w:pPr>
        <w:spacing w:after="0" w:line="172" w:lineRule="exact"/>
        <w:rPr>
          <w:sz w:val="20"/>
          <w:szCs w:val="20"/>
          <w:color w:val="auto"/>
        </w:rPr>
      </w:pPr>
    </w:p>
    <w:p>
      <w:pPr>
        <w:ind w:left="420" w:right="80" w:firstLine="417"/>
        <w:spacing w:after="0" w:line="247" w:lineRule="auto"/>
        <w:rPr>
          <w:sz w:val="20"/>
          <w:szCs w:val="20"/>
          <w:color w:val="auto"/>
        </w:rPr>
      </w:pPr>
      <w:r>
        <w:rPr>
          <w:rFonts w:ascii="Arial" w:cs="Arial" w:eastAsia="Arial" w:hAnsi="Arial"/>
          <w:sz w:val="17"/>
          <w:szCs w:val="17"/>
          <w:color w:val="auto"/>
        </w:rPr>
        <w:t>As of December 31, 2023, several new accounting pronouncements had been issued by the Financial Accounting Standards Board with future adoption dates. All applicable accounting pronouncements will be adopted by the Company by the date required. Management is reviewing the impact of adoption of all pending accounting pronouncements but is not yet in a position to determine the impact on the Company’s financial statements and the notes thereto.</w:t>
      </w:r>
    </w:p>
    <w:p>
      <w:pPr>
        <w:spacing w:after="0" w:line="192" w:lineRule="exact"/>
        <w:rPr>
          <w:sz w:val="20"/>
          <w:szCs w:val="20"/>
          <w:color w:val="auto"/>
        </w:rPr>
      </w:pPr>
    </w:p>
    <w:p>
      <w:pPr>
        <w:ind w:left="1140" w:hanging="729"/>
        <w:spacing w:after="0"/>
        <w:tabs>
          <w:tab w:leader="none" w:pos="1140" w:val="left"/>
        </w:tabs>
        <w:numPr>
          <w:ilvl w:val="0"/>
          <w:numId w:val="104"/>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98" w:lineRule="exact"/>
        <w:rPr>
          <w:sz w:val="20"/>
          <w:szCs w:val="20"/>
          <w:color w:val="auto"/>
        </w:rPr>
      </w:pPr>
    </w:p>
    <w:p>
      <w:pPr>
        <w:ind w:left="420" w:right="20" w:firstLine="417"/>
        <w:spacing w:after="0" w:line="270" w:lineRule="auto"/>
        <w:rPr>
          <w:sz w:val="20"/>
          <w:szCs w:val="20"/>
          <w:color w:val="auto"/>
        </w:rPr>
      </w:pPr>
      <w:r>
        <w:rPr>
          <w:rFonts w:ascii="Arial" w:cs="Arial" w:eastAsia="Arial" w:hAnsi="Arial"/>
          <w:sz w:val="17"/>
          <w:szCs w:val="17"/>
          <w:color w:val="auto"/>
        </w:rPr>
        <w:t>The following tables summarize the Company’s financial assets measured at fair value on a recurring basis and their respective input levels based on the fair value hierarchy:</w:t>
      </w:r>
    </w:p>
    <w:p>
      <w:pPr>
        <w:spacing w:after="0" w:line="181" w:lineRule="exact"/>
        <w:rPr>
          <w:sz w:val="20"/>
          <w:szCs w:val="20"/>
          <w:color w:val="auto"/>
        </w:rPr>
      </w:pPr>
    </w:p>
    <w:tbl>
      <w:tblPr>
        <w:tblLayout w:type="fixed"/>
        <w:tblInd w:w="420" w:type="dxa"/>
        <w:tblCellMar>
          <w:top w:w="0" w:type="dxa"/>
          <w:left w:w="0" w:type="dxa"/>
          <w:bottom w:w="0" w:type="dxa"/>
          <w:right w:w="0" w:type="dxa"/>
        </w:tblCellMar>
      </w:tblPr>
      <w:tr>
        <w:trPr>
          <w:trHeight w:val="163"/>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2022 (in thousands)</w:t>
            </w:r>
          </w:p>
        </w:tc>
        <w:tc>
          <w:tcPr>
            <w:tcW w:w="240" w:type="dxa"/>
            <w:vAlign w:val="bottom"/>
          </w:tcPr>
          <w:p>
            <w:pPr>
              <w:spacing w:after="0"/>
              <w:rPr>
                <w:sz w:val="14"/>
                <w:szCs w:val="14"/>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2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rPr>
              <w:t>Fair Value Measurements Using</w:t>
            </w:r>
          </w:p>
        </w:tc>
        <w:tc>
          <w:tcPr>
            <w:tcW w:w="0" w:type="dxa"/>
            <w:vAlign w:val="bottom"/>
          </w:tcPr>
          <w:p>
            <w:pPr>
              <w:spacing w:after="0"/>
              <w:rPr>
                <w:sz w:val="1"/>
                <w:szCs w:val="1"/>
                <w:color w:val="auto"/>
              </w:rPr>
            </w:pPr>
          </w:p>
        </w:tc>
      </w:tr>
      <w:tr>
        <w:trPr>
          <w:trHeight w:val="146"/>
        </w:trPr>
        <w:tc>
          <w:tcPr>
            <w:tcW w:w="56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right"/>
              <w:ind w:right="700"/>
              <w:spacing w:after="0" w:line="146" w:lineRule="exact"/>
              <w:rPr>
                <w:sz w:val="20"/>
                <w:szCs w:val="20"/>
                <w:color w:val="auto"/>
              </w:rPr>
            </w:pPr>
            <w:r>
              <w:rPr>
                <w:rFonts w:ascii="Arial" w:cs="Arial" w:eastAsia="Arial" w:hAnsi="Arial"/>
                <w:sz w:val="14"/>
                <w:szCs w:val="14"/>
                <w:b w:val="1"/>
                <w:bCs w:val="1"/>
                <w:color w:val="auto"/>
              </w:rPr>
              <w:t>Level 1</w:t>
            </w:r>
          </w:p>
        </w:tc>
        <w:tc>
          <w:tcPr>
            <w:tcW w:w="960" w:type="dxa"/>
            <w:vAlign w:val="bottom"/>
            <w:tcBorders>
              <w:top w:val="single" w:sz="8" w:color="auto"/>
            </w:tcBorders>
            <w:gridSpan w:val="2"/>
          </w:tcPr>
          <w:p>
            <w:pPr>
              <w:jc w:val="right"/>
              <w:ind w:right="420"/>
              <w:spacing w:after="0" w:line="146"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7"/>
              <w:spacing w:after="0" w:line="146" w:lineRule="exact"/>
              <w:rPr>
                <w:sz w:val="20"/>
                <w:szCs w:val="20"/>
                <w:color w:val="auto"/>
              </w:rPr>
            </w:pPr>
            <w:r>
              <w:rPr>
                <w:rFonts w:ascii="Arial" w:cs="Arial" w:eastAsia="Arial" w:hAnsi="Arial"/>
                <w:sz w:val="14"/>
                <w:szCs w:val="14"/>
                <w:b w:val="1"/>
                <w:bCs w:val="1"/>
                <w:color w:val="auto"/>
                <w:w w:val="92"/>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60" w:type="dxa"/>
            <w:vAlign w:val="bottom"/>
            <w:tcBorders>
              <w:top w:val="single" w:sz="8" w:color="CCEEFF"/>
            </w:tcBorders>
            <w:shd w:val="clear" w:color="auto" w:fill="CCEEFF"/>
          </w:tcPr>
          <w:p>
            <w:pPr>
              <w:spacing w:after="0" w:line="172" w:lineRule="exact"/>
              <w:rPr>
                <w:sz w:val="20"/>
                <w:szCs w:val="20"/>
                <w:color w:val="auto"/>
              </w:rPr>
            </w:pPr>
            <w:r>
              <w:rPr>
                <w:rFonts w:ascii="Arial" w:cs="Arial" w:eastAsia="Arial" w:hAnsi="Arial"/>
                <w:sz w:val="17"/>
                <w:szCs w:val="17"/>
                <w:b w:val="1"/>
                <w:bCs w:val="1"/>
                <w:color w:val="auto"/>
              </w:rPr>
              <w:t>Assets</w:t>
            </w: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60" w:type="dxa"/>
            <w:vAlign w:val="bottom"/>
          </w:tcPr>
          <w:p>
            <w:pPr>
              <w:spacing w:after="0" w:line="192" w:lineRule="exact"/>
              <w:rPr>
                <w:sz w:val="20"/>
                <w:szCs w:val="20"/>
                <w:color w:val="auto"/>
              </w:rPr>
            </w:pPr>
            <w:r>
              <w:rPr>
                <w:rFonts w:ascii="Arial" w:cs="Arial" w:eastAsia="Arial" w:hAnsi="Arial"/>
                <w:sz w:val="17"/>
                <w:szCs w:val="17"/>
                <w:color w:val="auto"/>
              </w:rPr>
              <w:t>Money market funds (1)</w:t>
            </w:r>
          </w:p>
        </w:tc>
        <w:tc>
          <w:tcPr>
            <w:tcW w:w="240" w:type="dxa"/>
            <w:vAlign w:val="bottom"/>
          </w:tcPr>
          <w:p>
            <w:pPr>
              <w:spacing w:after="0" w:line="192" w:lineRule="exact"/>
              <w:rPr>
                <w:sz w:val="20"/>
                <w:szCs w:val="20"/>
                <w:color w:val="auto"/>
              </w:rPr>
            </w:pPr>
            <w:r>
              <w:rPr>
                <w:rFonts w:ascii="Arial" w:cs="Arial" w:eastAsia="Arial" w:hAnsi="Arial"/>
                <w:sz w:val="17"/>
                <w:szCs w:val="17"/>
                <w:color w:val="auto"/>
              </w:rPr>
              <w:t xml:space="preserve"> $  </w:t>
            </w:r>
          </w:p>
        </w:tc>
        <w:tc>
          <w:tcPr>
            <w:tcW w:w="1080" w:type="dxa"/>
            <w:vAlign w:val="bottom"/>
            <w:gridSpan w:val="2"/>
          </w:tcPr>
          <w:p>
            <w:pPr>
              <w:jc w:val="right"/>
              <w:ind w:right="60"/>
              <w:spacing w:after="0" w:line="192" w:lineRule="exact"/>
              <w:rPr>
                <w:sz w:val="20"/>
                <w:szCs w:val="20"/>
                <w:color w:val="auto"/>
              </w:rPr>
            </w:pPr>
            <w:r>
              <w:rPr>
                <w:rFonts w:ascii="Arial" w:cs="Arial" w:eastAsia="Arial" w:hAnsi="Arial"/>
                <w:sz w:val="17"/>
                <w:szCs w:val="17"/>
                <w:color w:val="auto"/>
                <w:w w:val="99"/>
              </w:rPr>
              <w:t>      9,078    </w:t>
            </w:r>
          </w:p>
        </w:tc>
        <w:tc>
          <w:tcPr>
            <w:tcW w:w="300" w:type="dxa"/>
            <w:vAlign w:val="bottom"/>
            <w:gridSpan w:val="2"/>
          </w:tcPr>
          <w:p>
            <w:pPr>
              <w:ind w:left="40"/>
              <w:spacing w:after="0" w:line="192" w:lineRule="exact"/>
              <w:rPr>
                <w:sz w:val="20"/>
                <w:szCs w:val="20"/>
                <w:color w:val="auto"/>
              </w:rPr>
            </w:pPr>
            <w:r>
              <w:rPr>
                <w:rFonts w:ascii="Arial" w:cs="Arial" w:eastAsia="Arial" w:hAnsi="Arial"/>
                <w:sz w:val="17"/>
                <w:szCs w:val="17"/>
                <w:color w:val="auto"/>
              </w:rPr>
              <w:t xml:space="preserve"> $  </w:t>
            </w:r>
          </w:p>
        </w:tc>
        <w:tc>
          <w:tcPr>
            <w:tcW w:w="1240" w:type="dxa"/>
            <w:vAlign w:val="bottom"/>
            <w:gridSpan w:val="3"/>
          </w:tcPr>
          <w:p>
            <w:pPr>
              <w:jc w:val="right"/>
              <w:spacing w:after="0" w:line="192" w:lineRule="exact"/>
              <w:rPr>
                <w:sz w:val="20"/>
                <w:szCs w:val="20"/>
                <w:color w:val="auto"/>
              </w:rPr>
            </w:pPr>
            <w:r>
              <w:rPr>
                <w:rFonts w:ascii="Arial" w:cs="Arial" w:eastAsia="Arial" w:hAnsi="Arial"/>
                <w:sz w:val="17"/>
                <w:szCs w:val="17"/>
                <w:color w:val="auto"/>
              </w:rPr>
              <w:t>      9,078      $</w:t>
            </w:r>
          </w:p>
        </w:tc>
        <w:tc>
          <w:tcPr>
            <w:tcW w:w="960" w:type="dxa"/>
            <w:vAlign w:val="bottom"/>
            <w:gridSpan w:val="2"/>
          </w:tcPr>
          <w:p>
            <w:pPr>
              <w:jc w:val="right"/>
              <w:ind w:right="80"/>
              <w:spacing w:after="0" w:line="192" w:lineRule="exact"/>
              <w:rPr>
                <w:sz w:val="20"/>
                <w:szCs w:val="20"/>
                <w:color w:val="auto"/>
              </w:rPr>
            </w:pPr>
            <w:r>
              <w:rPr>
                <w:rFonts w:ascii="Arial" w:cs="Arial" w:eastAsia="Arial" w:hAnsi="Arial"/>
                <w:sz w:val="17"/>
                <w:szCs w:val="17"/>
                <w:color w:val="auto"/>
                <w:w w:val="96"/>
              </w:rPr>
              <w:t>         —    </w:t>
            </w:r>
          </w:p>
        </w:tc>
        <w:tc>
          <w:tcPr>
            <w:tcW w:w="200" w:type="dxa"/>
            <w:vAlign w:val="bottom"/>
          </w:tcPr>
          <w:p>
            <w:pPr>
              <w:spacing w:after="0" w:line="192" w:lineRule="exact"/>
              <w:rPr>
                <w:sz w:val="20"/>
                <w:szCs w:val="20"/>
                <w:color w:val="auto"/>
              </w:rPr>
            </w:pPr>
            <w:r>
              <w:rPr>
                <w:rFonts w:ascii="Arial" w:cs="Arial" w:eastAsia="Arial" w:hAnsi="Arial"/>
                <w:sz w:val="17"/>
                <w:szCs w:val="17"/>
                <w:color w:val="auto"/>
              </w:rPr>
              <w:t xml:space="preserve"> $ </w:t>
            </w:r>
          </w:p>
        </w:tc>
        <w:tc>
          <w:tcPr>
            <w:tcW w:w="72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      —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6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U.S. government obligations (2)</w:t>
            </w: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line="192" w:lineRule="exact"/>
              <w:rPr>
                <w:sz w:val="20"/>
                <w:szCs w:val="20"/>
                <w:color w:val="auto"/>
              </w:rPr>
            </w:pPr>
            <w:r>
              <w:rPr>
                <w:rFonts w:ascii="Arial" w:cs="Arial" w:eastAsia="Arial" w:hAnsi="Arial"/>
                <w:sz w:val="17"/>
                <w:szCs w:val="17"/>
                <w:color w:val="auto"/>
              </w:rPr>
              <w:t>34,898    </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220"/>
              <w:spacing w:after="0" w:line="192" w:lineRule="exact"/>
              <w:rPr>
                <w:sz w:val="20"/>
                <w:szCs w:val="20"/>
                <w:color w:val="auto"/>
              </w:rPr>
            </w:pPr>
            <w:r>
              <w:rPr>
                <w:rFonts w:ascii="Arial" w:cs="Arial" w:eastAsia="Arial" w:hAnsi="Arial"/>
                <w:sz w:val="17"/>
                <w:szCs w:val="17"/>
                <w:color w:val="auto"/>
              </w:rPr>
              <w:t>—    </w:t>
            </w:r>
          </w:p>
        </w:tc>
        <w:tc>
          <w:tcPr>
            <w:tcW w:w="960" w:type="dxa"/>
            <w:vAlign w:val="bottom"/>
            <w:gridSpan w:val="2"/>
            <w:shd w:val="clear" w:color="auto" w:fill="CCEEFF"/>
          </w:tcPr>
          <w:p>
            <w:pPr>
              <w:jc w:val="right"/>
              <w:ind w:right="80"/>
              <w:spacing w:after="0" w:line="192" w:lineRule="exact"/>
              <w:rPr>
                <w:sz w:val="20"/>
                <w:szCs w:val="20"/>
                <w:color w:val="auto"/>
              </w:rPr>
            </w:pPr>
            <w:r>
              <w:rPr>
                <w:rFonts w:ascii="Arial" w:cs="Arial" w:eastAsia="Arial" w:hAnsi="Arial"/>
                <w:sz w:val="17"/>
                <w:szCs w:val="17"/>
                <w:color w:val="auto"/>
              </w:rPr>
              <w:t>34,898    </w:t>
            </w: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60" w:type="dxa"/>
            <w:vAlign w:val="bottom"/>
          </w:tcPr>
          <w:p>
            <w:pPr>
              <w:spacing w:after="0" w:line="192" w:lineRule="exact"/>
              <w:rPr>
                <w:sz w:val="20"/>
                <w:szCs w:val="20"/>
                <w:color w:val="auto"/>
              </w:rPr>
            </w:pPr>
            <w:r>
              <w:rPr>
                <w:rFonts w:ascii="Arial" w:cs="Arial" w:eastAsia="Arial" w:hAnsi="Arial"/>
                <w:sz w:val="17"/>
                <w:szCs w:val="17"/>
                <w:color w:val="auto"/>
              </w:rPr>
              <w:t>Corporate debt securities (2)</w:t>
            </w:r>
          </w:p>
        </w:tc>
        <w:tc>
          <w:tcPr>
            <w:tcW w:w="240" w:type="dxa"/>
            <w:vAlign w:val="bottom"/>
          </w:tcPr>
          <w:p>
            <w:pPr>
              <w:spacing w:after="0"/>
              <w:rPr>
                <w:sz w:val="16"/>
                <w:szCs w:val="16"/>
                <w:color w:val="auto"/>
              </w:rPr>
            </w:pPr>
          </w:p>
        </w:tc>
        <w:tc>
          <w:tcPr>
            <w:tcW w:w="1080" w:type="dxa"/>
            <w:vAlign w:val="bottom"/>
            <w:gridSpan w:val="2"/>
          </w:tcPr>
          <w:p>
            <w:pPr>
              <w:jc w:val="right"/>
              <w:ind w:right="60"/>
              <w:spacing w:after="0" w:line="192" w:lineRule="exact"/>
              <w:rPr>
                <w:sz w:val="20"/>
                <w:szCs w:val="20"/>
                <w:color w:val="auto"/>
              </w:rPr>
            </w:pPr>
            <w:r>
              <w:rPr>
                <w:rFonts w:ascii="Arial" w:cs="Arial" w:eastAsia="Arial" w:hAnsi="Arial"/>
                <w:sz w:val="17"/>
                <w:szCs w:val="17"/>
                <w:color w:val="auto"/>
              </w:rPr>
              <w:t>17,279    </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3"/>
          </w:tcPr>
          <w:p>
            <w:pPr>
              <w:jc w:val="right"/>
              <w:ind w:right="220"/>
              <w:spacing w:after="0" w:line="192" w:lineRule="exact"/>
              <w:rPr>
                <w:sz w:val="20"/>
                <w:szCs w:val="20"/>
                <w:color w:val="auto"/>
              </w:rPr>
            </w:pPr>
            <w:r>
              <w:rPr>
                <w:rFonts w:ascii="Arial" w:cs="Arial" w:eastAsia="Arial" w:hAnsi="Arial"/>
                <w:sz w:val="17"/>
                <w:szCs w:val="17"/>
                <w:color w:val="auto"/>
              </w:rPr>
              <w:t>—    </w:t>
            </w:r>
          </w:p>
        </w:tc>
        <w:tc>
          <w:tcPr>
            <w:tcW w:w="960" w:type="dxa"/>
            <w:vAlign w:val="bottom"/>
            <w:gridSpan w:val="2"/>
          </w:tcPr>
          <w:p>
            <w:pPr>
              <w:jc w:val="right"/>
              <w:ind w:right="80"/>
              <w:spacing w:after="0" w:line="192" w:lineRule="exact"/>
              <w:rPr>
                <w:sz w:val="20"/>
                <w:szCs w:val="20"/>
                <w:color w:val="auto"/>
              </w:rPr>
            </w:pPr>
            <w:r>
              <w:rPr>
                <w:rFonts w:ascii="Arial" w:cs="Arial" w:eastAsia="Arial" w:hAnsi="Arial"/>
                <w:sz w:val="17"/>
                <w:szCs w:val="17"/>
                <w:color w:val="auto"/>
              </w:rPr>
              <w:t>17,279    </w:t>
            </w:r>
          </w:p>
        </w:tc>
        <w:tc>
          <w:tcPr>
            <w:tcW w:w="200" w:type="dxa"/>
            <w:vAlign w:val="bottom"/>
          </w:tcPr>
          <w:p>
            <w:pPr>
              <w:spacing w:after="0"/>
              <w:rPr>
                <w:sz w:val="16"/>
                <w:szCs w:val="16"/>
                <w:color w:val="auto"/>
              </w:rPr>
            </w:pPr>
          </w:p>
        </w:tc>
        <w:tc>
          <w:tcPr>
            <w:tcW w:w="72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6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Commercial paper (2)</w:t>
            </w: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line="192" w:lineRule="exact"/>
              <w:rPr>
                <w:sz w:val="20"/>
                <w:szCs w:val="20"/>
                <w:color w:val="auto"/>
              </w:rPr>
            </w:pPr>
            <w:r>
              <w:rPr>
                <w:rFonts w:ascii="Arial" w:cs="Arial" w:eastAsia="Arial" w:hAnsi="Arial"/>
                <w:sz w:val="17"/>
                <w:szCs w:val="17"/>
                <w:color w:val="auto"/>
              </w:rPr>
              <w:t>3,484    </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220"/>
              <w:spacing w:after="0" w:line="192" w:lineRule="exact"/>
              <w:rPr>
                <w:sz w:val="20"/>
                <w:szCs w:val="20"/>
                <w:color w:val="auto"/>
              </w:rPr>
            </w:pPr>
            <w:r>
              <w:rPr>
                <w:rFonts w:ascii="Arial" w:cs="Arial" w:eastAsia="Arial" w:hAnsi="Arial"/>
                <w:sz w:val="17"/>
                <w:szCs w:val="17"/>
                <w:color w:val="auto"/>
              </w:rPr>
              <w:t>—    </w:t>
            </w:r>
          </w:p>
        </w:tc>
        <w:tc>
          <w:tcPr>
            <w:tcW w:w="960" w:type="dxa"/>
            <w:vAlign w:val="bottom"/>
            <w:gridSpan w:val="2"/>
            <w:shd w:val="clear" w:color="auto" w:fill="CCEEFF"/>
          </w:tcPr>
          <w:p>
            <w:pPr>
              <w:jc w:val="right"/>
              <w:ind w:right="80"/>
              <w:spacing w:after="0" w:line="192" w:lineRule="exact"/>
              <w:rPr>
                <w:sz w:val="20"/>
                <w:szCs w:val="20"/>
                <w:color w:val="auto"/>
              </w:rPr>
            </w:pPr>
            <w:r>
              <w:rPr>
                <w:rFonts w:ascii="Arial" w:cs="Arial" w:eastAsia="Arial" w:hAnsi="Arial"/>
                <w:sz w:val="17"/>
                <w:szCs w:val="17"/>
                <w:color w:val="auto"/>
              </w:rPr>
              <w:t>3,484    </w:t>
            </w: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60" w:type="dxa"/>
            <w:vAlign w:val="bottom"/>
          </w:tcPr>
          <w:p>
            <w:pPr>
              <w:spacing w:after="0" w:line="192" w:lineRule="exact"/>
              <w:rPr>
                <w:sz w:val="20"/>
                <w:szCs w:val="20"/>
                <w:color w:val="auto"/>
              </w:rPr>
            </w:pPr>
            <w:r>
              <w:rPr>
                <w:rFonts w:ascii="Arial" w:cs="Arial" w:eastAsia="Arial" w:hAnsi="Arial"/>
                <w:sz w:val="17"/>
                <w:szCs w:val="17"/>
                <w:color w:val="auto"/>
              </w:rPr>
              <w:t>Asset backed securities (2)</w:t>
            </w:r>
          </w:p>
        </w:tc>
        <w:tc>
          <w:tcPr>
            <w:tcW w:w="240" w:type="dxa"/>
            <w:vAlign w:val="bottom"/>
          </w:tcPr>
          <w:p>
            <w:pPr>
              <w:spacing w:after="0"/>
              <w:rPr>
                <w:sz w:val="16"/>
                <w:szCs w:val="16"/>
                <w:color w:val="auto"/>
              </w:rPr>
            </w:pPr>
          </w:p>
        </w:tc>
        <w:tc>
          <w:tcPr>
            <w:tcW w:w="1080" w:type="dxa"/>
            <w:vAlign w:val="bottom"/>
            <w:gridSpan w:val="2"/>
          </w:tcPr>
          <w:p>
            <w:pPr>
              <w:jc w:val="right"/>
              <w:ind w:right="60"/>
              <w:spacing w:after="0" w:line="192" w:lineRule="exact"/>
              <w:rPr>
                <w:sz w:val="20"/>
                <w:szCs w:val="20"/>
                <w:color w:val="auto"/>
              </w:rPr>
            </w:pPr>
            <w:r>
              <w:rPr>
                <w:rFonts w:ascii="Arial" w:cs="Arial" w:eastAsia="Arial" w:hAnsi="Arial"/>
                <w:sz w:val="17"/>
                <w:szCs w:val="17"/>
                <w:color w:val="auto"/>
              </w:rPr>
              <w:t>105    </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3"/>
          </w:tcPr>
          <w:p>
            <w:pPr>
              <w:jc w:val="right"/>
              <w:ind w:right="220"/>
              <w:spacing w:after="0" w:line="192" w:lineRule="exact"/>
              <w:rPr>
                <w:sz w:val="20"/>
                <w:szCs w:val="20"/>
                <w:color w:val="auto"/>
              </w:rPr>
            </w:pPr>
            <w:r>
              <w:rPr>
                <w:rFonts w:ascii="Arial" w:cs="Arial" w:eastAsia="Arial" w:hAnsi="Arial"/>
                <w:sz w:val="17"/>
                <w:szCs w:val="17"/>
                <w:color w:val="auto"/>
              </w:rPr>
              <w:t>—    </w:t>
            </w:r>
          </w:p>
        </w:tc>
        <w:tc>
          <w:tcPr>
            <w:tcW w:w="960" w:type="dxa"/>
            <w:vAlign w:val="bottom"/>
            <w:gridSpan w:val="2"/>
          </w:tcPr>
          <w:p>
            <w:pPr>
              <w:jc w:val="right"/>
              <w:ind w:right="80"/>
              <w:spacing w:after="0" w:line="192" w:lineRule="exact"/>
              <w:rPr>
                <w:sz w:val="20"/>
                <w:szCs w:val="20"/>
                <w:color w:val="auto"/>
              </w:rPr>
            </w:pPr>
            <w:r>
              <w:rPr>
                <w:rFonts w:ascii="Arial" w:cs="Arial" w:eastAsia="Arial" w:hAnsi="Arial"/>
                <w:sz w:val="17"/>
                <w:szCs w:val="17"/>
                <w:color w:val="auto"/>
              </w:rPr>
              <w:t>105    </w:t>
            </w:r>
          </w:p>
        </w:tc>
        <w:tc>
          <w:tcPr>
            <w:tcW w:w="200" w:type="dxa"/>
            <w:vAlign w:val="bottom"/>
          </w:tcPr>
          <w:p>
            <w:pPr>
              <w:spacing w:after="0"/>
              <w:rPr>
                <w:sz w:val="16"/>
                <w:szCs w:val="16"/>
                <w:color w:val="auto"/>
              </w:rPr>
            </w:pPr>
          </w:p>
        </w:tc>
        <w:tc>
          <w:tcPr>
            <w:tcW w:w="72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566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Total fair value of assets</w:t>
            </w:r>
          </w:p>
        </w:tc>
        <w:tc>
          <w:tcPr>
            <w:tcW w:w="24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 $</w:t>
            </w:r>
          </w:p>
        </w:tc>
        <w:tc>
          <w:tcPr>
            <w:tcW w:w="1080" w:type="dxa"/>
            <w:vAlign w:val="bottom"/>
            <w:gridSpan w:val="2"/>
            <w:shd w:val="clear" w:color="auto" w:fill="CCEEFF"/>
          </w:tcPr>
          <w:p>
            <w:pPr>
              <w:jc w:val="right"/>
              <w:ind w:right="60"/>
              <w:spacing w:after="0" w:line="192" w:lineRule="exact"/>
              <w:rPr>
                <w:sz w:val="20"/>
                <w:szCs w:val="20"/>
                <w:color w:val="auto"/>
              </w:rPr>
            </w:pPr>
            <w:r>
              <w:rPr>
                <w:rFonts w:ascii="Arial" w:cs="Arial" w:eastAsia="Arial" w:hAnsi="Arial"/>
                <w:sz w:val="17"/>
                <w:szCs w:val="17"/>
                <w:color w:val="auto"/>
              </w:rPr>
              <w:t>64,844    </w:t>
            </w:r>
          </w:p>
        </w:tc>
        <w:tc>
          <w:tcPr>
            <w:tcW w:w="300" w:type="dxa"/>
            <w:vAlign w:val="bottom"/>
            <w:gridSpan w:val="2"/>
            <w:shd w:val="clear" w:color="auto" w:fill="CCEEFF"/>
          </w:tcPr>
          <w:p>
            <w:pPr>
              <w:ind w:left="40"/>
              <w:spacing w:after="0" w:line="192" w:lineRule="exact"/>
              <w:rPr>
                <w:sz w:val="20"/>
                <w:szCs w:val="20"/>
                <w:color w:val="auto"/>
              </w:rPr>
            </w:pPr>
            <w:r>
              <w:rPr>
                <w:rFonts w:ascii="Arial" w:cs="Arial" w:eastAsia="Arial" w:hAnsi="Arial"/>
                <w:sz w:val="17"/>
                <w:szCs w:val="17"/>
                <w:color w:val="auto"/>
              </w:rPr>
              <w:t> $</w:t>
            </w:r>
          </w:p>
        </w:tc>
        <w:tc>
          <w:tcPr>
            <w:tcW w:w="1240" w:type="dxa"/>
            <w:vAlign w:val="bottom"/>
            <w:gridSpan w:val="3"/>
            <w:shd w:val="clear" w:color="auto" w:fill="CCEEFF"/>
          </w:tcPr>
          <w:p>
            <w:pPr>
              <w:jc w:val="right"/>
              <w:spacing w:after="0" w:line="192" w:lineRule="exact"/>
              <w:rPr>
                <w:sz w:val="20"/>
                <w:szCs w:val="20"/>
                <w:color w:val="auto"/>
              </w:rPr>
            </w:pPr>
            <w:r>
              <w:rPr>
                <w:rFonts w:ascii="Arial" w:cs="Arial" w:eastAsia="Arial" w:hAnsi="Arial"/>
                <w:sz w:val="17"/>
                <w:szCs w:val="17"/>
                <w:color w:val="auto"/>
              </w:rPr>
              <w:t>9,078      $</w:t>
            </w:r>
          </w:p>
        </w:tc>
        <w:tc>
          <w:tcPr>
            <w:tcW w:w="960" w:type="dxa"/>
            <w:vAlign w:val="bottom"/>
            <w:gridSpan w:val="2"/>
            <w:shd w:val="clear" w:color="auto" w:fill="CCEEFF"/>
          </w:tcPr>
          <w:p>
            <w:pPr>
              <w:jc w:val="right"/>
              <w:ind w:right="80"/>
              <w:spacing w:after="0" w:line="192" w:lineRule="exact"/>
              <w:rPr>
                <w:sz w:val="20"/>
                <w:szCs w:val="20"/>
                <w:color w:val="auto"/>
              </w:rPr>
            </w:pPr>
            <w:r>
              <w:rPr>
                <w:rFonts w:ascii="Arial" w:cs="Arial" w:eastAsia="Arial" w:hAnsi="Arial"/>
                <w:sz w:val="17"/>
                <w:szCs w:val="17"/>
                <w:color w:val="auto"/>
              </w:rPr>
              <w:t>55,766    </w:t>
            </w:r>
          </w:p>
        </w:tc>
        <w:tc>
          <w:tcPr>
            <w:tcW w:w="20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 $</w:t>
            </w:r>
          </w:p>
        </w:tc>
        <w:tc>
          <w:tcPr>
            <w:tcW w:w="72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820" w:hanging="409"/>
        <w:spacing w:after="0"/>
        <w:tabs>
          <w:tab w:leader="none" w:pos="82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Included in cash and cash equivalents on the balance sheets.</w:t>
      </w:r>
    </w:p>
    <w:p>
      <w:pPr>
        <w:spacing w:after="0" w:line="20" w:lineRule="exact"/>
        <w:rPr>
          <w:rFonts w:ascii="Arial" w:cs="Arial" w:eastAsia="Arial" w:hAnsi="Arial"/>
          <w:sz w:val="15"/>
          <w:szCs w:val="15"/>
          <w:color w:val="auto"/>
        </w:rPr>
      </w:pPr>
    </w:p>
    <w:p>
      <w:pPr>
        <w:ind w:left="820" w:hanging="409"/>
        <w:spacing w:after="0"/>
        <w:tabs>
          <w:tab w:leader="none" w:pos="82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Included in short-term investments on the balance sheets.</w:t>
      </w:r>
    </w:p>
    <w:p>
      <w:pPr>
        <w:spacing w:after="0" w:line="1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0840"/>
          </w:cols>
          <w:pgMar w:left="320" w:top="439" w:right="7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300" w:lineRule="exact"/>
        <w:rPr>
          <w:sz w:val="20"/>
          <w:szCs w:val="20"/>
          <w:color w:val="auto"/>
        </w:rPr>
      </w:pPr>
    </w:p>
    <w:tbl>
      <w:tblPr>
        <w:tblLayout w:type="fixed"/>
        <w:tblInd w:w="420" w:type="dxa"/>
        <w:tblCellMar>
          <w:top w:w="0" w:type="dxa"/>
          <w:left w:w="0" w:type="dxa"/>
          <w:bottom w:w="0" w:type="dxa"/>
          <w:right w:w="0" w:type="dxa"/>
        </w:tblCellMar>
      </w:tblPr>
      <w:tr>
        <w:trPr>
          <w:trHeight w:val="163"/>
        </w:trPr>
        <w:tc>
          <w:tcPr>
            <w:tcW w:w="3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2023 (in thousands)</w:t>
            </w: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ind w:left="420"/>
              <w:spacing w:after="0"/>
              <w:rPr>
                <w:sz w:val="20"/>
                <w:szCs w:val="20"/>
                <w:color w:val="auto"/>
              </w:rPr>
            </w:pPr>
            <w:r>
              <w:rPr>
                <w:rFonts w:ascii="Arial" w:cs="Arial" w:eastAsia="Arial" w:hAnsi="Arial"/>
                <w:sz w:val="14"/>
                <w:szCs w:val="14"/>
                <w:b w:val="1"/>
                <w:bCs w:val="1"/>
                <w:color w:val="auto"/>
                <w:w w:val="96"/>
              </w:rPr>
              <w:t>Fair Value Measurements Using</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940" w:type="dxa"/>
            <w:vAlign w:val="bottom"/>
            <w:gridSpan w:val="2"/>
            <w:vMerge w:val="continue"/>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3"/>
          </w:tcPr>
          <w:p>
            <w:pPr>
              <w:jc w:val="right"/>
              <w:ind w:right="740"/>
              <w:spacing w:after="0" w:line="146" w:lineRule="exact"/>
              <w:rPr>
                <w:sz w:val="20"/>
                <w:szCs w:val="20"/>
                <w:color w:val="auto"/>
              </w:rPr>
            </w:pPr>
            <w:r>
              <w:rPr>
                <w:rFonts w:ascii="Arial" w:cs="Arial" w:eastAsia="Arial" w:hAnsi="Arial"/>
                <w:sz w:val="14"/>
                <w:szCs w:val="14"/>
                <w:b w:val="1"/>
                <w:bCs w:val="1"/>
                <w:color w:val="auto"/>
              </w:rPr>
              <w:t>Level 1</w:t>
            </w:r>
          </w:p>
        </w:tc>
        <w:tc>
          <w:tcPr>
            <w:tcW w:w="960" w:type="dxa"/>
            <w:vAlign w:val="bottom"/>
            <w:gridSpan w:val="2"/>
          </w:tcPr>
          <w:p>
            <w:pPr>
              <w:jc w:val="right"/>
              <w:ind w:right="420"/>
              <w:spacing w:after="0" w:line="146"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2"/>
                <w:szCs w:val="12"/>
                <w:color w:val="auto"/>
              </w:rPr>
            </w:pPr>
          </w:p>
        </w:tc>
        <w:tc>
          <w:tcPr>
            <w:tcW w:w="660" w:type="dxa"/>
            <w:vAlign w:val="bottom"/>
          </w:tcPr>
          <w:p>
            <w:pPr>
              <w:spacing w:after="0" w:line="146"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Borders>
              <w:top w:val="single" w:sz="8" w:color="CCEEFF"/>
            </w:tcBorders>
            <w:shd w:val="clear" w:color="auto" w:fill="CCEEFF"/>
          </w:tcPr>
          <w:p>
            <w:pPr>
              <w:spacing w:after="0" w:line="172" w:lineRule="exact"/>
              <w:rPr>
                <w:sz w:val="20"/>
                <w:szCs w:val="20"/>
                <w:color w:val="auto"/>
              </w:rPr>
            </w:pPr>
            <w:r>
              <w:rPr>
                <w:rFonts w:ascii="Arial" w:cs="Arial" w:eastAsia="Arial" w:hAnsi="Arial"/>
                <w:sz w:val="17"/>
                <w:szCs w:val="17"/>
                <w:b w:val="1"/>
                <w:bCs w:val="1"/>
                <w:color w:val="auto"/>
              </w:rPr>
              <w:t>Assets</w:t>
            </w:r>
          </w:p>
        </w:tc>
        <w:tc>
          <w:tcPr>
            <w:tcW w:w="15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20" w:type="dxa"/>
            <w:vAlign w:val="bottom"/>
          </w:tcPr>
          <w:p>
            <w:pPr>
              <w:spacing w:after="0" w:line="192" w:lineRule="exact"/>
              <w:rPr>
                <w:sz w:val="20"/>
                <w:szCs w:val="20"/>
                <w:color w:val="auto"/>
              </w:rPr>
            </w:pPr>
            <w:r>
              <w:rPr>
                <w:rFonts w:ascii="Arial" w:cs="Arial" w:eastAsia="Arial" w:hAnsi="Arial"/>
                <w:sz w:val="17"/>
                <w:szCs w:val="17"/>
                <w:color w:val="auto"/>
              </w:rPr>
              <w:t>Money market funds (1)</w:t>
            </w:r>
          </w:p>
        </w:tc>
        <w:tc>
          <w:tcPr>
            <w:tcW w:w="1820" w:type="dxa"/>
            <w:vAlign w:val="bottom"/>
            <w:gridSpan w:val="2"/>
          </w:tcPr>
          <w:p>
            <w:pPr>
              <w:ind w:left="1560"/>
              <w:spacing w:after="0" w:line="192" w:lineRule="exact"/>
              <w:rPr>
                <w:sz w:val="20"/>
                <w:szCs w:val="20"/>
                <w:color w:val="auto"/>
              </w:rPr>
            </w:pPr>
            <w:r>
              <w:rPr>
                <w:rFonts w:ascii="Arial" w:cs="Arial" w:eastAsia="Arial" w:hAnsi="Arial"/>
                <w:sz w:val="17"/>
                <w:szCs w:val="17"/>
                <w:color w:val="auto"/>
              </w:rPr>
              <w:t xml:space="preserve"> $  </w:t>
            </w:r>
          </w:p>
        </w:tc>
        <w:tc>
          <w:tcPr>
            <w:tcW w:w="1140" w:type="dxa"/>
            <w:vAlign w:val="bottom"/>
            <w:gridSpan w:val="2"/>
          </w:tcPr>
          <w:p>
            <w:pPr>
              <w:jc w:val="right"/>
              <w:ind w:right="40"/>
              <w:spacing w:after="0" w:line="192" w:lineRule="exact"/>
              <w:rPr>
                <w:sz w:val="20"/>
                <w:szCs w:val="20"/>
                <w:color w:val="auto"/>
              </w:rPr>
            </w:pPr>
            <w:r>
              <w:rPr>
                <w:rFonts w:ascii="Arial" w:cs="Arial" w:eastAsia="Arial" w:hAnsi="Arial"/>
                <w:sz w:val="17"/>
                <w:szCs w:val="17"/>
                <w:color w:val="auto"/>
                <w:w w:val="97"/>
              </w:rPr>
              <w:t>      21,737    </w:t>
            </w:r>
          </w:p>
        </w:tc>
        <w:tc>
          <w:tcPr>
            <w:tcW w:w="320" w:type="dxa"/>
            <w:vAlign w:val="bottom"/>
            <w:gridSpan w:val="2"/>
          </w:tcPr>
          <w:p>
            <w:pPr>
              <w:ind w:left="60"/>
              <w:spacing w:after="0" w:line="192" w:lineRule="exact"/>
              <w:rPr>
                <w:sz w:val="20"/>
                <w:szCs w:val="20"/>
                <w:color w:val="auto"/>
              </w:rPr>
            </w:pPr>
            <w:r>
              <w:rPr>
                <w:rFonts w:ascii="Arial" w:cs="Arial" w:eastAsia="Arial" w:hAnsi="Arial"/>
                <w:sz w:val="17"/>
                <w:szCs w:val="17"/>
                <w:color w:val="auto"/>
              </w:rPr>
              <w:t xml:space="preserve"> $  </w:t>
            </w:r>
          </w:p>
        </w:tc>
        <w:tc>
          <w:tcPr>
            <w:tcW w:w="1320" w:type="dxa"/>
            <w:vAlign w:val="bottom"/>
            <w:gridSpan w:val="3"/>
          </w:tcPr>
          <w:p>
            <w:pPr>
              <w:jc w:val="right"/>
              <w:spacing w:after="0" w:line="192" w:lineRule="exact"/>
              <w:rPr>
                <w:sz w:val="20"/>
                <w:szCs w:val="20"/>
                <w:color w:val="auto"/>
              </w:rPr>
            </w:pPr>
            <w:r>
              <w:rPr>
                <w:rFonts w:ascii="Arial" w:cs="Arial" w:eastAsia="Arial" w:hAnsi="Arial"/>
                <w:sz w:val="17"/>
                <w:szCs w:val="17"/>
                <w:color w:val="auto"/>
              </w:rPr>
              <w:t>      21,737      $</w:t>
            </w:r>
          </w:p>
        </w:tc>
        <w:tc>
          <w:tcPr>
            <w:tcW w:w="960" w:type="dxa"/>
            <w:vAlign w:val="bottom"/>
            <w:gridSpan w:val="2"/>
          </w:tcPr>
          <w:p>
            <w:pPr>
              <w:jc w:val="right"/>
              <w:ind w:right="80"/>
              <w:spacing w:after="0" w:line="192" w:lineRule="exact"/>
              <w:rPr>
                <w:sz w:val="20"/>
                <w:szCs w:val="20"/>
                <w:color w:val="auto"/>
              </w:rPr>
            </w:pPr>
            <w:r>
              <w:rPr>
                <w:rFonts w:ascii="Arial" w:cs="Arial" w:eastAsia="Arial" w:hAnsi="Arial"/>
                <w:sz w:val="17"/>
                <w:szCs w:val="17"/>
                <w:color w:val="auto"/>
                <w:w w:val="96"/>
              </w:rPr>
              <w:t>         —    </w:t>
            </w:r>
          </w:p>
        </w:tc>
        <w:tc>
          <w:tcPr>
            <w:tcW w:w="200" w:type="dxa"/>
            <w:vAlign w:val="bottom"/>
          </w:tcPr>
          <w:p>
            <w:pPr>
              <w:spacing w:after="0" w:line="192" w:lineRule="exact"/>
              <w:rPr>
                <w:sz w:val="20"/>
                <w:szCs w:val="20"/>
                <w:color w:val="auto"/>
              </w:rPr>
            </w:pPr>
            <w:r>
              <w:rPr>
                <w:rFonts w:ascii="Arial" w:cs="Arial" w:eastAsia="Arial" w:hAnsi="Arial"/>
                <w:sz w:val="17"/>
                <w:szCs w:val="17"/>
                <w:color w:val="auto"/>
              </w:rPr>
              <w:t xml:space="preserve"> $ </w:t>
            </w:r>
          </w:p>
        </w:tc>
        <w:tc>
          <w:tcPr>
            <w:tcW w:w="72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      —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2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U.S. government obligations (2)</w:t>
            </w:r>
          </w:p>
        </w:tc>
        <w:tc>
          <w:tcPr>
            <w:tcW w:w="1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0"/>
              <w:spacing w:after="0" w:line="192" w:lineRule="exact"/>
              <w:rPr>
                <w:sz w:val="20"/>
                <w:szCs w:val="20"/>
                <w:color w:val="auto"/>
              </w:rPr>
            </w:pPr>
            <w:r>
              <w:rPr>
                <w:rFonts w:ascii="Arial" w:cs="Arial" w:eastAsia="Arial" w:hAnsi="Arial"/>
                <w:sz w:val="17"/>
                <w:szCs w:val="17"/>
                <w:color w:val="auto"/>
              </w:rPr>
              <w:t>92,143    </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220"/>
              <w:spacing w:after="0" w:line="192" w:lineRule="exact"/>
              <w:rPr>
                <w:sz w:val="20"/>
                <w:szCs w:val="20"/>
                <w:color w:val="auto"/>
              </w:rPr>
            </w:pPr>
            <w:r>
              <w:rPr>
                <w:rFonts w:ascii="Arial" w:cs="Arial" w:eastAsia="Arial" w:hAnsi="Arial"/>
                <w:sz w:val="17"/>
                <w:szCs w:val="17"/>
                <w:color w:val="auto"/>
              </w:rPr>
              <w:t>—    </w:t>
            </w:r>
          </w:p>
        </w:tc>
        <w:tc>
          <w:tcPr>
            <w:tcW w:w="960" w:type="dxa"/>
            <w:vAlign w:val="bottom"/>
            <w:gridSpan w:val="2"/>
            <w:shd w:val="clear" w:color="auto" w:fill="CCEEFF"/>
          </w:tcPr>
          <w:p>
            <w:pPr>
              <w:jc w:val="right"/>
              <w:ind w:right="80"/>
              <w:spacing w:after="0" w:line="192" w:lineRule="exact"/>
              <w:rPr>
                <w:sz w:val="20"/>
                <w:szCs w:val="20"/>
                <w:color w:val="auto"/>
              </w:rPr>
            </w:pPr>
            <w:r>
              <w:rPr>
                <w:rFonts w:ascii="Arial" w:cs="Arial" w:eastAsia="Arial" w:hAnsi="Arial"/>
                <w:sz w:val="17"/>
                <w:szCs w:val="17"/>
                <w:color w:val="auto"/>
              </w:rPr>
              <w:t>92,143    </w:t>
            </w: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20" w:type="dxa"/>
            <w:vAlign w:val="bottom"/>
          </w:tcPr>
          <w:p>
            <w:pPr>
              <w:spacing w:after="0" w:line="192" w:lineRule="exact"/>
              <w:rPr>
                <w:sz w:val="20"/>
                <w:szCs w:val="20"/>
                <w:color w:val="auto"/>
              </w:rPr>
            </w:pPr>
            <w:r>
              <w:rPr>
                <w:rFonts w:ascii="Arial" w:cs="Arial" w:eastAsia="Arial" w:hAnsi="Arial"/>
                <w:sz w:val="17"/>
                <w:szCs w:val="17"/>
                <w:color w:val="auto"/>
              </w:rPr>
              <w:t>Corporate debt securities (2)</w:t>
            </w: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40"/>
              <w:spacing w:after="0" w:line="192" w:lineRule="exact"/>
              <w:rPr>
                <w:sz w:val="20"/>
                <w:szCs w:val="20"/>
                <w:color w:val="auto"/>
              </w:rPr>
            </w:pPr>
            <w:r>
              <w:rPr>
                <w:rFonts w:ascii="Arial" w:cs="Arial" w:eastAsia="Arial" w:hAnsi="Arial"/>
                <w:sz w:val="17"/>
                <w:szCs w:val="17"/>
                <w:color w:val="auto"/>
              </w:rPr>
              <w:t>4,903    </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jc w:val="right"/>
              <w:ind w:right="220"/>
              <w:spacing w:after="0" w:line="192" w:lineRule="exact"/>
              <w:rPr>
                <w:sz w:val="20"/>
                <w:szCs w:val="20"/>
                <w:color w:val="auto"/>
              </w:rPr>
            </w:pPr>
            <w:r>
              <w:rPr>
                <w:rFonts w:ascii="Arial" w:cs="Arial" w:eastAsia="Arial" w:hAnsi="Arial"/>
                <w:sz w:val="17"/>
                <w:szCs w:val="17"/>
                <w:color w:val="auto"/>
              </w:rPr>
              <w:t>—    </w:t>
            </w:r>
          </w:p>
        </w:tc>
        <w:tc>
          <w:tcPr>
            <w:tcW w:w="960" w:type="dxa"/>
            <w:vAlign w:val="bottom"/>
            <w:gridSpan w:val="2"/>
          </w:tcPr>
          <w:p>
            <w:pPr>
              <w:jc w:val="right"/>
              <w:ind w:right="80"/>
              <w:spacing w:after="0" w:line="192" w:lineRule="exact"/>
              <w:rPr>
                <w:sz w:val="20"/>
                <w:szCs w:val="20"/>
                <w:color w:val="auto"/>
              </w:rPr>
            </w:pPr>
            <w:r>
              <w:rPr>
                <w:rFonts w:ascii="Arial" w:cs="Arial" w:eastAsia="Arial" w:hAnsi="Arial"/>
                <w:sz w:val="17"/>
                <w:szCs w:val="17"/>
                <w:color w:val="auto"/>
              </w:rPr>
              <w:t>4,903    </w:t>
            </w:r>
          </w:p>
        </w:tc>
        <w:tc>
          <w:tcPr>
            <w:tcW w:w="200" w:type="dxa"/>
            <w:vAlign w:val="bottom"/>
          </w:tcPr>
          <w:p>
            <w:pPr>
              <w:spacing w:after="0"/>
              <w:rPr>
                <w:sz w:val="16"/>
                <w:szCs w:val="16"/>
                <w:color w:val="auto"/>
              </w:rPr>
            </w:pPr>
          </w:p>
        </w:tc>
        <w:tc>
          <w:tcPr>
            <w:tcW w:w="72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392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Total fair value of assets</w:t>
            </w:r>
          </w:p>
        </w:tc>
        <w:tc>
          <w:tcPr>
            <w:tcW w:w="1820" w:type="dxa"/>
            <w:vAlign w:val="bottom"/>
            <w:gridSpan w:val="2"/>
            <w:shd w:val="clear" w:color="auto" w:fill="CCEEFF"/>
          </w:tcPr>
          <w:p>
            <w:pPr>
              <w:ind w:left="1560"/>
              <w:spacing w:after="0" w:line="192" w:lineRule="exact"/>
              <w:rPr>
                <w:sz w:val="20"/>
                <w:szCs w:val="20"/>
                <w:color w:val="auto"/>
              </w:rPr>
            </w:pPr>
            <w:r>
              <w:rPr>
                <w:rFonts w:ascii="Arial" w:cs="Arial" w:eastAsia="Arial" w:hAnsi="Arial"/>
                <w:sz w:val="17"/>
                <w:szCs w:val="17"/>
                <w:color w:val="auto"/>
              </w:rPr>
              <w:t> $</w:t>
            </w:r>
          </w:p>
        </w:tc>
        <w:tc>
          <w:tcPr>
            <w:tcW w:w="1140" w:type="dxa"/>
            <w:vAlign w:val="bottom"/>
            <w:gridSpan w:val="2"/>
            <w:shd w:val="clear" w:color="auto" w:fill="CCEEFF"/>
          </w:tcPr>
          <w:p>
            <w:pPr>
              <w:jc w:val="right"/>
              <w:ind w:right="40"/>
              <w:spacing w:after="0" w:line="192" w:lineRule="exact"/>
              <w:rPr>
                <w:sz w:val="20"/>
                <w:szCs w:val="20"/>
                <w:color w:val="auto"/>
              </w:rPr>
            </w:pPr>
            <w:r>
              <w:rPr>
                <w:rFonts w:ascii="Arial" w:cs="Arial" w:eastAsia="Arial" w:hAnsi="Arial"/>
                <w:sz w:val="17"/>
                <w:szCs w:val="17"/>
                <w:color w:val="auto"/>
              </w:rPr>
              <w:t>118,783    </w:t>
            </w:r>
          </w:p>
        </w:tc>
        <w:tc>
          <w:tcPr>
            <w:tcW w:w="320" w:type="dxa"/>
            <w:vAlign w:val="bottom"/>
            <w:gridSpan w:val="2"/>
            <w:shd w:val="clear" w:color="auto" w:fill="CCEEFF"/>
          </w:tcPr>
          <w:p>
            <w:pPr>
              <w:ind w:left="60"/>
              <w:spacing w:after="0" w:line="192" w:lineRule="exact"/>
              <w:rPr>
                <w:sz w:val="20"/>
                <w:szCs w:val="20"/>
                <w:color w:val="auto"/>
              </w:rPr>
            </w:pPr>
            <w:r>
              <w:rPr>
                <w:rFonts w:ascii="Arial" w:cs="Arial" w:eastAsia="Arial" w:hAnsi="Arial"/>
                <w:sz w:val="17"/>
                <w:szCs w:val="17"/>
                <w:color w:val="auto"/>
              </w:rPr>
              <w:t> $</w:t>
            </w:r>
          </w:p>
        </w:tc>
        <w:tc>
          <w:tcPr>
            <w:tcW w:w="1320" w:type="dxa"/>
            <w:vAlign w:val="bottom"/>
            <w:gridSpan w:val="3"/>
            <w:shd w:val="clear" w:color="auto" w:fill="CCEEFF"/>
          </w:tcPr>
          <w:p>
            <w:pPr>
              <w:jc w:val="right"/>
              <w:spacing w:after="0" w:line="192" w:lineRule="exact"/>
              <w:rPr>
                <w:sz w:val="20"/>
                <w:szCs w:val="20"/>
                <w:color w:val="auto"/>
              </w:rPr>
            </w:pPr>
            <w:r>
              <w:rPr>
                <w:rFonts w:ascii="Arial" w:cs="Arial" w:eastAsia="Arial" w:hAnsi="Arial"/>
                <w:sz w:val="17"/>
                <w:szCs w:val="17"/>
                <w:color w:val="auto"/>
              </w:rPr>
              <w:t>21,737      $</w:t>
            </w:r>
          </w:p>
        </w:tc>
        <w:tc>
          <w:tcPr>
            <w:tcW w:w="960" w:type="dxa"/>
            <w:vAlign w:val="bottom"/>
            <w:gridSpan w:val="2"/>
            <w:shd w:val="clear" w:color="auto" w:fill="CCEEFF"/>
          </w:tcPr>
          <w:p>
            <w:pPr>
              <w:jc w:val="right"/>
              <w:ind w:right="80"/>
              <w:spacing w:after="0" w:line="192" w:lineRule="exact"/>
              <w:rPr>
                <w:sz w:val="20"/>
                <w:szCs w:val="20"/>
                <w:color w:val="auto"/>
              </w:rPr>
            </w:pPr>
            <w:r>
              <w:rPr>
                <w:rFonts w:ascii="Arial" w:cs="Arial" w:eastAsia="Arial" w:hAnsi="Arial"/>
                <w:sz w:val="17"/>
                <w:szCs w:val="17"/>
                <w:color w:val="auto"/>
              </w:rPr>
              <w:t>97,046    </w:t>
            </w:r>
          </w:p>
        </w:tc>
        <w:tc>
          <w:tcPr>
            <w:tcW w:w="20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 $</w:t>
            </w:r>
          </w:p>
        </w:tc>
        <w:tc>
          <w:tcPr>
            <w:tcW w:w="72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820" w:hanging="409"/>
        <w:spacing w:after="0"/>
        <w:tabs>
          <w:tab w:leader="none" w:pos="82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Included in cash and cash equivalents on the balance sheets.</w:t>
      </w:r>
    </w:p>
    <w:p>
      <w:pPr>
        <w:spacing w:after="0" w:line="20" w:lineRule="exact"/>
        <w:rPr>
          <w:rFonts w:ascii="Arial" w:cs="Arial" w:eastAsia="Arial" w:hAnsi="Arial"/>
          <w:sz w:val="15"/>
          <w:szCs w:val="15"/>
          <w:color w:val="auto"/>
        </w:rPr>
      </w:pPr>
    </w:p>
    <w:p>
      <w:pPr>
        <w:ind w:left="820" w:hanging="409"/>
        <w:spacing w:after="0"/>
        <w:tabs>
          <w:tab w:leader="none" w:pos="82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Included in short-term investments on the balance sheets.</w:t>
      </w:r>
    </w:p>
    <w:p>
      <w:pPr>
        <w:spacing w:after="0" w:line="192" w:lineRule="exact"/>
        <w:rPr>
          <w:sz w:val="20"/>
          <w:szCs w:val="20"/>
          <w:color w:val="auto"/>
        </w:rPr>
      </w:pPr>
    </w:p>
    <w:p>
      <w:pPr>
        <w:ind w:left="420" w:right="80" w:firstLine="417"/>
        <w:spacing w:after="0" w:line="252" w:lineRule="auto"/>
        <w:rPr>
          <w:sz w:val="20"/>
          <w:szCs w:val="20"/>
          <w:color w:val="auto"/>
        </w:rPr>
      </w:pPr>
      <w:r>
        <w:rPr>
          <w:rFonts w:ascii="Arial" w:cs="Arial" w:eastAsia="Arial" w:hAnsi="Arial"/>
          <w:sz w:val="17"/>
          <w:szCs w:val="17"/>
          <w:color w:val="auto"/>
        </w:rPr>
        <w:t>The Company’s money market funds are classified as Level 1 because they are valued using quoted market prices. The Company’s investments consist of available-for-sale securities and are classified as Level 2 because their value is based on valuations using significant inputs derived from or corroborated by observable market data.</w:t>
      </w:r>
    </w:p>
    <w:p>
      <w:pPr>
        <w:spacing w:after="0" w:line="164"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There were no transfers of assets between fair value levels for all periods presented.</w:t>
      </w:r>
    </w:p>
    <w:p>
      <w:pPr>
        <w:spacing w:after="0" w:line="226" w:lineRule="exact"/>
        <w:rPr>
          <w:sz w:val="20"/>
          <w:szCs w:val="20"/>
          <w:color w:val="auto"/>
        </w:rPr>
      </w:pPr>
    </w:p>
    <w:p>
      <w:pPr>
        <w:ind w:left="820" w:hanging="409"/>
        <w:spacing w:after="0"/>
        <w:tabs>
          <w:tab w:leader="none" w:pos="820" w:val="left"/>
        </w:tabs>
        <w:numPr>
          <w:ilvl w:val="0"/>
          <w:numId w:val="107"/>
        </w:numPr>
        <w:rPr>
          <w:rFonts w:ascii="Arial" w:cs="Arial" w:eastAsia="Arial" w:hAnsi="Arial"/>
          <w:sz w:val="17"/>
          <w:szCs w:val="17"/>
          <w:b w:val="1"/>
          <w:bCs w:val="1"/>
          <w:color w:val="auto"/>
        </w:rPr>
      </w:pPr>
      <w:r>
        <w:rPr>
          <w:rFonts w:ascii="Arial" w:cs="Arial" w:eastAsia="Arial" w:hAnsi="Arial"/>
          <w:sz w:val="17"/>
          <w:szCs w:val="17"/>
          <w:b w:val="1"/>
          <w:bCs w:val="1"/>
          <w:color w:val="auto"/>
        </w:rPr>
        <w:t>Investments</w:t>
      </w:r>
    </w:p>
    <w:p>
      <w:pPr>
        <w:spacing w:after="0" w:line="98" w:lineRule="exact"/>
        <w:rPr>
          <w:rFonts w:ascii="Arial" w:cs="Arial" w:eastAsia="Arial" w:hAnsi="Arial"/>
          <w:sz w:val="17"/>
          <w:szCs w:val="17"/>
          <w:b w:val="1"/>
          <w:bCs w:val="1"/>
          <w:color w:val="auto"/>
        </w:rPr>
      </w:pPr>
    </w:p>
    <w:p>
      <w:pPr>
        <w:ind w:left="820"/>
        <w:spacing w:after="0"/>
        <w:rPr>
          <w:rFonts w:ascii="Arial" w:cs="Arial" w:eastAsia="Arial" w:hAnsi="Arial"/>
          <w:sz w:val="17"/>
          <w:szCs w:val="17"/>
          <w:b w:val="1"/>
          <w:bCs w:val="1"/>
          <w:color w:val="auto"/>
        </w:rPr>
      </w:pPr>
      <w:r>
        <w:rPr>
          <w:rFonts w:ascii="Arial" w:cs="Arial" w:eastAsia="Arial" w:hAnsi="Arial"/>
          <w:sz w:val="17"/>
          <w:szCs w:val="17"/>
          <w:color w:val="auto"/>
        </w:rPr>
        <w:t>The following tables summarizes investments accounted for as available-for-sale securities (in thousands):</w:t>
      </w:r>
    </w:p>
    <w:p>
      <w:pPr>
        <w:spacing w:after="0" w:line="233" w:lineRule="exact"/>
        <w:rPr>
          <w:sz w:val="20"/>
          <w:szCs w:val="20"/>
          <w:color w:val="auto"/>
        </w:rPr>
      </w:pPr>
    </w:p>
    <w:tbl>
      <w:tblPr>
        <w:tblLayout w:type="fixed"/>
        <w:tblInd w:w="420" w:type="dxa"/>
        <w:tblCellMar>
          <w:top w:w="0" w:type="dxa"/>
          <w:left w:w="0" w:type="dxa"/>
          <w:bottom w:w="0" w:type="dxa"/>
          <w:right w:w="0" w:type="dxa"/>
        </w:tblCellMar>
      </w:tblPr>
      <w:tr>
        <w:trPr>
          <w:trHeight w:val="163"/>
        </w:trPr>
        <w:tc>
          <w:tcPr>
            <w:tcW w:w="4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4"/>
                <w:szCs w:val="14"/>
                <w:b w:val="1"/>
                <w:bCs w:val="1"/>
                <w:color w:val="auto"/>
                <w:w w:val="98"/>
              </w:rPr>
              <w:t>December 31, 2022</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4"/>
          </w:tcPr>
          <w:p>
            <w:pPr>
              <w:jc w:val="center"/>
              <w:ind w:right="380"/>
              <w:spacing w:after="0" w:line="137" w:lineRule="exact"/>
              <w:rPr>
                <w:sz w:val="20"/>
                <w:szCs w:val="20"/>
                <w:color w:val="auto"/>
              </w:rPr>
            </w:pPr>
            <w:r>
              <w:rPr>
                <w:rFonts w:ascii="Arial" w:cs="Arial" w:eastAsia="Arial" w:hAnsi="Arial"/>
                <w:sz w:val="14"/>
                <w:szCs w:val="14"/>
                <w:b w:val="1"/>
                <w:bCs w:val="1"/>
                <w:color w:val="auto"/>
                <w:w w:val="97"/>
              </w:rPr>
              <w:t>Acquisition</w:t>
            </w:r>
          </w:p>
        </w:tc>
        <w:tc>
          <w:tcPr>
            <w:tcW w:w="1120" w:type="dxa"/>
            <w:vAlign w:val="bottom"/>
            <w:gridSpan w:val="5"/>
          </w:tcPr>
          <w:p>
            <w:pPr>
              <w:jc w:val="center"/>
              <w:ind w:right="260"/>
              <w:spacing w:after="0" w:line="137" w:lineRule="exact"/>
              <w:rPr>
                <w:sz w:val="20"/>
                <w:szCs w:val="20"/>
                <w:color w:val="auto"/>
              </w:rPr>
            </w:pPr>
            <w:r>
              <w:rPr>
                <w:rFonts w:ascii="Arial" w:cs="Arial" w:eastAsia="Arial" w:hAnsi="Arial"/>
                <w:sz w:val="14"/>
                <w:szCs w:val="14"/>
                <w:b w:val="1"/>
                <w:bCs w:val="1"/>
                <w:color w:val="auto"/>
                <w:w w:val="98"/>
              </w:rPr>
              <w:t>Unrealized</w:t>
            </w:r>
          </w:p>
        </w:tc>
        <w:tc>
          <w:tcPr>
            <w:tcW w:w="1180" w:type="dxa"/>
            <w:vAlign w:val="bottom"/>
            <w:gridSpan w:val="3"/>
          </w:tcPr>
          <w:p>
            <w:pPr>
              <w:jc w:val="center"/>
              <w:ind w:right="180"/>
              <w:spacing w:after="0" w:line="137"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195"/>
              <w:spacing w:after="0" w:line="137" w:lineRule="exact"/>
              <w:rPr>
                <w:sz w:val="20"/>
                <w:szCs w:val="20"/>
                <w:color w:val="auto"/>
              </w:rPr>
            </w:pPr>
            <w:r>
              <w:rPr>
                <w:rFonts w:ascii="Arial" w:cs="Arial" w:eastAsia="Arial" w:hAnsi="Arial"/>
                <w:sz w:val="14"/>
                <w:szCs w:val="14"/>
                <w:b w:val="1"/>
                <w:bCs w:val="1"/>
                <w:color w:val="auto"/>
                <w:w w:val="98"/>
              </w:rPr>
              <w:t>Estimated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18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75"/>
              <w:spacing w:after="0"/>
              <w:rPr>
                <w:sz w:val="20"/>
                <w:szCs w:val="20"/>
                <w:color w:val="auto"/>
              </w:rPr>
            </w:pPr>
            <w:r>
              <w:rPr>
                <w:rFonts w:ascii="Arial" w:cs="Arial" w:eastAsia="Arial" w:hAnsi="Arial"/>
                <w:sz w:val="14"/>
                <w:szCs w:val="14"/>
                <w:b w:val="1"/>
                <w:bCs w:val="1"/>
                <w:color w:val="auto"/>
                <w:w w:val="96"/>
              </w:rPr>
              <w:t>Cost</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Gain</w:t>
            </w: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7"/>
              </w:rPr>
              <w:t>Loss</w:t>
            </w: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195"/>
              <w:spacing w:after="0"/>
              <w:rPr>
                <w:sz w:val="20"/>
                <w:szCs w:val="20"/>
                <w:color w:val="auto"/>
              </w:rPr>
            </w:pPr>
            <w:r>
              <w:rPr>
                <w:rFonts w:ascii="Arial" w:cs="Arial" w:eastAsia="Arial" w:hAnsi="Arial"/>
                <w:sz w:val="14"/>
                <w:szCs w:val="14"/>
                <w:b w:val="1"/>
                <w:bCs w:val="1"/>
                <w:color w:val="auto"/>
                <w:w w:val="98"/>
              </w:rPr>
              <w:t>Fair Value</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18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Money market funds</w:t>
            </w: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2"/>
              </w:rPr>
              <w:t> $</w:t>
            </w:r>
          </w:p>
        </w:tc>
        <w:tc>
          <w:tcPr>
            <w:tcW w:w="2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 xml:space="preserve">   </w:t>
            </w:r>
          </w:p>
        </w:tc>
        <w:tc>
          <w:tcPr>
            <w:tcW w:w="18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w w:val="82"/>
              </w:rPr>
              <w:t> </w:t>
            </w:r>
          </w:p>
        </w:tc>
        <w:tc>
          <w:tcPr>
            <w:tcW w:w="64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w w:val="71"/>
              </w:rPr>
              <w:t>   9,078    </w:t>
            </w:r>
          </w:p>
        </w:tc>
        <w:tc>
          <w:tcPr>
            <w:tcW w:w="260" w:type="dxa"/>
            <w:vAlign w:val="bottom"/>
            <w:shd w:val="clear" w:color="auto" w:fill="CCEEFF"/>
          </w:tcPr>
          <w:p>
            <w:pPr>
              <w:spacing w:after="0"/>
              <w:rPr>
                <w:sz w:val="16"/>
                <w:szCs w:val="16"/>
                <w:color w:val="auto"/>
              </w:rPr>
            </w:pPr>
          </w:p>
        </w:tc>
        <w:tc>
          <w:tcPr>
            <w:tcW w:w="38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 xml:space="preserve"> $    </w:t>
            </w:r>
          </w:p>
        </w:tc>
        <w:tc>
          <w:tcPr>
            <w:tcW w:w="240" w:type="dxa"/>
            <w:vAlign w:val="bottom"/>
            <w:shd w:val="clear" w:color="auto" w:fill="CCEEFF"/>
          </w:tcPr>
          <w:p>
            <w:pPr>
              <w:ind w:left="100"/>
              <w:spacing w:after="0" w:line="185" w:lineRule="exact"/>
              <w:rPr>
                <w:sz w:val="20"/>
                <w:szCs w:val="20"/>
                <w:color w:val="auto"/>
              </w:rPr>
            </w:pPr>
            <w:r>
              <w:rPr>
                <w:rFonts w:ascii="Arial" w:cs="Arial" w:eastAsia="Arial" w:hAnsi="Arial"/>
                <w:sz w:val="17"/>
                <w:szCs w:val="17"/>
                <w:color w:val="auto"/>
                <w:w w:val="70"/>
              </w:rPr>
              <w:t> </w:t>
            </w:r>
          </w:p>
        </w:tc>
        <w:tc>
          <w:tcPr>
            <w:tcW w:w="500" w:type="dxa"/>
            <w:vAlign w:val="bottom"/>
            <w:gridSpan w:val="2"/>
            <w:shd w:val="clear" w:color="auto" w:fill="CCEEFF"/>
          </w:tcPr>
          <w:p>
            <w:pPr>
              <w:jc w:val="right"/>
              <w:ind w:right="120"/>
              <w:spacing w:after="0" w:line="185" w:lineRule="exact"/>
              <w:rPr>
                <w:sz w:val="20"/>
                <w:szCs w:val="20"/>
                <w:color w:val="auto"/>
              </w:rPr>
            </w:pPr>
            <w:r>
              <w:rPr>
                <w:rFonts w:ascii="Arial" w:cs="Arial" w:eastAsia="Arial" w:hAnsi="Arial"/>
                <w:sz w:val="17"/>
                <w:szCs w:val="17"/>
                <w:color w:val="auto"/>
              </w:rPr>
              <w:t>—    </w:t>
            </w:r>
          </w:p>
        </w:tc>
        <w:tc>
          <w:tcPr>
            <w:tcW w:w="2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 xml:space="preserve"> $  </w:t>
            </w:r>
          </w:p>
        </w:tc>
        <w:tc>
          <w:tcPr>
            <w:tcW w:w="940" w:type="dxa"/>
            <w:vAlign w:val="bottom"/>
            <w:gridSpan w:val="2"/>
            <w:shd w:val="clear" w:color="auto" w:fill="CCEEFF"/>
          </w:tcPr>
          <w:p>
            <w:pPr>
              <w:jc w:val="right"/>
              <w:ind w:right="40"/>
              <w:spacing w:after="0" w:line="185" w:lineRule="exact"/>
              <w:rPr>
                <w:sz w:val="20"/>
                <w:szCs w:val="20"/>
                <w:color w:val="auto"/>
              </w:rPr>
            </w:pPr>
            <w:r>
              <w:rPr>
                <w:rFonts w:ascii="Arial" w:cs="Arial" w:eastAsia="Arial" w:hAnsi="Arial"/>
                <w:sz w:val="17"/>
                <w:szCs w:val="17"/>
                <w:color w:val="auto"/>
                <w:w w:val="98"/>
              </w:rPr>
              <w:t>      —     </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 xml:space="preserve"> $  </w:t>
            </w:r>
          </w:p>
        </w:tc>
        <w:tc>
          <w:tcPr>
            <w:tcW w:w="300" w:type="dxa"/>
            <w:vAlign w:val="bottom"/>
            <w:shd w:val="clear" w:color="auto" w:fill="CCEEFF"/>
          </w:tcPr>
          <w:p>
            <w:pPr>
              <w:ind w:left="80"/>
              <w:spacing w:after="0" w:line="185" w:lineRule="exact"/>
              <w:rPr>
                <w:sz w:val="20"/>
                <w:szCs w:val="20"/>
                <w:color w:val="auto"/>
              </w:rPr>
            </w:pPr>
            <w:r>
              <w:rPr>
                <w:rFonts w:ascii="Arial" w:cs="Arial" w:eastAsia="Arial" w:hAnsi="Arial"/>
                <w:sz w:val="17"/>
                <w:szCs w:val="17"/>
                <w:color w:val="auto"/>
              </w:rPr>
              <w:t xml:space="preserve">    </w:t>
            </w:r>
          </w:p>
        </w:tc>
        <w:tc>
          <w:tcPr>
            <w:tcW w:w="66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w w:val="98"/>
              </w:rPr>
              <w:t>  9,078  </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80" w:type="dxa"/>
            <w:vAlign w:val="bottom"/>
          </w:tcPr>
          <w:p>
            <w:pPr>
              <w:spacing w:after="0" w:line="192" w:lineRule="exact"/>
              <w:rPr>
                <w:sz w:val="20"/>
                <w:szCs w:val="20"/>
                <w:color w:val="auto"/>
              </w:rPr>
            </w:pPr>
            <w:r>
              <w:rPr>
                <w:rFonts w:ascii="Arial" w:cs="Arial" w:eastAsia="Arial" w:hAnsi="Arial"/>
                <w:sz w:val="17"/>
                <w:szCs w:val="17"/>
                <w:color w:val="auto"/>
              </w:rPr>
              <w:t>U.S. government obligations</w:t>
            </w: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00"/>
              <w:spacing w:after="0" w:line="192" w:lineRule="exact"/>
              <w:rPr>
                <w:sz w:val="20"/>
                <w:szCs w:val="20"/>
                <w:color w:val="auto"/>
              </w:rPr>
            </w:pPr>
            <w:r>
              <w:rPr>
                <w:rFonts w:ascii="Arial" w:cs="Arial" w:eastAsia="Arial" w:hAnsi="Arial"/>
                <w:sz w:val="17"/>
                <w:szCs w:val="17"/>
                <w:color w:val="auto"/>
              </w:rPr>
              <w:t>35,209    </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2"/>
          </w:tcPr>
          <w:p>
            <w:pPr>
              <w:jc w:val="right"/>
              <w:ind w:right="120"/>
              <w:spacing w:after="0" w:line="192" w:lineRule="exact"/>
              <w:rPr>
                <w:sz w:val="20"/>
                <w:szCs w:val="20"/>
                <w:color w:val="auto"/>
              </w:rPr>
            </w:pPr>
            <w:r>
              <w:rPr>
                <w:rFonts w:ascii="Arial" w:cs="Arial" w:eastAsia="Arial" w:hAnsi="Arial"/>
                <w:sz w:val="17"/>
                <w:szCs w:val="17"/>
                <w:color w:val="auto"/>
              </w:rPr>
              <w:t>—    </w:t>
            </w:r>
          </w:p>
        </w:tc>
        <w:tc>
          <w:tcPr>
            <w:tcW w:w="240" w:type="dxa"/>
            <w:vAlign w:val="bottom"/>
          </w:tcPr>
          <w:p>
            <w:pPr>
              <w:spacing w:after="0"/>
              <w:rPr>
                <w:sz w:val="16"/>
                <w:szCs w:val="16"/>
                <w:color w:val="auto"/>
              </w:rPr>
            </w:pPr>
          </w:p>
        </w:tc>
        <w:tc>
          <w:tcPr>
            <w:tcW w:w="940" w:type="dxa"/>
            <w:vAlign w:val="bottom"/>
            <w:gridSpan w:val="2"/>
          </w:tcPr>
          <w:p>
            <w:pPr>
              <w:jc w:val="right"/>
              <w:ind w:right="40"/>
              <w:spacing w:after="0" w:line="192" w:lineRule="exact"/>
              <w:rPr>
                <w:sz w:val="20"/>
                <w:szCs w:val="20"/>
                <w:color w:val="auto"/>
              </w:rPr>
            </w:pPr>
            <w:r>
              <w:rPr>
                <w:rFonts w:ascii="Arial" w:cs="Arial" w:eastAsia="Arial" w:hAnsi="Arial"/>
                <w:sz w:val="17"/>
                <w:szCs w:val="17"/>
                <w:color w:val="auto"/>
              </w:rPr>
              <w:t xml:space="preserve">(311)    </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34,898  </w:t>
            </w:r>
          </w:p>
        </w:tc>
        <w:tc>
          <w:tcPr>
            <w:tcW w:w="0" w:type="dxa"/>
            <w:vAlign w:val="bottom"/>
          </w:tcPr>
          <w:p>
            <w:pPr>
              <w:spacing w:after="0"/>
              <w:rPr>
                <w:sz w:val="1"/>
                <w:szCs w:val="1"/>
                <w:color w:val="auto"/>
              </w:rPr>
            </w:pPr>
          </w:p>
        </w:tc>
      </w:tr>
      <w:tr>
        <w:trPr>
          <w:trHeight w:val="192"/>
        </w:trPr>
        <w:tc>
          <w:tcPr>
            <w:tcW w:w="418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Corporate debt securities</w:t>
            </w: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line="192" w:lineRule="exact"/>
              <w:rPr>
                <w:sz w:val="20"/>
                <w:szCs w:val="20"/>
                <w:color w:val="auto"/>
              </w:rPr>
            </w:pPr>
            <w:r>
              <w:rPr>
                <w:rFonts w:ascii="Arial" w:cs="Arial" w:eastAsia="Arial" w:hAnsi="Arial"/>
                <w:sz w:val="17"/>
                <w:szCs w:val="17"/>
                <w:color w:val="auto"/>
              </w:rPr>
              <w:t>17,366    </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20"/>
              <w:spacing w:after="0" w:line="192" w:lineRule="exact"/>
              <w:rPr>
                <w:sz w:val="20"/>
                <w:szCs w:val="20"/>
                <w:color w:val="auto"/>
              </w:rPr>
            </w:pPr>
            <w:r>
              <w:rPr>
                <w:rFonts w:ascii="Arial" w:cs="Arial" w:eastAsia="Arial" w:hAnsi="Arial"/>
                <w:sz w:val="17"/>
                <w:szCs w:val="17"/>
                <w:color w:val="auto"/>
              </w:rPr>
              <w:t>—    </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line="192" w:lineRule="exact"/>
              <w:rPr>
                <w:sz w:val="20"/>
                <w:szCs w:val="20"/>
                <w:color w:val="auto"/>
              </w:rPr>
            </w:pPr>
            <w:r>
              <w:rPr>
                <w:rFonts w:ascii="Arial" w:cs="Arial" w:eastAsia="Arial" w:hAnsi="Arial"/>
                <w:sz w:val="17"/>
                <w:szCs w:val="17"/>
                <w:color w:val="auto"/>
              </w:rPr>
              <w:t xml:space="preserve">(87)    </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17,279  </w:t>
            </w:r>
          </w:p>
        </w:tc>
        <w:tc>
          <w:tcPr>
            <w:tcW w:w="0" w:type="dxa"/>
            <w:vAlign w:val="bottom"/>
          </w:tcPr>
          <w:p>
            <w:pPr>
              <w:spacing w:after="0"/>
              <w:rPr>
                <w:sz w:val="1"/>
                <w:szCs w:val="1"/>
                <w:color w:val="auto"/>
              </w:rPr>
            </w:pPr>
          </w:p>
        </w:tc>
      </w:tr>
      <w:tr>
        <w:trPr>
          <w:trHeight w:val="192"/>
        </w:trPr>
        <w:tc>
          <w:tcPr>
            <w:tcW w:w="4180" w:type="dxa"/>
            <w:vAlign w:val="bottom"/>
          </w:tcPr>
          <w:p>
            <w:pPr>
              <w:spacing w:after="0" w:line="192" w:lineRule="exact"/>
              <w:rPr>
                <w:sz w:val="20"/>
                <w:szCs w:val="20"/>
                <w:color w:val="auto"/>
              </w:rPr>
            </w:pPr>
            <w:r>
              <w:rPr>
                <w:rFonts w:ascii="Arial" w:cs="Arial" w:eastAsia="Arial" w:hAnsi="Arial"/>
                <w:sz w:val="17"/>
                <w:szCs w:val="17"/>
                <w:color w:val="auto"/>
              </w:rPr>
              <w:t>Commercial paper</w:t>
            </w: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00"/>
              <w:spacing w:after="0" w:line="192" w:lineRule="exact"/>
              <w:rPr>
                <w:sz w:val="20"/>
                <w:szCs w:val="20"/>
                <w:color w:val="auto"/>
              </w:rPr>
            </w:pPr>
            <w:r>
              <w:rPr>
                <w:rFonts w:ascii="Arial" w:cs="Arial" w:eastAsia="Arial" w:hAnsi="Arial"/>
                <w:sz w:val="17"/>
                <w:szCs w:val="17"/>
                <w:color w:val="auto"/>
              </w:rPr>
              <w:t>3,484    </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2"/>
          </w:tcPr>
          <w:p>
            <w:pPr>
              <w:jc w:val="right"/>
              <w:ind w:right="120"/>
              <w:spacing w:after="0" w:line="192" w:lineRule="exact"/>
              <w:rPr>
                <w:sz w:val="20"/>
                <w:szCs w:val="20"/>
                <w:color w:val="auto"/>
              </w:rPr>
            </w:pPr>
            <w:r>
              <w:rPr>
                <w:rFonts w:ascii="Arial" w:cs="Arial" w:eastAsia="Arial" w:hAnsi="Arial"/>
                <w:sz w:val="17"/>
                <w:szCs w:val="17"/>
                <w:color w:val="auto"/>
              </w:rPr>
              <w:t>—    </w:t>
            </w:r>
          </w:p>
        </w:tc>
        <w:tc>
          <w:tcPr>
            <w:tcW w:w="240" w:type="dxa"/>
            <w:vAlign w:val="bottom"/>
          </w:tcPr>
          <w:p>
            <w:pPr>
              <w:spacing w:after="0"/>
              <w:rPr>
                <w:sz w:val="16"/>
                <w:szCs w:val="16"/>
                <w:color w:val="auto"/>
              </w:rPr>
            </w:pPr>
          </w:p>
        </w:tc>
        <w:tc>
          <w:tcPr>
            <w:tcW w:w="940" w:type="dxa"/>
            <w:vAlign w:val="bottom"/>
            <w:gridSpan w:val="2"/>
          </w:tcPr>
          <w:p>
            <w:pPr>
              <w:jc w:val="right"/>
              <w:ind w:right="40"/>
              <w:spacing w:after="0" w:line="192" w:lineRule="exact"/>
              <w:rPr>
                <w:sz w:val="20"/>
                <w:szCs w:val="20"/>
                <w:color w:val="auto"/>
              </w:rPr>
            </w:pPr>
            <w:r>
              <w:rPr>
                <w:rFonts w:ascii="Arial" w:cs="Arial" w:eastAsia="Arial" w:hAnsi="Arial"/>
                <w:sz w:val="17"/>
                <w:szCs w:val="17"/>
                <w:color w:val="auto"/>
              </w:rPr>
              <w:t>—     </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3,484  </w:t>
            </w:r>
          </w:p>
        </w:tc>
        <w:tc>
          <w:tcPr>
            <w:tcW w:w="0" w:type="dxa"/>
            <w:vAlign w:val="bottom"/>
          </w:tcPr>
          <w:p>
            <w:pPr>
              <w:spacing w:after="0"/>
              <w:rPr>
                <w:sz w:val="1"/>
                <w:szCs w:val="1"/>
                <w:color w:val="auto"/>
              </w:rPr>
            </w:pPr>
          </w:p>
        </w:tc>
      </w:tr>
      <w:tr>
        <w:trPr>
          <w:trHeight w:val="192"/>
        </w:trPr>
        <w:tc>
          <w:tcPr>
            <w:tcW w:w="418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Asset-backed securities</w:t>
            </w: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line="192" w:lineRule="exact"/>
              <w:rPr>
                <w:sz w:val="20"/>
                <w:szCs w:val="20"/>
                <w:color w:val="auto"/>
              </w:rPr>
            </w:pPr>
            <w:r>
              <w:rPr>
                <w:rFonts w:ascii="Arial" w:cs="Arial" w:eastAsia="Arial" w:hAnsi="Arial"/>
                <w:sz w:val="17"/>
                <w:szCs w:val="17"/>
                <w:color w:val="auto"/>
              </w:rPr>
              <w:t>105    </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20"/>
              <w:spacing w:after="0" w:line="192" w:lineRule="exact"/>
              <w:rPr>
                <w:sz w:val="20"/>
                <w:szCs w:val="20"/>
                <w:color w:val="auto"/>
              </w:rPr>
            </w:pPr>
            <w:r>
              <w:rPr>
                <w:rFonts w:ascii="Arial" w:cs="Arial" w:eastAsia="Arial" w:hAnsi="Arial"/>
                <w:sz w:val="17"/>
                <w:szCs w:val="17"/>
                <w:color w:val="auto"/>
              </w:rPr>
              <w:t>—    </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line="192" w:lineRule="exact"/>
              <w:rPr>
                <w:sz w:val="20"/>
                <w:szCs w:val="20"/>
                <w:color w:val="auto"/>
              </w:rPr>
            </w:pPr>
            <w:r>
              <w:rPr>
                <w:rFonts w:ascii="Arial" w:cs="Arial" w:eastAsia="Arial" w:hAnsi="Arial"/>
                <w:sz w:val="17"/>
                <w:szCs w:val="17"/>
                <w:color w:val="auto"/>
              </w:rPr>
              <w:t>—     </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105  </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7"/>
                <w:szCs w:val="17"/>
                <w:color w:val="auto"/>
              </w:rPr>
              <w:t>Total available-for-sale securities</w:t>
            </w:r>
          </w:p>
        </w:tc>
        <w:tc>
          <w:tcPr>
            <w:tcW w:w="1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40"/>
              <w:spacing w:after="0"/>
              <w:rPr>
                <w:sz w:val="20"/>
                <w:szCs w:val="20"/>
                <w:color w:val="auto"/>
              </w:rPr>
            </w:pPr>
            <w:r>
              <w:rPr>
                <w:rFonts w:ascii="Arial" w:cs="Arial" w:eastAsia="Arial" w:hAnsi="Arial"/>
                <w:sz w:val="16"/>
                <w:szCs w:val="16"/>
                <w:color w:val="auto"/>
                <w:w w:val="72"/>
              </w:rPr>
              <w:t>    </w:t>
            </w:r>
          </w:p>
        </w:tc>
        <w:tc>
          <w:tcPr>
            <w:tcW w:w="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7"/>
                <w:szCs w:val="17"/>
                <w:color w:val="auto"/>
                <w:w w:val="92"/>
              </w:rPr>
              <w:t> $</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89"/>
              </w:rPr>
              <w:t>65,242    </w:t>
            </w:r>
          </w:p>
        </w:tc>
        <w:tc>
          <w:tcPr>
            <w:tcW w:w="260" w:type="dxa"/>
            <w:vAlign w:val="bottom"/>
            <w:vMerge w:val="continue"/>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 $</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240" w:type="dxa"/>
            <w:vAlign w:val="bottom"/>
          </w:tcPr>
          <w:p>
            <w:pPr>
              <w:spacing w:after="0"/>
              <w:rPr>
                <w:sz w:val="20"/>
                <w:szCs w:val="20"/>
                <w:color w:val="auto"/>
              </w:rPr>
            </w:pPr>
            <w:r>
              <w:rPr>
                <w:rFonts w:ascii="Arial" w:cs="Arial" w:eastAsia="Arial" w:hAnsi="Arial"/>
                <w:sz w:val="17"/>
                <w:szCs w:val="17"/>
                <w:color w:val="auto"/>
              </w:rPr>
              <w:t> $</w:t>
            </w:r>
          </w:p>
        </w:tc>
        <w:tc>
          <w:tcPr>
            <w:tcW w:w="680" w:type="dxa"/>
            <w:vAlign w:val="bottom"/>
          </w:tcPr>
          <w:p>
            <w:pPr>
              <w:jc w:val="right"/>
              <w:spacing w:after="0"/>
              <w:rPr>
                <w:sz w:val="20"/>
                <w:szCs w:val="20"/>
                <w:color w:val="auto"/>
              </w:rPr>
            </w:pPr>
            <w:r>
              <w:rPr>
                <w:rFonts w:ascii="Arial" w:cs="Arial" w:eastAsia="Arial" w:hAnsi="Arial"/>
                <w:sz w:val="17"/>
                <w:szCs w:val="17"/>
                <w:color w:val="auto"/>
              </w:rPr>
              <w:t>(398)</w:t>
            </w:r>
          </w:p>
        </w:tc>
        <w:tc>
          <w:tcPr>
            <w:tcW w:w="2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7"/>
                <w:szCs w:val="17"/>
                <w:color w:val="auto"/>
              </w:rPr>
              <w:t> $</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64,844  </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Classified as:</w:t>
            </w: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180" w:type="dxa"/>
            <w:vAlign w:val="bottom"/>
          </w:tcPr>
          <w:p>
            <w:pPr>
              <w:spacing w:after="0" w:line="192" w:lineRule="exact"/>
              <w:rPr>
                <w:sz w:val="20"/>
                <w:szCs w:val="20"/>
                <w:color w:val="auto"/>
              </w:rPr>
            </w:pPr>
            <w:r>
              <w:rPr>
                <w:rFonts w:ascii="Arial" w:cs="Arial" w:eastAsia="Arial" w:hAnsi="Arial"/>
                <w:sz w:val="17"/>
                <w:szCs w:val="17"/>
                <w:color w:val="auto"/>
              </w:rPr>
              <w:t>Cash equivalents</w:t>
            </w: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gridSpan w:val="2"/>
          </w:tcPr>
          <w:p>
            <w:pPr>
              <w:spacing w:after="0" w:line="192" w:lineRule="exact"/>
              <w:rPr>
                <w:sz w:val="20"/>
                <w:szCs w:val="20"/>
                <w:color w:val="auto"/>
              </w:rPr>
            </w:pPr>
            <w:r>
              <w:rPr>
                <w:rFonts w:ascii="Arial" w:cs="Arial" w:eastAsia="Arial" w:hAnsi="Arial"/>
                <w:sz w:val="17"/>
                <w:szCs w:val="17"/>
                <w:color w:val="auto"/>
              </w:rPr>
              <w:t> $</w:t>
            </w:r>
          </w:p>
        </w:tc>
        <w:tc>
          <w:tcPr>
            <w:tcW w:w="300" w:type="dxa"/>
            <w:vAlign w:val="bottom"/>
          </w:tcPr>
          <w:p>
            <w:pPr>
              <w:spacing w:after="0"/>
              <w:rPr>
                <w:sz w:val="16"/>
                <w:szCs w:val="16"/>
                <w:color w:val="auto"/>
              </w:rPr>
            </w:pPr>
          </w:p>
        </w:tc>
        <w:tc>
          <w:tcPr>
            <w:tcW w:w="72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9,078  </w:t>
            </w:r>
          </w:p>
        </w:tc>
        <w:tc>
          <w:tcPr>
            <w:tcW w:w="0" w:type="dxa"/>
            <w:vAlign w:val="bottom"/>
          </w:tcPr>
          <w:p>
            <w:pPr>
              <w:spacing w:after="0"/>
              <w:rPr>
                <w:sz w:val="1"/>
                <w:szCs w:val="1"/>
                <w:color w:val="auto"/>
              </w:rPr>
            </w:pPr>
          </w:p>
        </w:tc>
      </w:tr>
      <w:tr>
        <w:trPr>
          <w:trHeight w:val="192"/>
        </w:trPr>
        <w:tc>
          <w:tcPr>
            <w:tcW w:w="418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Short-term investments</w:t>
            </w: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55,766  </w:t>
            </w:r>
          </w:p>
        </w:tc>
        <w:tc>
          <w:tcPr>
            <w:tcW w:w="0" w:type="dxa"/>
            <w:vAlign w:val="bottom"/>
          </w:tcPr>
          <w:p>
            <w:pPr>
              <w:spacing w:after="0"/>
              <w:rPr>
                <w:sz w:val="1"/>
                <w:szCs w:val="1"/>
                <w:color w:val="auto"/>
              </w:rPr>
            </w:pPr>
          </w:p>
        </w:tc>
      </w:tr>
      <w:tr>
        <w:trPr>
          <w:trHeight w:val="197"/>
        </w:trPr>
        <w:tc>
          <w:tcPr>
            <w:tcW w:w="4180" w:type="dxa"/>
            <w:vAlign w:val="bottom"/>
          </w:tcPr>
          <w:p>
            <w:pPr>
              <w:spacing w:after="0"/>
              <w:rPr>
                <w:sz w:val="20"/>
                <w:szCs w:val="20"/>
                <w:color w:val="auto"/>
              </w:rPr>
            </w:pPr>
            <w:r>
              <w:rPr>
                <w:rFonts w:ascii="Arial" w:cs="Arial" w:eastAsia="Arial" w:hAnsi="Arial"/>
                <w:sz w:val="17"/>
                <w:szCs w:val="17"/>
                <w:color w:val="auto"/>
              </w:rPr>
              <w:t>Total cash equivalents and investments</w:t>
            </w: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 $</w:t>
            </w:r>
          </w:p>
        </w:tc>
        <w:tc>
          <w:tcPr>
            <w:tcW w:w="3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64,844  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gridSpan w:val="6"/>
            <w:vMerge w:val="restart"/>
          </w:tcPr>
          <w:p>
            <w:pPr>
              <w:jc w:val="right"/>
              <w:ind w:right="580"/>
              <w:spacing w:after="0"/>
              <w:rPr>
                <w:sz w:val="20"/>
                <w:szCs w:val="20"/>
                <w:color w:val="auto"/>
              </w:rPr>
            </w:pPr>
            <w:r>
              <w:rPr>
                <w:rFonts w:ascii="Arial" w:cs="Arial" w:eastAsia="Arial" w:hAnsi="Arial"/>
                <w:sz w:val="14"/>
                <w:szCs w:val="14"/>
                <w:b w:val="1"/>
                <w:bCs w:val="1"/>
                <w:color w:val="auto"/>
                <w:w w:val="98"/>
              </w:rPr>
              <w:t>December 31, 2023</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4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6"/>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4"/>
          </w:tcPr>
          <w:p>
            <w:pPr>
              <w:jc w:val="center"/>
              <w:ind w:right="380"/>
              <w:spacing w:after="0" w:line="137" w:lineRule="exact"/>
              <w:rPr>
                <w:sz w:val="20"/>
                <w:szCs w:val="20"/>
                <w:color w:val="auto"/>
              </w:rPr>
            </w:pPr>
            <w:r>
              <w:rPr>
                <w:rFonts w:ascii="Arial" w:cs="Arial" w:eastAsia="Arial" w:hAnsi="Arial"/>
                <w:sz w:val="14"/>
                <w:szCs w:val="14"/>
                <w:b w:val="1"/>
                <w:bCs w:val="1"/>
                <w:color w:val="auto"/>
                <w:w w:val="97"/>
              </w:rPr>
              <w:t>Acquisition</w:t>
            </w:r>
          </w:p>
        </w:tc>
        <w:tc>
          <w:tcPr>
            <w:tcW w:w="1120" w:type="dxa"/>
            <w:vAlign w:val="bottom"/>
            <w:gridSpan w:val="5"/>
          </w:tcPr>
          <w:p>
            <w:pPr>
              <w:jc w:val="center"/>
              <w:ind w:right="260"/>
              <w:spacing w:after="0" w:line="137" w:lineRule="exact"/>
              <w:rPr>
                <w:sz w:val="20"/>
                <w:szCs w:val="20"/>
                <w:color w:val="auto"/>
              </w:rPr>
            </w:pPr>
            <w:r>
              <w:rPr>
                <w:rFonts w:ascii="Arial" w:cs="Arial" w:eastAsia="Arial" w:hAnsi="Arial"/>
                <w:sz w:val="14"/>
                <w:szCs w:val="14"/>
                <w:b w:val="1"/>
                <w:bCs w:val="1"/>
                <w:color w:val="auto"/>
                <w:w w:val="98"/>
              </w:rPr>
              <w:t>Unrealized</w:t>
            </w:r>
          </w:p>
        </w:tc>
        <w:tc>
          <w:tcPr>
            <w:tcW w:w="1180" w:type="dxa"/>
            <w:vAlign w:val="bottom"/>
            <w:gridSpan w:val="3"/>
          </w:tcPr>
          <w:p>
            <w:pPr>
              <w:jc w:val="center"/>
              <w:ind w:right="180"/>
              <w:spacing w:after="0" w:line="137"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195"/>
              <w:spacing w:after="0" w:line="137" w:lineRule="exact"/>
              <w:rPr>
                <w:sz w:val="20"/>
                <w:szCs w:val="20"/>
                <w:color w:val="auto"/>
              </w:rPr>
            </w:pPr>
            <w:r>
              <w:rPr>
                <w:rFonts w:ascii="Arial" w:cs="Arial" w:eastAsia="Arial" w:hAnsi="Arial"/>
                <w:sz w:val="14"/>
                <w:szCs w:val="14"/>
                <w:b w:val="1"/>
                <w:bCs w:val="1"/>
                <w:color w:val="auto"/>
                <w:w w:val="98"/>
              </w:rPr>
              <w:t>Estimated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18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75"/>
              <w:spacing w:after="0"/>
              <w:rPr>
                <w:sz w:val="20"/>
                <w:szCs w:val="20"/>
                <w:color w:val="auto"/>
              </w:rPr>
            </w:pPr>
            <w:r>
              <w:rPr>
                <w:rFonts w:ascii="Arial" w:cs="Arial" w:eastAsia="Arial" w:hAnsi="Arial"/>
                <w:sz w:val="14"/>
                <w:szCs w:val="14"/>
                <w:b w:val="1"/>
                <w:bCs w:val="1"/>
                <w:color w:val="auto"/>
                <w:w w:val="96"/>
              </w:rPr>
              <w:t>Cost</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Gain</w:t>
            </w: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7"/>
              </w:rPr>
              <w:t>Loss</w:t>
            </w: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195"/>
              <w:spacing w:after="0"/>
              <w:rPr>
                <w:sz w:val="20"/>
                <w:szCs w:val="20"/>
                <w:color w:val="auto"/>
              </w:rPr>
            </w:pPr>
            <w:r>
              <w:rPr>
                <w:rFonts w:ascii="Arial" w:cs="Arial" w:eastAsia="Arial" w:hAnsi="Arial"/>
                <w:sz w:val="14"/>
                <w:szCs w:val="14"/>
                <w:b w:val="1"/>
                <w:bCs w:val="1"/>
                <w:color w:val="auto"/>
                <w:w w:val="98"/>
              </w:rPr>
              <w:t>Fair Value</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18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Money market funds</w:t>
            </w: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2"/>
              </w:rPr>
              <w:t> $</w:t>
            </w:r>
          </w:p>
        </w:tc>
        <w:tc>
          <w:tcPr>
            <w:tcW w:w="2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 xml:space="preserve">    </w:t>
            </w:r>
          </w:p>
        </w:tc>
        <w:tc>
          <w:tcPr>
            <w:tcW w:w="180" w:type="dxa"/>
            <w:vAlign w:val="bottom"/>
            <w:shd w:val="clear" w:color="auto" w:fill="CCEEFF"/>
          </w:tcPr>
          <w:p>
            <w:pPr>
              <w:ind w:left="100"/>
              <w:spacing w:after="0"/>
              <w:rPr>
                <w:sz w:val="20"/>
                <w:szCs w:val="20"/>
                <w:color w:val="auto"/>
              </w:rPr>
            </w:pPr>
            <w:r>
              <w:rPr>
                <w:rFonts w:ascii="Arial" w:cs="Arial" w:eastAsia="Arial" w:hAnsi="Arial"/>
                <w:sz w:val="7"/>
                <w:szCs w:val="7"/>
                <w:color w:val="auto"/>
                <w:w w:val="85"/>
              </w:rPr>
              <w:t> </w:t>
            </w:r>
          </w:p>
        </w:tc>
        <w:tc>
          <w:tcPr>
            <w:tcW w:w="64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w w:val="89"/>
              </w:rPr>
              <w:t>21,737    </w:t>
            </w:r>
          </w:p>
        </w:tc>
        <w:tc>
          <w:tcPr>
            <w:tcW w:w="260" w:type="dxa"/>
            <w:vAlign w:val="bottom"/>
            <w:shd w:val="clear" w:color="auto" w:fill="CCEEFF"/>
          </w:tcPr>
          <w:p>
            <w:pPr>
              <w:spacing w:after="0"/>
              <w:rPr>
                <w:sz w:val="16"/>
                <w:szCs w:val="16"/>
                <w:color w:val="auto"/>
              </w:rPr>
            </w:pPr>
          </w:p>
        </w:tc>
        <w:tc>
          <w:tcPr>
            <w:tcW w:w="38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 xml:space="preserve"> $    </w:t>
            </w:r>
          </w:p>
        </w:tc>
        <w:tc>
          <w:tcPr>
            <w:tcW w:w="240" w:type="dxa"/>
            <w:vAlign w:val="bottom"/>
            <w:shd w:val="clear" w:color="auto" w:fill="CCEEFF"/>
          </w:tcPr>
          <w:p>
            <w:pPr>
              <w:ind w:left="100"/>
              <w:spacing w:after="0" w:line="185" w:lineRule="exact"/>
              <w:rPr>
                <w:sz w:val="20"/>
                <w:szCs w:val="20"/>
                <w:color w:val="auto"/>
              </w:rPr>
            </w:pPr>
            <w:r>
              <w:rPr>
                <w:rFonts w:ascii="Arial" w:cs="Arial" w:eastAsia="Arial" w:hAnsi="Arial"/>
                <w:sz w:val="17"/>
                <w:szCs w:val="17"/>
                <w:color w:val="auto"/>
                <w:w w:val="70"/>
              </w:rPr>
              <w:t> </w:t>
            </w:r>
          </w:p>
        </w:tc>
        <w:tc>
          <w:tcPr>
            <w:tcW w:w="500" w:type="dxa"/>
            <w:vAlign w:val="bottom"/>
            <w:gridSpan w:val="2"/>
            <w:shd w:val="clear" w:color="auto" w:fill="CCEEFF"/>
          </w:tcPr>
          <w:p>
            <w:pPr>
              <w:jc w:val="right"/>
              <w:ind w:right="120"/>
              <w:spacing w:after="0" w:line="185" w:lineRule="exact"/>
              <w:rPr>
                <w:sz w:val="20"/>
                <w:szCs w:val="20"/>
                <w:color w:val="auto"/>
              </w:rPr>
            </w:pPr>
            <w:r>
              <w:rPr>
                <w:rFonts w:ascii="Arial" w:cs="Arial" w:eastAsia="Arial" w:hAnsi="Arial"/>
                <w:sz w:val="17"/>
                <w:szCs w:val="17"/>
                <w:color w:val="auto"/>
              </w:rPr>
              <w:t>—    </w:t>
            </w:r>
          </w:p>
        </w:tc>
        <w:tc>
          <w:tcPr>
            <w:tcW w:w="2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 xml:space="preserve"> $  </w:t>
            </w:r>
          </w:p>
        </w:tc>
        <w:tc>
          <w:tcPr>
            <w:tcW w:w="940" w:type="dxa"/>
            <w:vAlign w:val="bottom"/>
            <w:gridSpan w:val="2"/>
            <w:shd w:val="clear" w:color="auto" w:fill="CCEEFF"/>
          </w:tcPr>
          <w:p>
            <w:pPr>
              <w:jc w:val="right"/>
              <w:ind w:right="40"/>
              <w:spacing w:after="0" w:line="185" w:lineRule="exact"/>
              <w:rPr>
                <w:sz w:val="20"/>
                <w:szCs w:val="20"/>
                <w:color w:val="auto"/>
              </w:rPr>
            </w:pPr>
            <w:r>
              <w:rPr>
                <w:rFonts w:ascii="Arial" w:cs="Arial" w:eastAsia="Arial" w:hAnsi="Arial"/>
                <w:sz w:val="17"/>
                <w:szCs w:val="17"/>
                <w:color w:val="auto"/>
                <w:w w:val="98"/>
              </w:rPr>
              <w:t>      —     </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 xml:space="preserve"> $  </w:t>
            </w:r>
          </w:p>
        </w:tc>
        <w:tc>
          <w:tcPr>
            <w:tcW w:w="300" w:type="dxa"/>
            <w:vAlign w:val="bottom"/>
            <w:shd w:val="clear" w:color="auto" w:fill="CCEEFF"/>
          </w:tcPr>
          <w:p>
            <w:pPr>
              <w:ind w:left="80"/>
              <w:spacing w:after="0" w:line="185" w:lineRule="exact"/>
              <w:rPr>
                <w:sz w:val="20"/>
                <w:szCs w:val="20"/>
                <w:color w:val="auto"/>
              </w:rPr>
            </w:pPr>
            <w:r>
              <w:rPr>
                <w:rFonts w:ascii="Arial" w:cs="Arial" w:eastAsia="Arial" w:hAnsi="Arial"/>
                <w:sz w:val="17"/>
                <w:szCs w:val="17"/>
                <w:color w:val="auto"/>
              </w:rPr>
              <w:t xml:space="preserve">    </w:t>
            </w:r>
          </w:p>
        </w:tc>
        <w:tc>
          <w:tcPr>
            <w:tcW w:w="66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21,737  </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80" w:type="dxa"/>
            <w:vAlign w:val="bottom"/>
          </w:tcPr>
          <w:p>
            <w:pPr>
              <w:spacing w:after="0" w:line="192" w:lineRule="exact"/>
              <w:rPr>
                <w:sz w:val="20"/>
                <w:szCs w:val="20"/>
                <w:color w:val="auto"/>
              </w:rPr>
            </w:pPr>
            <w:r>
              <w:rPr>
                <w:rFonts w:ascii="Arial" w:cs="Arial" w:eastAsia="Arial" w:hAnsi="Arial"/>
                <w:sz w:val="17"/>
                <w:szCs w:val="17"/>
                <w:color w:val="auto"/>
              </w:rPr>
              <w:t>U.S. government obligations</w:t>
            </w: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00"/>
              <w:spacing w:after="0" w:line="192" w:lineRule="exact"/>
              <w:rPr>
                <w:sz w:val="20"/>
                <w:szCs w:val="20"/>
                <w:color w:val="auto"/>
              </w:rPr>
            </w:pPr>
            <w:r>
              <w:rPr>
                <w:rFonts w:ascii="Arial" w:cs="Arial" w:eastAsia="Arial" w:hAnsi="Arial"/>
                <w:sz w:val="17"/>
                <w:szCs w:val="17"/>
                <w:color w:val="auto"/>
              </w:rPr>
              <w:t>92,106    </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2"/>
          </w:tcPr>
          <w:p>
            <w:pPr>
              <w:jc w:val="right"/>
              <w:ind w:right="120"/>
              <w:spacing w:after="0" w:line="192" w:lineRule="exact"/>
              <w:rPr>
                <w:sz w:val="20"/>
                <w:szCs w:val="20"/>
                <w:color w:val="auto"/>
              </w:rPr>
            </w:pPr>
            <w:r>
              <w:rPr>
                <w:rFonts w:ascii="Arial" w:cs="Arial" w:eastAsia="Arial" w:hAnsi="Arial"/>
                <w:sz w:val="17"/>
                <w:szCs w:val="17"/>
                <w:color w:val="auto"/>
                <w:w w:val="98"/>
              </w:rPr>
              <w:t>58    </w:t>
            </w:r>
          </w:p>
        </w:tc>
        <w:tc>
          <w:tcPr>
            <w:tcW w:w="240" w:type="dxa"/>
            <w:vAlign w:val="bottom"/>
          </w:tcPr>
          <w:p>
            <w:pPr>
              <w:spacing w:after="0"/>
              <w:rPr>
                <w:sz w:val="16"/>
                <w:szCs w:val="16"/>
                <w:color w:val="auto"/>
              </w:rPr>
            </w:pPr>
          </w:p>
        </w:tc>
        <w:tc>
          <w:tcPr>
            <w:tcW w:w="940" w:type="dxa"/>
            <w:vAlign w:val="bottom"/>
            <w:gridSpan w:val="2"/>
          </w:tcPr>
          <w:p>
            <w:pPr>
              <w:jc w:val="right"/>
              <w:ind w:right="40"/>
              <w:spacing w:after="0" w:line="192" w:lineRule="exact"/>
              <w:rPr>
                <w:sz w:val="20"/>
                <w:szCs w:val="20"/>
                <w:color w:val="auto"/>
              </w:rPr>
            </w:pPr>
            <w:r>
              <w:rPr>
                <w:rFonts w:ascii="Arial" w:cs="Arial" w:eastAsia="Arial" w:hAnsi="Arial"/>
                <w:sz w:val="17"/>
                <w:szCs w:val="17"/>
                <w:color w:val="auto"/>
              </w:rPr>
              <w:t xml:space="preserve">(21)    </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92,143  </w:t>
            </w:r>
          </w:p>
        </w:tc>
        <w:tc>
          <w:tcPr>
            <w:tcW w:w="0" w:type="dxa"/>
            <w:vAlign w:val="bottom"/>
          </w:tcPr>
          <w:p>
            <w:pPr>
              <w:spacing w:after="0"/>
              <w:rPr>
                <w:sz w:val="1"/>
                <w:szCs w:val="1"/>
                <w:color w:val="auto"/>
              </w:rPr>
            </w:pPr>
          </w:p>
        </w:tc>
      </w:tr>
      <w:tr>
        <w:trPr>
          <w:trHeight w:val="192"/>
        </w:trPr>
        <w:tc>
          <w:tcPr>
            <w:tcW w:w="418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Corporate debt securities</w:t>
            </w: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line="192" w:lineRule="exact"/>
              <w:rPr>
                <w:sz w:val="20"/>
                <w:szCs w:val="20"/>
                <w:color w:val="auto"/>
              </w:rPr>
            </w:pPr>
            <w:r>
              <w:rPr>
                <w:rFonts w:ascii="Arial" w:cs="Arial" w:eastAsia="Arial" w:hAnsi="Arial"/>
                <w:sz w:val="17"/>
                <w:szCs w:val="17"/>
                <w:color w:val="auto"/>
              </w:rPr>
              <w:t>4,900    </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20"/>
              <w:spacing w:after="0" w:line="192" w:lineRule="exact"/>
              <w:rPr>
                <w:sz w:val="20"/>
                <w:szCs w:val="20"/>
                <w:color w:val="auto"/>
              </w:rPr>
            </w:pPr>
            <w:r>
              <w:rPr>
                <w:rFonts w:ascii="Arial" w:cs="Arial" w:eastAsia="Arial" w:hAnsi="Arial"/>
                <w:sz w:val="17"/>
                <w:szCs w:val="17"/>
                <w:color w:val="auto"/>
              </w:rPr>
              <w:t>5    </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line="192" w:lineRule="exact"/>
              <w:rPr>
                <w:sz w:val="20"/>
                <w:szCs w:val="20"/>
                <w:color w:val="auto"/>
              </w:rPr>
            </w:pPr>
            <w:r>
              <w:rPr>
                <w:rFonts w:ascii="Arial" w:cs="Arial" w:eastAsia="Arial" w:hAnsi="Arial"/>
                <w:sz w:val="17"/>
                <w:szCs w:val="17"/>
                <w:color w:val="auto"/>
              </w:rPr>
              <w:t xml:space="preserve">(2)    </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4,903  </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7"/>
                <w:szCs w:val="17"/>
                <w:color w:val="auto"/>
              </w:rPr>
              <w:t>Total available-for-sale securities</w:t>
            </w:r>
          </w:p>
        </w:tc>
        <w:tc>
          <w:tcPr>
            <w:tcW w:w="1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40"/>
              <w:spacing w:after="0"/>
              <w:rPr>
                <w:sz w:val="20"/>
                <w:szCs w:val="20"/>
                <w:color w:val="auto"/>
              </w:rPr>
            </w:pPr>
            <w:r>
              <w:rPr>
                <w:rFonts w:ascii="Arial" w:cs="Arial" w:eastAsia="Arial" w:hAnsi="Arial"/>
                <w:sz w:val="16"/>
                <w:szCs w:val="16"/>
                <w:color w:val="auto"/>
                <w:w w:val="72"/>
              </w:rPr>
              <w:t>    </w:t>
            </w:r>
          </w:p>
        </w:tc>
        <w:tc>
          <w:tcPr>
            <w:tcW w:w="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7"/>
                <w:szCs w:val="17"/>
                <w:color w:val="auto"/>
                <w:w w:val="92"/>
              </w:rPr>
              <w:t> $</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78"/>
              </w:rPr>
              <w:t>118,743    </w:t>
            </w:r>
          </w:p>
        </w:tc>
        <w:tc>
          <w:tcPr>
            <w:tcW w:w="260" w:type="dxa"/>
            <w:vAlign w:val="bottom"/>
            <w:vMerge w:val="continue"/>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 $</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63    </w:t>
            </w:r>
          </w:p>
        </w:tc>
        <w:tc>
          <w:tcPr>
            <w:tcW w:w="240" w:type="dxa"/>
            <w:vAlign w:val="bottom"/>
          </w:tcPr>
          <w:p>
            <w:pPr>
              <w:spacing w:after="0"/>
              <w:rPr>
                <w:sz w:val="20"/>
                <w:szCs w:val="20"/>
                <w:color w:val="auto"/>
              </w:rPr>
            </w:pPr>
            <w:r>
              <w:rPr>
                <w:rFonts w:ascii="Arial" w:cs="Arial" w:eastAsia="Arial" w:hAnsi="Arial"/>
                <w:sz w:val="17"/>
                <w:szCs w:val="17"/>
                <w:color w:val="auto"/>
              </w:rPr>
              <w:t> $</w:t>
            </w:r>
          </w:p>
        </w:tc>
        <w:tc>
          <w:tcPr>
            <w:tcW w:w="680" w:type="dxa"/>
            <w:vAlign w:val="bottom"/>
          </w:tcPr>
          <w:p>
            <w:pPr>
              <w:jc w:val="right"/>
              <w:spacing w:after="0"/>
              <w:rPr>
                <w:sz w:val="20"/>
                <w:szCs w:val="20"/>
                <w:color w:val="auto"/>
              </w:rPr>
            </w:pPr>
            <w:r>
              <w:rPr>
                <w:rFonts w:ascii="Arial" w:cs="Arial" w:eastAsia="Arial" w:hAnsi="Arial"/>
                <w:sz w:val="17"/>
                <w:szCs w:val="17"/>
                <w:color w:val="auto"/>
              </w:rPr>
              <w:t>(23)</w:t>
            </w:r>
          </w:p>
        </w:tc>
        <w:tc>
          <w:tcPr>
            <w:tcW w:w="2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7"/>
                <w:szCs w:val="17"/>
                <w:color w:val="auto"/>
              </w:rPr>
              <w:t> $</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1"/>
              </w:rPr>
              <w:t>118,783  </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Classified as:</w:t>
            </w: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180" w:type="dxa"/>
            <w:vAlign w:val="bottom"/>
          </w:tcPr>
          <w:p>
            <w:pPr>
              <w:spacing w:after="0" w:line="192" w:lineRule="exact"/>
              <w:rPr>
                <w:sz w:val="20"/>
                <w:szCs w:val="20"/>
                <w:color w:val="auto"/>
              </w:rPr>
            </w:pPr>
            <w:r>
              <w:rPr>
                <w:rFonts w:ascii="Arial" w:cs="Arial" w:eastAsia="Arial" w:hAnsi="Arial"/>
                <w:sz w:val="17"/>
                <w:szCs w:val="17"/>
                <w:color w:val="auto"/>
              </w:rPr>
              <w:t>Cash equivalents</w:t>
            </w: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gridSpan w:val="2"/>
          </w:tcPr>
          <w:p>
            <w:pPr>
              <w:spacing w:after="0" w:line="192" w:lineRule="exact"/>
              <w:rPr>
                <w:sz w:val="20"/>
                <w:szCs w:val="20"/>
                <w:color w:val="auto"/>
              </w:rPr>
            </w:pPr>
            <w:r>
              <w:rPr>
                <w:rFonts w:ascii="Arial" w:cs="Arial" w:eastAsia="Arial" w:hAnsi="Arial"/>
                <w:sz w:val="17"/>
                <w:szCs w:val="17"/>
                <w:color w:val="auto"/>
              </w:rPr>
              <w:t> $</w:t>
            </w:r>
          </w:p>
        </w:tc>
        <w:tc>
          <w:tcPr>
            <w:tcW w:w="300" w:type="dxa"/>
            <w:vAlign w:val="bottom"/>
          </w:tcPr>
          <w:p>
            <w:pPr>
              <w:spacing w:after="0"/>
              <w:rPr>
                <w:sz w:val="16"/>
                <w:szCs w:val="16"/>
                <w:color w:val="auto"/>
              </w:rPr>
            </w:pPr>
          </w:p>
        </w:tc>
        <w:tc>
          <w:tcPr>
            <w:tcW w:w="72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21,737  </w:t>
            </w:r>
          </w:p>
        </w:tc>
        <w:tc>
          <w:tcPr>
            <w:tcW w:w="0" w:type="dxa"/>
            <w:vAlign w:val="bottom"/>
          </w:tcPr>
          <w:p>
            <w:pPr>
              <w:spacing w:after="0"/>
              <w:rPr>
                <w:sz w:val="1"/>
                <w:szCs w:val="1"/>
                <w:color w:val="auto"/>
              </w:rPr>
            </w:pPr>
          </w:p>
        </w:tc>
      </w:tr>
      <w:tr>
        <w:trPr>
          <w:trHeight w:val="192"/>
        </w:trPr>
        <w:tc>
          <w:tcPr>
            <w:tcW w:w="418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Short-term investments</w:t>
            </w: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97,046  </w:t>
            </w:r>
          </w:p>
        </w:tc>
        <w:tc>
          <w:tcPr>
            <w:tcW w:w="0" w:type="dxa"/>
            <w:vAlign w:val="bottom"/>
          </w:tcPr>
          <w:p>
            <w:pPr>
              <w:spacing w:after="0"/>
              <w:rPr>
                <w:sz w:val="1"/>
                <w:szCs w:val="1"/>
                <w:color w:val="auto"/>
              </w:rPr>
            </w:pPr>
          </w:p>
        </w:tc>
      </w:tr>
      <w:tr>
        <w:trPr>
          <w:trHeight w:val="197"/>
        </w:trPr>
        <w:tc>
          <w:tcPr>
            <w:tcW w:w="4180" w:type="dxa"/>
            <w:vAlign w:val="bottom"/>
          </w:tcPr>
          <w:p>
            <w:pPr>
              <w:spacing w:after="0"/>
              <w:rPr>
                <w:sz w:val="20"/>
                <w:szCs w:val="20"/>
                <w:color w:val="auto"/>
              </w:rPr>
            </w:pPr>
            <w:r>
              <w:rPr>
                <w:rFonts w:ascii="Arial" w:cs="Arial" w:eastAsia="Arial" w:hAnsi="Arial"/>
                <w:sz w:val="17"/>
                <w:szCs w:val="17"/>
                <w:color w:val="auto"/>
              </w:rPr>
              <w:t>Total cash equivalents and investments</w:t>
            </w: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 $</w:t>
            </w:r>
          </w:p>
        </w:tc>
        <w:tc>
          <w:tcPr>
            <w:tcW w:w="3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118,783  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420" w:right="40" w:firstLine="417"/>
        <w:spacing w:after="0" w:line="252" w:lineRule="auto"/>
        <w:rPr>
          <w:sz w:val="20"/>
          <w:szCs w:val="20"/>
          <w:color w:val="auto"/>
        </w:rPr>
      </w:pPr>
      <w:r>
        <w:rPr>
          <w:rFonts w:ascii="Arial" w:cs="Arial" w:eastAsia="Arial" w:hAnsi="Arial"/>
          <w:sz w:val="17"/>
          <w:szCs w:val="17"/>
          <w:color w:val="auto"/>
        </w:rPr>
        <w:t>On December 31, 2022 and 2023, the remaining contractual maturities of all the Company’s available-for-sale investments were less than 24 months. As of December 31, 2022 and 2023, the Company has not established an allowance for credit losses for any of its available-for-sale securities.</w:t>
      </w:r>
    </w:p>
    <w:p>
      <w:pPr>
        <w:spacing w:after="0" w:line="10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0840"/>
          </w:cols>
          <w:pgMar w:left="320" w:top="439" w:right="7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60" w:firstLine="417"/>
        <w:spacing w:after="0" w:line="247" w:lineRule="auto"/>
        <w:rPr>
          <w:sz w:val="20"/>
          <w:szCs w:val="20"/>
          <w:color w:val="auto"/>
        </w:rPr>
      </w:pPr>
      <w:r>
        <w:rPr>
          <w:rFonts w:ascii="Arial" w:cs="Arial" w:eastAsia="Arial" w:hAnsi="Arial"/>
          <w:sz w:val="17"/>
          <w:szCs w:val="17"/>
          <w:color w:val="auto"/>
        </w:rPr>
        <w:t>As of December 31, 2022, there were 18 available-for-sale securities with an estimated fair value of $50.3 million in gross unrealized loss positions. As of December 31, 2023, there were 24 available-for-sale securities with an estimated fair value of $40.3 million in gross unrealized loss positions. Based on its review of these investments, the Company believes that the unrealized losses reflected the impact of the rising interest rate environment and were not other-than-temporary in nature.</w:t>
      </w:r>
    </w:p>
    <w:p>
      <w:pPr>
        <w:spacing w:after="0" w:line="192" w:lineRule="exact"/>
        <w:rPr>
          <w:sz w:val="20"/>
          <w:szCs w:val="20"/>
          <w:color w:val="auto"/>
        </w:rPr>
      </w:pPr>
    </w:p>
    <w:p>
      <w:pPr>
        <w:ind w:left="820" w:hanging="409"/>
        <w:spacing w:after="0"/>
        <w:tabs>
          <w:tab w:leader="none" w:pos="820" w:val="left"/>
        </w:tabs>
        <w:numPr>
          <w:ilvl w:val="0"/>
          <w:numId w:val="108"/>
        </w:numPr>
        <w:rPr>
          <w:rFonts w:ascii="Arial" w:cs="Arial" w:eastAsia="Arial" w:hAnsi="Arial"/>
          <w:sz w:val="17"/>
          <w:szCs w:val="17"/>
          <w:b w:val="1"/>
          <w:bCs w:val="1"/>
          <w:color w:val="auto"/>
        </w:rPr>
      </w:pPr>
      <w:r>
        <w:rPr>
          <w:rFonts w:ascii="Arial" w:cs="Arial" w:eastAsia="Arial" w:hAnsi="Arial"/>
          <w:sz w:val="17"/>
          <w:szCs w:val="17"/>
          <w:b w:val="1"/>
          <w:bCs w:val="1"/>
          <w:color w:val="auto"/>
        </w:rPr>
        <w:t>Property and Equipment, Net</w:t>
      </w:r>
    </w:p>
    <w:p>
      <w:pPr>
        <w:spacing w:after="0" w:line="98" w:lineRule="exact"/>
        <w:rPr>
          <w:rFonts w:ascii="Arial" w:cs="Arial" w:eastAsia="Arial" w:hAnsi="Arial"/>
          <w:sz w:val="17"/>
          <w:szCs w:val="17"/>
          <w:b w:val="1"/>
          <w:bCs w:val="1"/>
          <w:color w:val="auto"/>
        </w:rPr>
      </w:pPr>
    </w:p>
    <w:p>
      <w:pPr>
        <w:ind w:left="820"/>
        <w:spacing w:after="0"/>
        <w:rPr>
          <w:rFonts w:ascii="Arial" w:cs="Arial" w:eastAsia="Arial" w:hAnsi="Arial"/>
          <w:sz w:val="17"/>
          <w:szCs w:val="17"/>
          <w:b w:val="1"/>
          <w:bCs w:val="1"/>
          <w:color w:val="auto"/>
        </w:rPr>
      </w:pPr>
      <w:r>
        <w:rPr>
          <w:rFonts w:ascii="Arial" w:cs="Arial" w:eastAsia="Arial" w:hAnsi="Arial"/>
          <w:sz w:val="17"/>
          <w:szCs w:val="17"/>
          <w:color w:val="auto"/>
        </w:rPr>
        <w:t>Property and equipment, net consisted of the following (in thousands):</w:t>
      </w:r>
    </w:p>
    <w:p>
      <w:pPr>
        <w:spacing w:after="0" w:line="233" w:lineRule="exact"/>
        <w:rPr>
          <w:sz w:val="20"/>
          <w:szCs w:val="20"/>
          <w:color w:val="auto"/>
        </w:rPr>
      </w:pPr>
    </w:p>
    <w:tbl>
      <w:tblPr>
        <w:tblLayout w:type="fixed"/>
        <w:tblInd w:w="42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8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9"/>
              <w:spacing w:after="0" w:line="146"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7"/>
              <w:spacing w:after="0" w:line="146" w:lineRule="exact"/>
              <w:rPr>
                <w:sz w:val="20"/>
                <w:szCs w:val="20"/>
                <w:color w:val="auto"/>
              </w:rPr>
            </w:pPr>
            <w:r>
              <w:rPr>
                <w:rFonts w:ascii="Arial" w:cs="Arial" w:eastAsia="Arial" w:hAnsi="Arial"/>
                <w:sz w:val="14"/>
                <w:szCs w:val="14"/>
                <w:b w:val="1"/>
                <w:bCs w:val="1"/>
                <w:color w:val="auto"/>
                <w:w w:val="96"/>
              </w:rPr>
              <w:t>2023</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8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Lab equipment</w:t>
            </w:r>
          </w:p>
        </w:tc>
        <w:tc>
          <w:tcPr>
            <w:tcW w:w="2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 $</w:t>
            </w:r>
          </w:p>
        </w:tc>
        <w:tc>
          <w:tcPr>
            <w:tcW w:w="86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3,861    </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 $</w:t>
            </w:r>
          </w:p>
        </w:tc>
        <w:tc>
          <w:tcPr>
            <w:tcW w:w="72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4,264  </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40" w:type="dxa"/>
            <w:vAlign w:val="bottom"/>
          </w:tcPr>
          <w:p>
            <w:pPr>
              <w:spacing w:after="0" w:line="192" w:lineRule="exact"/>
              <w:rPr>
                <w:sz w:val="20"/>
                <w:szCs w:val="20"/>
                <w:color w:val="auto"/>
              </w:rPr>
            </w:pPr>
            <w:r>
              <w:rPr>
                <w:rFonts w:ascii="Arial" w:cs="Arial" w:eastAsia="Arial" w:hAnsi="Arial"/>
                <w:sz w:val="17"/>
                <w:szCs w:val="17"/>
                <w:color w:val="auto"/>
              </w:rPr>
              <w:t>Computers and software</w:t>
            </w:r>
          </w:p>
        </w:tc>
        <w:tc>
          <w:tcPr>
            <w:tcW w:w="260" w:type="dxa"/>
            <w:vAlign w:val="bottom"/>
          </w:tcPr>
          <w:p>
            <w:pPr>
              <w:spacing w:after="0"/>
              <w:rPr>
                <w:sz w:val="16"/>
                <w:szCs w:val="16"/>
                <w:color w:val="auto"/>
              </w:rPr>
            </w:pPr>
          </w:p>
        </w:tc>
        <w:tc>
          <w:tcPr>
            <w:tcW w:w="1060" w:type="dxa"/>
            <w:vAlign w:val="bottom"/>
            <w:gridSpan w:val="2"/>
          </w:tcPr>
          <w:p>
            <w:pPr>
              <w:jc w:val="right"/>
              <w:ind w:right="40"/>
              <w:spacing w:after="0" w:line="192" w:lineRule="exact"/>
              <w:rPr>
                <w:sz w:val="20"/>
                <w:szCs w:val="20"/>
                <w:color w:val="auto"/>
              </w:rPr>
            </w:pPr>
            <w:r>
              <w:rPr>
                <w:rFonts w:ascii="Arial" w:cs="Arial" w:eastAsia="Arial" w:hAnsi="Arial"/>
                <w:sz w:val="17"/>
                <w:szCs w:val="17"/>
                <w:color w:val="auto"/>
              </w:rPr>
              <w:t>622    </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833  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4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Leasehold improvements</w:t>
            </w:r>
          </w:p>
        </w:tc>
        <w:tc>
          <w:tcPr>
            <w:tcW w:w="2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0"/>
              <w:spacing w:after="0" w:line="192" w:lineRule="exact"/>
              <w:rPr>
                <w:sz w:val="20"/>
                <w:szCs w:val="20"/>
                <w:color w:val="auto"/>
              </w:rPr>
            </w:pPr>
            <w:r>
              <w:rPr>
                <w:rFonts w:ascii="Arial" w:cs="Arial" w:eastAsia="Arial" w:hAnsi="Arial"/>
                <w:sz w:val="17"/>
                <w:szCs w:val="17"/>
                <w:color w:val="auto"/>
              </w:rPr>
              <w:t>46    </w:t>
            </w: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46  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40" w:type="dxa"/>
            <w:vAlign w:val="bottom"/>
          </w:tcPr>
          <w:p>
            <w:pPr>
              <w:spacing w:after="0" w:line="192" w:lineRule="exact"/>
              <w:rPr>
                <w:sz w:val="20"/>
                <w:szCs w:val="20"/>
                <w:color w:val="auto"/>
              </w:rPr>
            </w:pPr>
            <w:r>
              <w:rPr>
                <w:rFonts w:ascii="Arial" w:cs="Arial" w:eastAsia="Arial" w:hAnsi="Arial"/>
                <w:sz w:val="17"/>
                <w:szCs w:val="17"/>
                <w:color w:val="auto"/>
              </w:rPr>
              <w:t>Furniture and fixtures</w:t>
            </w:r>
          </w:p>
        </w:tc>
        <w:tc>
          <w:tcPr>
            <w:tcW w:w="260" w:type="dxa"/>
            <w:vAlign w:val="bottom"/>
          </w:tcPr>
          <w:p>
            <w:pPr>
              <w:spacing w:after="0"/>
              <w:rPr>
                <w:sz w:val="16"/>
                <w:szCs w:val="16"/>
                <w:color w:val="auto"/>
              </w:rPr>
            </w:pPr>
          </w:p>
        </w:tc>
        <w:tc>
          <w:tcPr>
            <w:tcW w:w="1060" w:type="dxa"/>
            <w:vAlign w:val="bottom"/>
            <w:gridSpan w:val="2"/>
          </w:tcPr>
          <w:p>
            <w:pPr>
              <w:jc w:val="right"/>
              <w:ind w:right="40"/>
              <w:spacing w:after="0" w:line="192" w:lineRule="exact"/>
              <w:rPr>
                <w:sz w:val="20"/>
                <w:szCs w:val="20"/>
                <w:color w:val="auto"/>
              </w:rPr>
            </w:pPr>
            <w:r>
              <w:rPr>
                <w:rFonts w:ascii="Arial" w:cs="Arial" w:eastAsia="Arial" w:hAnsi="Arial"/>
                <w:sz w:val="17"/>
                <w:szCs w:val="17"/>
                <w:color w:val="auto"/>
              </w:rPr>
              <w:t>204    </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157  </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784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Total property and equipment</w:t>
            </w:r>
          </w:p>
        </w:tc>
        <w:tc>
          <w:tcPr>
            <w:tcW w:w="2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0"/>
              <w:spacing w:after="0" w:line="192" w:lineRule="exact"/>
              <w:rPr>
                <w:sz w:val="20"/>
                <w:szCs w:val="20"/>
                <w:color w:val="auto"/>
              </w:rPr>
            </w:pPr>
            <w:r>
              <w:rPr>
                <w:rFonts w:ascii="Arial" w:cs="Arial" w:eastAsia="Arial" w:hAnsi="Arial"/>
                <w:sz w:val="17"/>
                <w:szCs w:val="17"/>
                <w:color w:val="auto"/>
              </w:rPr>
              <w:t>4,733    </w:t>
            </w: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5,300  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40" w:type="dxa"/>
            <w:vAlign w:val="bottom"/>
          </w:tcPr>
          <w:p>
            <w:pPr>
              <w:spacing w:after="0" w:line="192" w:lineRule="exact"/>
              <w:rPr>
                <w:sz w:val="20"/>
                <w:szCs w:val="20"/>
                <w:color w:val="auto"/>
              </w:rPr>
            </w:pPr>
            <w:r>
              <w:rPr>
                <w:rFonts w:ascii="Arial" w:cs="Arial" w:eastAsia="Arial" w:hAnsi="Arial"/>
                <w:sz w:val="17"/>
                <w:szCs w:val="17"/>
                <w:color w:val="auto"/>
              </w:rPr>
              <w:t>Less accumulated depreciation and amortization</w:t>
            </w:r>
          </w:p>
        </w:tc>
        <w:tc>
          <w:tcPr>
            <w:tcW w:w="260" w:type="dxa"/>
            <w:vAlign w:val="bottom"/>
          </w:tcPr>
          <w:p>
            <w:pPr>
              <w:spacing w:after="0"/>
              <w:rPr>
                <w:sz w:val="16"/>
                <w:szCs w:val="16"/>
                <w:color w:val="auto"/>
              </w:rPr>
            </w:pPr>
          </w:p>
        </w:tc>
        <w:tc>
          <w:tcPr>
            <w:tcW w:w="1060" w:type="dxa"/>
            <w:vAlign w:val="bottom"/>
            <w:gridSpan w:val="2"/>
          </w:tcPr>
          <w:p>
            <w:pPr>
              <w:jc w:val="right"/>
              <w:ind w:right="40"/>
              <w:spacing w:after="0" w:line="192" w:lineRule="exact"/>
              <w:rPr>
                <w:sz w:val="20"/>
                <w:szCs w:val="20"/>
                <w:color w:val="auto"/>
              </w:rPr>
            </w:pPr>
            <w:r>
              <w:rPr>
                <w:rFonts w:ascii="Arial" w:cs="Arial" w:eastAsia="Arial" w:hAnsi="Arial"/>
                <w:sz w:val="17"/>
                <w:szCs w:val="17"/>
                <w:color w:val="auto"/>
              </w:rPr>
              <w:t>1,811    </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2,727  </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7840" w:type="dxa"/>
            <w:vAlign w:val="bottom"/>
            <w:shd w:val="clear" w:color="auto" w:fill="CCEEFF"/>
          </w:tcPr>
          <w:p>
            <w:pPr>
              <w:ind w:left="320"/>
              <w:spacing w:after="0" w:line="192" w:lineRule="exact"/>
              <w:rPr>
                <w:sz w:val="20"/>
                <w:szCs w:val="20"/>
                <w:color w:val="auto"/>
              </w:rPr>
            </w:pPr>
            <w:r>
              <w:rPr>
                <w:rFonts w:ascii="Arial" w:cs="Arial" w:eastAsia="Arial" w:hAnsi="Arial"/>
                <w:sz w:val="17"/>
                <w:szCs w:val="17"/>
                <w:color w:val="auto"/>
              </w:rPr>
              <w:t>Property and equipment, net</w:t>
            </w:r>
          </w:p>
        </w:tc>
        <w:tc>
          <w:tcPr>
            <w:tcW w:w="26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 xml:space="preserve"> $  </w:t>
            </w:r>
          </w:p>
        </w:tc>
        <w:tc>
          <w:tcPr>
            <w:tcW w:w="1060" w:type="dxa"/>
            <w:vAlign w:val="bottom"/>
            <w:gridSpan w:val="2"/>
            <w:shd w:val="clear" w:color="auto" w:fill="CCEEFF"/>
          </w:tcPr>
          <w:p>
            <w:pPr>
              <w:jc w:val="right"/>
              <w:ind w:right="40"/>
              <w:spacing w:after="0" w:line="192" w:lineRule="exact"/>
              <w:rPr>
                <w:sz w:val="20"/>
                <w:szCs w:val="20"/>
                <w:color w:val="auto"/>
              </w:rPr>
            </w:pPr>
            <w:r>
              <w:rPr>
                <w:rFonts w:ascii="Arial" w:cs="Arial" w:eastAsia="Arial" w:hAnsi="Arial"/>
                <w:sz w:val="17"/>
                <w:szCs w:val="17"/>
                <w:color w:val="auto"/>
                <w:w w:val="99"/>
              </w:rPr>
              <w:t>      2,922    </w:t>
            </w:r>
          </w:p>
        </w:tc>
        <w:tc>
          <w:tcPr>
            <w:tcW w:w="460" w:type="dxa"/>
            <w:vAlign w:val="bottom"/>
            <w:gridSpan w:val="2"/>
            <w:shd w:val="clear" w:color="auto" w:fill="CCEEFF"/>
          </w:tcPr>
          <w:p>
            <w:pPr>
              <w:ind w:left="60"/>
              <w:spacing w:after="0" w:line="192" w:lineRule="exact"/>
              <w:rPr>
                <w:sz w:val="20"/>
                <w:szCs w:val="20"/>
                <w:color w:val="auto"/>
              </w:rPr>
            </w:pPr>
            <w:r>
              <w:rPr>
                <w:rFonts w:ascii="Arial" w:cs="Arial" w:eastAsia="Arial" w:hAnsi="Arial"/>
                <w:sz w:val="17"/>
                <w:szCs w:val="17"/>
                <w:color w:val="auto"/>
              </w:rPr>
              <w:t xml:space="preserve"> $     </w:t>
            </w:r>
          </w:p>
        </w:tc>
        <w:tc>
          <w:tcPr>
            <w:tcW w:w="78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w w:val="98"/>
              </w:rPr>
              <w:t>   2,573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420" w:right="440" w:firstLine="417"/>
        <w:spacing w:after="0" w:line="270" w:lineRule="auto"/>
        <w:rPr>
          <w:sz w:val="20"/>
          <w:szCs w:val="20"/>
          <w:color w:val="auto"/>
        </w:rPr>
      </w:pPr>
      <w:r>
        <w:rPr>
          <w:rFonts w:ascii="Arial" w:cs="Arial" w:eastAsia="Arial" w:hAnsi="Arial"/>
          <w:sz w:val="17"/>
          <w:szCs w:val="17"/>
          <w:color w:val="auto"/>
        </w:rPr>
        <w:t>Depreciation and amortization expense related to property and equipment was $0.9 million and $1.0 million for the years ended December 31, 2022 and 2023, respectively.</w:t>
      </w:r>
    </w:p>
    <w:p>
      <w:pPr>
        <w:spacing w:after="0" w:line="173" w:lineRule="exact"/>
        <w:rPr>
          <w:sz w:val="20"/>
          <w:szCs w:val="20"/>
          <w:color w:val="auto"/>
        </w:rPr>
      </w:pPr>
    </w:p>
    <w:p>
      <w:pPr>
        <w:ind w:left="820" w:hanging="409"/>
        <w:spacing w:after="0"/>
        <w:tabs>
          <w:tab w:leader="none" w:pos="820" w:val="left"/>
        </w:tabs>
        <w:numPr>
          <w:ilvl w:val="0"/>
          <w:numId w:val="109"/>
        </w:numPr>
        <w:rPr>
          <w:rFonts w:ascii="Arial" w:cs="Arial" w:eastAsia="Arial" w:hAnsi="Arial"/>
          <w:sz w:val="17"/>
          <w:szCs w:val="17"/>
          <w:b w:val="1"/>
          <w:bCs w:val="1"/>
          <w:color w:val="auto"/>
        </w:rPr>
      </w:pPr>
      <w:r>
        <w:rPr>
          <w:rFonts w:ascii="Arial" w:cs="Arial" w:eastAsia="Arial" w:hAnsi="Arial"/>
          <w:sz w:val="17"/>
          <w:szCs w:val="17"/>
          <w:b w:val="1"/>
          <w:bCs w:val="1"/>
          <w:color w:val="auto"/>
        </w:rPr>
        <w:t>Accounts Payable and Accrued Liabilities</w:t>
      </w:r>
    </w:p>
    <w:p>
      <w:pPr>
        <w:spacing w:after="0" w:line="98" w:lineRule="exact"/>
        <w:rPr>
          <w:rFonts w:ascii="Arial" w:cs="Arial" w:eastAsia="Arial" w:hAnsi="Arial"/>
          <w:sz w:val="17"/>
          <w:szCs w:val="17"/>
          <w:b w:val="1"/>
          <w:bCs w:val="1"/>
          <w:color w:val="auto"/>
        </w:rPr>
      </w:pPr>
    </w:p>
    <w:p>
      <w:pPr>
        <w:ind w:left="820"/>
        <w:spacing w:after="0"/>
        <w:rPr>
          <w:rFonts w:ascii="Arial" w:cs="Arial" w:eastAsia="Arial" w:hAnsi="Arial"/>
          <w:sz w:val="17"/>
          <w:szCs w:val="17"/>
          <w:b w:val="1"/>
          <w:bCs w:val="1"/>
          <w:color w:val="auto"/>
        </w:rPr>
      </w:pPr>
      <w:r>
        <w:rPr>
          <w:rFonts w:ascii="Arial" w:cs="Arial" w:eastAsia="Arial" w:hAnsi="Arial"/>
          <w:sz w:val="17"/>
          <w:szCs w:val="17"/>
          <w:color w:val="auto"/>
        </w:rPr>
        <w:t>Accounts payable and accrued liabilities consisted of the following (in thousands):</w:t>
      </w:r>
    </w:p>
    <w:p>
      <w:pPr>
        <w:spacing w:after="0" w:line="233" w:lineRule="exact"/>
        <w:rPr>
          <w:sz w:val="20"/>
          <w:szCs w:val="20"/>
          <w:color w:val="auto"/>
        </w:rPr>
      </w:pPr>
    </w:p>
    <w:tbl>
      <w:tblPr>
        <w:tblLayout w:type="fixed"/>
        <w:tblInd w:w="420" w:type="dxa"/>
        <w:tblCellMar>
          <w:top w:w="0" w:type="dxa"/>
          <w:left w:w="0" w:type="dxa"/>
          <w:bottom w:w="0" w:type="dxa"/>
          <w:right w:w="0" w:type="dxa"/>
        </w:tblCellMar>
      </w:tblPr>
      <w:tr>
        <w:trPr>
          <w:trHeight w:val="163"/>
        </w:trPr>
        <w:tc>
          <w:tcPr>
            <w:tcW w:w="7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6"/>
        </w:trPr>
        <w:tc>
          <w:tcPr>
            <w:tcW w:w="78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21"/>
              <w:spacing w:after="0" w:line="146"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8"/>
              <w:spacing w:after="0" w:line="146" w:lineRule="exact"/>
              <w:rPr>
                <w:sz w:val="20"/>
                <w:szCs w:val="20"/>
                <w:color w:val="auto"/>
              </w:rPr>
            </w:pPr>
            <w:r>
              <w:rPr>
                <w:rFonts w:ascii="Arial" w:cs="Arial" w:eastAsia="Arial" w:hAnsi="Arial"/>
                <w:sz w:val="14"/>
                <w:szCs w:val="14"/>
                <w:b w:val="1"/>
                <w:bCs w:val="1"/>
                <w:color w:val="auto"/>
                <w:w w:val="96"/>
              </w:rPr>
              <w:t>2023</w:t>
            </w:r>
          </w:p>
        </w:tc>
        <w:tc>
          <w:tcPr>
            <w:tcW w:w="60" w:type="dxa"/>
            <w:vAlign w:val="bottom"/>
            <w:tcBorders>
              <w:bottom w:val="single" w:sz="8" w:color="CCEEFF"/>
            </w:tcBorders>
          </w:tcPr>
          <w:p>
            <w:pPr>
              <w:spacing w:after="0"/>
              <w:rPr>
                <w:sz w:val="12"/>
                <w:szCs w:val="12"/>
                <w:color w:val="auto"/>
              </w:rPr>
            </w:pPr>
          </w:p>
        </w:tc>
      </w:tr>
      <w:tr>
        <w:trPr>
          <w:trHeight w:val="184"/>
        </w:trPr>
        <w:tc>
          <w:tcPr>
            <w:tcW w:w="78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Accounts payable</w:t>
            </w:r>
          </w:p>
        </w:tc>
        <w:tc>
          <w:tcPr>
            <w:tcW w:w="2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 $</w:t>
            </w:r>
          </w:p>
        </w:tc>
        <w:tc>
          <w:tcPr>
            <w:tcW w:w="86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1,402    </w:t>
            </w: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 $</w:t>
            </w:r>
          </w:p>
        </w:tc>
        <w:tc>
          <w:tcPr>
            <w:tcW w:w="72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2,222  </w:t>
            </w:r>
          </w:p>
        </w:tc>
        <w:tc>
          <w:tcPr>
            <w:tcW w:w="60" w:type="dxa"/>
            <w:vAlign w:val="bottom"/>
            <w:shd w:val="clear" w:color="auto" w:fill="CCEEFF"/>
          </w:tcPr>
          <w:p>
            <w:pPr>
              <w:spacing w:after="0"/>
              <w:rPr>
                <w:sz w:val="16"/>
                <w:szCs w:val="16"/>
                <w:color w:val="auto"/>
              </w:rPr>
            </w:pPr>
          </w:p>
        </w:tc>
      </w:tr>
      <w:tr>
        <w:trPr>
          <w:trHeight w:val="192"/>
        </w:trPr>
        <w:tc>
          <w:tcPr>
            <w:tcW w:w="7860" w:type="dxa"/>
            <w:vAlign w:val="bottom"/>
          </w:tcPr>
          <w:p>
            <w:pPr>
              <w:spacing w:after="0" w:line="192" w:lineRule="exact"/>
              <w:rPr>
                <w:sz w:val="20"/>
                <w:szCs w:val="20"/>
                <w:color w:val="auto"/>
              </w:rPr>
            </w:pPr>
            <w:r>
              <w:rPr>
                <w:rFonts w:ascii="Arial" w:cs="Arial" w:eastAsia="Arial" w:hAnsi="Arial"/>
                <w:sz w:val="17"/>
                <w:szCs w:val="17"/>
                <w:color w:val="auto"/>
              </w:rPr>
              <w:t>Accrued research and development costs</w:t>
            </w:r>
          </w:p>
        </w:tc>
        <w:tc>
          <w:tcPr>
            <w:tcW w:w="260" w:type="dxa"/>
            <w:vAlign w:val="bottom"/>
          </w:tcPr>
          <w:p>
            <w:pPr>
              <w:spacing w:after="0"/>
              <w:rPr>
                <w:sz w:val="16"/>
                <w:szCs w:val="16"/>
                <w:color w:val="auto"/>
              </w:rPr>
            </w:pPr>
          </w:p>
        </w:tc>
        <w:tc>
          <w:tcPr>
            <w:tcW w:w="1120" w:type="dxa"/>
            <w:vAlign w:val="bottom"/>
            <w:gridSpan w:val="2"/>
          </w:tcPr>
          <w:p>
            <w:pPr>
              <w:ind w:left="540"/>
              <w:spacing w:after="0" w:line="192" w:lineRule="exact"/>
              <w:rPr>
                <w:sz w:val="20"/>
                <w:szCs w:val="20"/>
                <w:color w:val="auto"/>
              </w:rPr>
            </w:pPr>
            <w:r>
              <w:rPr>
                <w:rFonts w:ascii="Arial" w:cs="Arial" w:eastAsia="Arial" w:hAnsi="Arial"/>
                <w:sz w:val="17"/>
                <w:szCs w:val="17"/>
                <w:color w:val="auto"/>
              </w:rPr>
              <w:t>967    </w:t>
            </w:r>
          </w:p>
        </w:tc>
        <w:tc>
          <w:tcPr>
            <w:tcW w:w="400" w:type="dxa"/>
            <w:vAlign w:val="bottom"/>
          </w:tcPr>
          <w:p>
            <w:pPr>
              <w:spacing w:after="0"/>
              <w:rPr>
                <w:sz w:val="16"/>
                <w:szCs w:val="16"/>
                <w:color w:val="auto"/>
              </w:rPr>
            </w:pPr>
          </w:p>
        </w:tc>
        <w:tc>
          <w:tcPr>
            <w:tcW w:w="78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1,575  </w:t>
            </w:r>
          </w:p>
        </w:tc>
      </w:tr>
      <w:tr>
        <w:trPr>
          <w:trHeight w:val="192"/>
        </w:trPr>
        <w:tc>
          <w:tcPr>
            <w:tcW w:w="786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Other accrued liabilities</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540"/>
              <w:spacing w:after="0" w:line="192" w:lineRule="exact"/>
              <w:rPr>
                <w:sz w:val="20"/>
                <w:szCs w:val="20"/>
                <w:color w:val="auto"/>
              </w:rPr>
            </w:pPr>
            <w:r>
              <w:rPr>
                <w:rFonts w:ascii="Arial" w:cs="Arial" w:eastAsia="Arial" w:hAnsi="Arial"/>
                <w:sz w:val="17"/>
                <w:szCs w:val="17"/>
                <w:color w:val="auto"/>
              </w:rPr>
              <w:t>469    </w:t>
            </w:r>
          </w:p>
        </w:tc>
        <w:tc>
          <w:tcPr>
            <w:tcW w:w="4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469  </w:t>
            </w:r>
          </w:p>
        </w:tc>
      </w:tr>
      <w:tr>
        <w:trPr>
          <w:trHeight w:val="197"/>
        </w:trPr>
        <w:tc>
          <w:tcPr>
            <w:tcW w:w="7860" w:type="dxa"/>
            <w:vAlign w:val="bottom"/>
          </w:tcPr>
          <w:p>
            <w:pPr>
              <w:spacing w:after="0"/>
              <w:rPr>
                <w:sz w:val="20"/>
                <w:szCs w:val="20"/>
                <w:color w:val="auto"/>
              </w:rPr>
            </w:pPr>
            <w:r>
              <w:rPr>
                <w:rFonts w:ascii="Arial" w:cs="Arial" w:eastAsia="Arial" w:hAnsi="Arial"/>
                <w:sz w:val="17"/>
                <w:szCs w:val="17"/>
                <w:color w:val="auto"/>
              </w:rPr>
              <w:t>Total accounts payable and accrued liabilities</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 xml:space="preserve"> $  </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3"/>
              </w:rPr>
              <w:t>      2,838    </w:t>
            </w:r>
          </w:p>
        </w:tc>
        <w:tc>
          <w:tcPr>
            <w:tcW w:w="26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 xml:space="preserve"> $     </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0"/>
              </w:rPr>
              <w:t>   4,266  </w:t>
            </w:r>
          </w:p>
        </w:tc>
        <w:tc>
          <w:tcPr>
            <w:tcW w:w="60" w:type="dxa"/>
            <w:vAlign w:val="bottom"/>
          </w:tcPr>
          <w:p>
            <w:pPr>
              <w:spacing w:after="0"/>
              <w:rPr>
                <w:sz w:val="17"/>
                <w:szCs w:val="17"/>
                <w:color w:val="auto"/>
              </w:rPr>
            </w:pPr>
          </w:p>
        </w:tc>
      </w:tr>
      <w:tr>
        <w:trPr>
          <w:trHeight w:val="20"/>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6" w:lineRule="exact"/>
        <w:rPr>
          <w:sz w:val="20"/>
          <w:szCs w:val="20"/>
          <w:color w:val="auto"/>
        </w:rPr>
      </w:pPr>
    </w:p>
    <w:p>
      <w:pPr>
        <w:ind w:left="820" w:hanging="409"/>
        <w:spacing w:after="0"/>
        <w:tabs>
          <w:tab w:leader="none" w:pos="820" w:val="left"/>
        </w:tabs>
        <w:numPr>
          <w:ilvl w:val="0"/>
          <w:numId w:val="110"/>
        </w:numPr>
        <w:rPr>
          <w:rFonts w:ascii="Arial" w:cs="Arial" w:eastAsia="Arial" w:hAnsi="Arial"/>
          <w:sz w:val="17"/>
          <w:szCs w:val="17"/>
          <w:b w:val="1"/>
          <w:bCs w:val="1"/>
          <w:color w:val="auto"/>
        </w:rPr>
      </w:pPr>
      <w:r>
        <w:rPr>
          <w:rFonts w:ascii="Arial" w:cs="Arial" w:eastAsia="Arial" w:hAnsi="Arial"/>
          <w:sz w:val="17"/>
          <w:szCs w:val="17"/>
          <w:b w:val="1"/>
          <w:bCs w:val="1"/>
          <w:color w:val="auto"/>
        </w:rPr>
        <w:t>Lease Agreements</w:t>
      </w:r>
    </w:p>
    <w:p>
      <w:pPr>
        <w:spacing w:after="0" w:line="98" w:lineRule="exact"/>
        <w:rPr>
          <w:rFonts w:ascii="Arial" w:cs="Arial" w:eastAsia="Arial" w:hAnsi="Arial"/>
          <w:sz w:val="17"/>
          <w:szCs w:val="17"/>
          <w:b w:val="1"/>
          <w:bCs w:val="1"/>
          <w:color w:val="auto"/>
        </w:rPr>
      </w:pPr>
    </w:p>
    <w:p>
      <w:pPr>
        <w:ind w:left="42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2022 Lease</w:t>
      </w:r>
    </w:p>
    <w:p>
      <w:pPr>
        <w:spacing w:after="0" w:line="98" w:lineRule="exact"/>
        <w:rPr>
          <w:sz w:val="20"/>
          <w:szCs w:val="20"/>
          <w:color w:val="auto"/>
        </w:rPr>
      </w:pPr>
    </w:p>
    <w:p>
      <w:pPr>
        <w:ind w:left="420" w:firstLine="417"/>
        <w:spacing w:after="0" w:line="238" w:lineRule="auto"/>
        <w:rPr>
          <w:sz w:val="20"/>
          <w:szCs w:val="20"/>
          <w:color w:val="auto"/>
        </w:rPr>
      </w:pPr>
      <w:r>
        <w:rPr>
          <w:rFonts w:ascii="Arial" w:cs="Arial" w:eastAsia="Arial" w:hAnsi="Arial"/>
          <w:sz w:val="17"/>
          <w:szCs w:val="17"/>
          <w:color w:val="auto"/>
        </w:rPr>
        <w:t>In March 2021, as amended in November 2021, the Company entered into a non-cancelable operating lease for a facility in San Diego, California (the 2022 Lease). The 2022 Lease had an initial term that ended in May 2024, although this was subsequently amended such that this lease now ends on that date occurring 14 days after the lease commencement date for the 2024 Lease (see below). The 2022 Lease provides for the rental of lab and office space, contains rent escalation provisions, and obligates the Company to pay a portion of the operating costs related to the underlying multitenant facility. Rental payments under the 2022 Lease commenced in mid-January 2022. Based on information obtained from its landlord, the Company has recorded an ROU asset and an associated lease obligation for the lab and office space leased under the 2022 Lease. The net ROU asset ($2.0 million) and associated lease obligation ($2.2 million) which are reflected in the Company’s balance sheet as of December 31, 2023, are estimates that will change should there be a change in the anticipated occupancy date of the property and associated campus underlying the 2024 Lease. The Company’s estimated incremental borrowing rate of approximately 8.0% was used in its present value calculation as the 2022 Lease does not have a stated rate and the implicit rate was not readily determinable.</w:t>
      </w:r>
    </w:p>
    <w:p>
      <w:pPr>
        <w:spacing w:after="0" w:line="180" w:lineRule="exact"/>
        <w:rPr>
          <w:sz w:val="20"/>
          <w:szCs w:val="20"/>
          <w:color w:val="auto"/>
        </w:rPr>
      </w:pPr>
    </w:p>
    <w:p>
      <w:pPr>
        <w:ind w:left="420" w:right="600" w:firstLine="417"/>
        <w:spacing w:after="0" w:line="270" w:lineRule="auto"/>
        <w:rPr>
          <w:sz w:val="20"/>
          <w:szCs w:val="20"/>
          <w:color w:val="auto"/>
        </w:rPr>
      </w:pPr>
      <w:r>
        <w:rPr>
          <w:rFonts w:ascii="Arial" w:cs="Arial" w:eastAsia="Arial" w:hAnsi="Arial"/>
          <w:sz w:val="17"/>
          <w:szCs w:val="17"/>
          <w:color w:val="auto"/>
        </w:rPr>
        <w:t>As of December 31, 2023, future minimum lease payments under the 2022 Lease are expected to total $2.3 million, including imputed interest of approximately $0.1 million. All future payments under the 2022 Lease are expected to occur in 2024.</w:t>
      </w:r>
    </w:p>
    <w:p>
      <w:pPr>
        <w:spacing w:after="0" w:line="8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0840"/>
          </w:cols>
          <w:pgMar w:left="320" w:top="440" w:right="7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2024 Lease</w:t>
      </w:r>
    </w:p>
    <w:p>
      <w:pPr>
        <w:spacing w:after="0" w:line="98" w:lineRule="exact"/>
        <w:rPr>
          <w:sz w:val="20"/>
          <w:szCs w:val="20"/>
          <w:color w:val="auto"/>
        </w:rPr>
      </w:pPr>
    </w:p>
    <w:p>
      <w:pPr>
        <w:ind w:left="420" w:right="100" w:firstLine="417"/>
        <w:spacing w:after="0" w:line="247" w:lineRule="auto"/>
        <w:rPr>
          <w:sz w:val="20"/>
          <w:szCs w:val="20"/>
          <w:color w:val="auto"/>
        </w:rPr>
      </w:pPr>
      <w:r>
        <w:rPr>
          <w:rFonts w:ascii="Arial" w:cs="Arial" w:eastAsia="Arial" w:hAnsi="Arial"/>
          <w:sz w:val="17"/>
          <w:szCs w:val="17"/>
          <w:color w:val="auto"/>
        </w:rPr>
        <w:t>In December 2021, the Company entered a non-cancelable facility lease for approximately 80,000 square feet of lab and office space in La Jolla, California (the 2024 Lease). The facility to be occupied by the Company under the 2024 lease will be built to the Company’s specifications; the 2024 Lease agreement includes tenant improvement allowances totaling $22.0 million, repayment of which is included in the future minimum lease payments called for under the agreement.</w:t>
      </w:r>
    </w:p>
    <w:p>
      <w:pPr>
        <w:spacing w:after="0" w:line="166" w:lineRule="exact"/>
        <w:rPr>
          <w:sz w:val="20"/>
          <w:szCs w:val="20"/>
          <w:color w:val="auto"/>
        </w:rPr>
      </w:pPr>
    </w:p>
    <w:p>
      <w:pPr>
        <w:ind w:left="420" w:firstLine="417"/>
        <w:spacing w:after="0" w:line="241" w:lineRule="auto"/>
        <w:rPr>
          <w:sz w:val="20"/>
          <w:szCs w:val="20"/>
          <w:color w:val="auto"/>
        </w:rPr>
      </w:pPr>
      <w:r>
        <w:rPr>
          <w:rFonts w:ascii="Arial" w:cs="Arial" w:eastAsia="Arial" w:hAnsi="Arial"/>
          <w:sz w:val="17"/>
          <w:szCs w:val="17"/>
          <w:color w:val="auto"/>
        </w:rPr>
        <w:t>As of December 31, 2023, although construction of the property underlying the 2024 Lease is underway, the commencement date of the 2024 lease has not yet been determined. At completion of construction, the Company will occupy the facility for a 120-month term, with payments under the lease commencing after a six-month rent abatement period and continuing through the conclusion of the term. As of December 31, 2023, the landlord has advised the Company that this property will be available for occupancy in October 2024. This date is an estimate which is subject to change based on the delivery of the property and its associated campus. The 2024 Lease includes base lease payments aggregating $71.9 million, as well as additional charges for common area maintenance and property taxes. The Company has the right to extend the term of the 2024 Lease for an additional 60 months.</w:t>
      </w:r>
    </w:p>
    <w:p>
      <w:pPr>
        <w:spacing w:after="0" w:line="172" w:lineRule="exact"/>
        <w:rPr>
          <w:sz w:val="20"/>
          <w:szCs w:val="20"/>
          <w:color w:val="auto"/>
        </w:rPr>
      </w:pPr>
    </w:p>
    <w:p>
      <w:pPr>
        <w:ind w:left="420" w:right="60" w:firstLine="417"/>
        <w:spacing w:after="0" w:line="270" w:lineRule="auto"/>
        <w:rPr>
          <w:sz w:val="20"/>
          <w:szCs w:val="20"/>
          <w:color w:val="auto"/>
        </w:rPr>
      </w:pPr>
      <w:r>
        <w:rPr>
          <w:rFonts w:ascii="Arial" w:cs="Arial" w:eastAsia="Arial" w:hAnsi="Arial"/>
          <w:sz w:val="17"/>
          <w:szCs w:val="17"/>
          <w:color w:val="auto"/>
        </w:rPr>
        <w:t>Additionally, as a security deposit under this agreement, the Company is required to maintain a standby letter-of-credit in the amount of $0.5 million, which must remain in place until November 2034.</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Operating Leases</w:t>
      </w:r>
    </w:p>
    <w:p>
      <w:pPr>
        <w:spacing w:after="0" w:line="98" w:lineRule="exact"/>
        <w:rPr>
          <w:sz w:val="20"/>
          <w:szCs w:val="20"/>
          <w:color w:val="auto"/>
        </w:rPr>
      </w:pPr>
    </w:p>
    <w:p>
      <w:pPr>
        <w:ind w:left="420" w:right="80" w:firstLine="417"/>
        <w:spacing w:after="0" w:line="270" w:lineRule="auto"/>
        <w:rPr>
          <w:sz w:val="20"/>
          <w:szCs w:val="20"/>
          <w:color w:val="auto"/>
        </w:rPr>
      </w:pPr>
      <w:r>
        <w:rPr>
          <w:rFonts w:ascii="Arial" w:cs="Arial" w:eastAsia="Arial" w:hAnsi="Arial"/>
          <w:sz w:val="17"/>
          <w:szCs w:val="17"/>
          <w:color w:val="auto"/>
        </w:rPr>
        <w:t>The Company has made upfront payments under its lease agreements totaling $0.8 million, $0.5 million of which is included in other long-term assets on the balance sheet as of December 31, 2023 with the remainder included in other current assets.</w:t>
      </w:r>
    </w:p>
    <w:p>
      <w:pPr>
        <w:spacing w:after="0" w:line="148" w:lineRule="exact"/>
        <w:rPr>
          <w:sz w:val="20"/>
          <w:szCs w:val="20"/>
          <w:color w:val="auto"/>
        </w:rPr>
      </w:pPr>
    </w:p>
    <w:p>
      <w:pPr>
        <w:ind w:left="420" w:right="100" w:firstLine="417"/>
        <w:spacing w:after="0" w:line="252" w:lineRule="auto"/>
        <w:rPr>
          <w:sz w:val="20"/>
          <w:szCs w:val="20"/>
          <w:color w:val="auto"/>
        </w:rPr>
      </w:pPr>
      <w:r>
        <w:rPr>
          <w:rFonts w:ascii="Arial" w:cs="Arial" w:eastAsia="Arial" w:hAnsi="Arial"/>
          <w:sz w:val="17"/>
          <w:szCs w:val="17"/>
          <w:color w:val="auto"/>
        </w:rPr>
        <w:t>For the year ended December 31, 2022, payments associated with the Company’s lease arrangements totaled $1.7 million, which included operating lease costs of $1.4 million, variable lease costs of $0.2 million and short-term lease costs of $0.1 million. Cash paid for operating lease liabilities during the year ended December 31, 2022 totaled $1.4 million.</w:t>
      </w:r>
    </w:p>
    <w:p>
      <w:pPr>
        <w:spacing w:after="0" w:line="164" w:lineRule="exact"/>
        <w:rPr>
          <w:sz w:val="20"/>
          <w:szCs w:val="20"/>
          <w:color w:val="auto"/>
        </w:rPr>
      </w:pPr>
    </w:p>
    <w:p>
      <w:pPr>
        <w:ind w:left="420" w:right="80" w:firstLine="417"/>
        <w:spacing w:after="0" w:line="252" w:lineRule="auto"/>
        <w:rPr>
          <w:sz w:val="20"/>
          <w:szCs w:val="20"/>
          <w:color w:val="auto"/>
        </w:rPr>
      </w:pPr>
      <w:r>
        <w:rPr>
          <w:rFonts w:ascii="Arial" w:cs="Arial" w:eastAsia="Arial" w:hAnsi="Arial"/>
          <w:sz w:val="17"/>
          <w:szCs w:val="17"/>
          <w:color w:val="auto"/>
        </w:rPr>
        <w:t>For the year ended December 31, 2023, payments associated with the Company’s lease arrangements totaled $2.8 million, which included operating lease costs of $ 2.8 million, and variable lease costs of $21,000. Cash paid for operating lease liabilities during the year ended December 31, 2023 totaled $2.6 million.</w:t>
      </w:r>
    </w:p>
    <w:p>
      <w:pPr>
        <w:spacing w:after="0" w:line="189" w:lineRule="exact"/>
        <w:rPr>
          <w:sz w:val="20"/>
          <w:szCs w:val="20"/>
          <w:color w:val="auto"/>
        </w:rPr>
      </w:pPr>
    </w:p>
    <w:p>
      <w:pPr>
        <w:ind w:left="420" w:right="7320" w:hanging="9"/>
        <w:spacing w:after="0" w:line="360" w:lineRule="auto"/>
        <w:tabs>
          <w:tab w:leader="none" w:pos="829" w:val="left"/>
        </w:tabs>
        <w:numPr>
          <w:ilvl w:val="0"/>
          <w:numId w:val="1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Contracts</w:t>
      </w:r>
    </w:p>
    <w:p>
      <w:pPr>
        <w:spacing w:after="0" w:line="1" w:lineRule="exact"/>
        <w:rPr>
          <w:sz w:val="20"/>
          <w:szCs w:val="20"/>
          <w:color w:val="auto"/>
        </w:rPr>
      </w:pPr>
    </w:p>
    <w:p>
      <w:pPr>
        <w:ind w:left="420" w:right="20" w:firstLine="417"/>
        <w:spacing w:after="0" w:line="252" w:lineRule="auto"/>
        <w:rPr>
          <w:sz w:val="20"/>
          <w:szCs w:val="20"/>
          <w:color w:val="auto"/>
        </w:rPr>
      </w:pPr>
      <w:r>
        <w:rPr>
          <w:rFonts w:ascii="Arial" w:cs="Arial" w:eastAsia="Arial" w:hAnsi="Arial"/>
          <w:sz w:val="17"/>
          <w:szCs w:val="17"/>
          <w:color w:val="auto"/>
        </w:rPr>
        <w:t>The Company enters into contracts in the normal course of business with various third parties for preclinical research studies, clinical trials, testing, manufacturing, and other services. These contracts generally provide for termination upon notice and are cancellable without significant penalty or payment, and do not contain any minimum purchase commitments.</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Indemnification Agreements</w:t>
      </w:r>
    </w:p>
    <w:p>
      <w:pPr>
        <w:spacing w:after="0" w:line="98" w:lineRule="exact"/>
        <w:rPr>
          <w:sz w:val="20"/>
          <w:szCs w:val="20"/>
          <w:color w:val="auto"/>
        </w:rPr>
      </w:pPr>
    </w:p>
    <w:p>
      <w:pPr>
        <w:ind w:left="420" w:right="80" w:firstLine="417"/>
        <w:spacing w:after="0" w:line="239"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officers and members of its Board of Directors that will require the Company, among other things, to indemnify them against certain liabilities that may arise by reason of their status or service as directors or officers. The maximum potential future payments the Company could be required to make under these indemnification agreements is, in many cases, unlimited. To date, the Company has not incurred any material costs because of these indemnifications. The Company does not believe that the outcome of any claims under indemnification arrangements will have a material effect on its financial position, results of operations or cash flows, and it has not accrued any liabilities related to such obligations in its financial statements as of December 31, 2022 and 2023.</w:t>
      </w:r>
    </w:p>
    <w:p>
      <w:pPr>
        <w:spacing w:after="0" w:line="113"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0840"/>
          </w:cols>
          <w:pgMar w:left="320" w:top="439" w:right="7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Litigation</w:t>
      </w:r>
    </w:p>
    <w:p>
      <w:pPr>
        <w:spacing w:after="0" w:line="98" w:lineRule="exact"/>
        <w:rPr>
          <w:sz w:val="20"/>
          <w:szCs w:val="20"/>
          <w:color w:val="auto"/>
        </w:rPr>
      </w:pPr>
    </w:p>
    <w:p>
      <w:pPr>
        <w:ind w:left="420" w:right="40" w:firstLine="417"/>
        <w:spacing w:after="0" w:line="247" w:lineRule="auto"/>
        <w:rPr>
          <w:sz w:val="20"/>
          <w:szCs w:val="20"/>
          <w:color w:val="auto"/>
        </w:rPr>
      </w:pPr>
      <w:r>
        <w:rPr>
          <w:rFonts w:ascii="Arial" w:cs="Arial" w:eastAsia="Arial" w:hAnsi="Arial"/>
          <w:sz w:val="17"/>
          <w:szCs w:val="17"/>
          <w:color w:val="auto"/>
        </w:rPr>
        <w:t>Liabilities for loss contingencies arising from claims, assessments, litigation, fines, penalties, and other sources are recorded when it is probable that a liability has been incurred and the amount can be reasonably estimated. There are no matters currently outstanding for which any liabilities have been accrued. The Company was not a defendant in any lawsuit for the years ended December 31, 2022 and 2023.</w:t>
      </w:r>
    </w:p>
    <w:p>
      <w:pPr>
        <w:spacing w:after="0" w:line="192" w:lineRule="exact"/>
        <w:rPr>
          <w:sz w:val="20"/>
          <w:szCs w:val="20"/>
          <w:color w:val="auto"/>
        </w:rPr>
      </w:pPr>
    </w:p>
    <w:p>
      <w:pPr>
        <w:ind w:left="820" w:hanging="409"/>
        <w:spacing w:after="0"/>
        <w:tabs>
          <w:tab w:leader="none" w:pos="820" w:val="left"/>
        </w:tabs>
        <w:numPr>
          <w:ilvl w:val="0"/>
          <w:numId w:val="112"/>
        </w:numPr>
        <w:rPr>
          <w:rFonts w:ascii="Arial" w:cs="Arial" w:eastAsia="Arial" w:hAnsi="Arial"/>
          <w:sz w:val="17"/>
          <w:szCs w:val="17"/>
          <w:b w:val="1"/>
          <w:bCs w:val="1"/>
          <w:color w:val="auto"/>
        </w:rPr>
      </w:pPr>
      <w:r>
        <w:rPr>
          <w:rFonts w:ascii="Arial" w:cs="Arial" w:eastAsia="Arial" w:hAnsi="Arial"/>
          <w:sz w:val="17"/>
          <w:szCs w:val="17"/>
          <w:b w:val="1"/>
          <w:bCs w:val="1"/>
          <w:color w:val="auto"/>
        </w:rPr>
        <w:t>Convertible Preferred Stock</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Series A, B, and C Convertible Preferred Stock</w:t>
      </w:r>
    </w:p>
    <w:p>
      <w:pPr>
        <w:spacing w:after="0" w:line="98"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Company issued its convertible preferred stock in a series of transactions as follows:</w:t>
      </w:r>
    </w:p>
    <w:p>
      <w:pPr>
        <w:spacing w:after="0" w:line="111" w:lineRule="exact"/>
        <w:rPr>
          <w:sz w:val="20"/>
          <w:szCs w:val="20"/>
          <w:color w:val="auto"/>
        </w:rPr>
      </w:pPr>
    </w:p>
    <w:p>
      <w:pPr>
        <w:ind w:left="1540" w:right="460" w:hanging="298"/>
        <w:spacing w:after="0" w:line="270" w:lineRule="auto"/>
        <w:tabs>
          <w:tab w:leader="none" w:pos="15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In August 2018, 7,142,857 shares of Series A convertible preferred stock were issued for cash at a price of $0.70 per share, resulting in aggregate net proceeds of $4.9 million;</w:t>
      </w:r>
    </w:p>
    <w:p>
      <w:pPr>
        <w:spacing w:after="0" w:line="58" w:lineRule="exact"/>
        <w:rPr>
          <w:rFonts w:ascii="Arial" w:cs="Arial" w:eastAsia="Arial" w:hAnsi="Arial"/>
          <w:sz w:val="17"/>
          <w:szCs w:val="17"/>
          <w:color w:val="auto"/>
        </w:rPr>
      </w:pPr>
    </w:p>
    <w:p>
      <w:pPr>
        <w:ind w:left="1540" w:right="280" w:hanging="298"/>
        <w:spacing w:after="0" w:line="270" w:lineRule="auto"/>
        <w:tabs>
          <w:tab w:leader="none" w:pos="15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In June 2019, an additional 26,046,438 shares of Series A convertible preferred stock were issued for cash at a price of $0.70 per share, resulting in aggregate net proceeds of $18.1 million;</w:t>
      </w:r>
    </w:p>
    <w:p>
      <w:pPr>
        <w:spacing w:after="0" w:line="58" w:lineRule="exact"/>
        <w:rPr>
          <w:rFonts w:ascii="Arial" w:cs="Arial" w:eastAsia="Arial" w:hAnsi="Arial"/>
          <w:sz w:val="17"/>
          <w:szCs w:val="17"/>
          <w:color w:val="auto"/>
        </w:rPr>
      </w:pPr>
    </w:p>
    <w:p>
      <w:pPr>
        <w:ind w:left="1540" w:right="360" w:hanging="298"/>
        <w:spacing w:after="0" w:line="270" w:lineRule="auto"/>
        <w:tabs>
          <w:tab w:leader="none" w:pos="15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In July 2020, an additional 33,189,295 shares of Series A convertible preferred stock were issued for cash at a price of $0.70 per share, resulting in aggregate net proceeds of $23.2 million;</w:t>
      </w:r>
    </w:p>
    <w:p>
      <w:pPr>
        <w:spacing w:after="0" w:line="58" w:lineRule="exact"/>
        <w:rPr>
          <w:rFonts w:ascii="Arial" w:cs="Arial" w:eastAsia="Arial" w:hAnsi="Arial"/>
          <w:sz w:val="17"/>
          <w:szCs w:val="17"/>
          <w:color w:val="auto"/>
        </w:rPr>
      </w:pPr>
    </w:p>
    <w:p>
      <w:pPr>
        <w:jc w:val="both"/>
        <w:ind w:left="1540" w:right="120" w:hanging="298"/>
        <w:spacing w:after="0" w:line="252" w:lineRule="auto"/>
        <w:tabs>
          <w:tab w:leader="none" w:pos="15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In April 2021, the Company entered into a Series B convertible preferred stock purchase agreement under which it issued 78,211,116 shares of its Series B convertible preferred stock for cash, at a price of $1.35 per share, resulting in aggregate net proceeds of $105.3 million.</w:t>
      </w:r>
    </w:p>
    <w:p>
      <w:pPr>
        <w:spacing w:after="0" w:line="74" w:lineRule="exact"/>
        <w:rPr>
          <w:rFonts w:ascii="Arial" w:cs="Arial" w:eastAsia="Arial" w:hAnsi="Arial"/>
          <w:sz w:val="17"/>
          <w:szCs w:val="17"/>
          <w:color w:val="auto"/>
        </w:rPr>
      </w:pPr>
    </w:p>
    <w:p>
      <w:pPr>
        <w:ind w:left="1540" w:right="80" w:hanging="298"/>
        <w:spacing w:after="0" w:line="252" w:lineRule="auto"/>
        <w:tabs>
          <w:tab w:leader="none" w:pos="15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In April and May 2023, the Company entered into a Series C convertible preferred stock purchase agreement under which it issued 142,857,138 shares of Series C convertible preferred stock for cash, at a price of $0.70 per share, resulting in aggregate net proceeds of $99.7 million.</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Rights, Preferences, and Privileges of Convertible Preferred Stock</w:t>
      </w:r>
    </w:p>
    <w:p>
      <w:pPr>
        <w:spacing w:after="0" w:line="98" w:lineRule="exact"/>
        <w:rPr>
          <w:sz w:val="20"/>
          <w:szCs w:val="20"/>
          <w:color w:val="auto"/>
        </w:rPr>
      </w:pPr>
    </w:p>
    <w:p>
      <w:pPr>
        <w:ind w:left="420" w:right="320" w:firstLine="417"/>
        <w:spacing w:after="0" w:line="270" w:lineRule="auto"/>
        <w:rPr>
          <w:sz w:val="20"/>
          <w:szCs w:val="20"/>
          <w:color w:val="auto"/>
        </w:rPr>
      </w:pPr>
      <w:r>
        <w:rPr>
          <w:rFonts w:ascii="Arial" w:cs="Arial" w:eastAsia="Arial" w:hAnsi="Arial"/>
          <w:sz w:val="17"/>
          <w:szCs w:val="17"/>
          <w:color w:val="auto"/>
        </w:rPr>
        <w:t>The holders of the Company’s Series A, B and C convertible preferred stock (collectively, the Preferred Stock) have the following rights, preferences, and privileges: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Voting Rights</w:t>
      </w:r>
    </w:p>
    <w:p>
      <w:pPr>
        <w:spacing w:after="0" w:line="96" w:lineRule="exact"/>
        <w:rPr>
          <w:sz w:val="20"/>
          <w:szCs w:val="20"/>
          <w:color w:val="auto"/>
        </w:rPr>
      </w:pPr>
    </w:p>
    <w:p>
      <w:pPr>
        <w:ind w:left="420" w:right="380" w:firstLine="417"/>
        <w:spacing w:after="0" w:line="252" w:lineRule="auto"/>
        <w:rPr>
          <w:sz w:val="20"/>
          <w:szCs w:val="20"/>
          <w:color w:val="auto"/>
        </w:rPr>
      </w:pPr>
      <w:r>
        <w:rPr>
          <w:rFonts w:ascii="Arial" w:cs="Arial" w:eastAsia="Arial" w:hAnsi="Arial"/>
          <w:sz w:val="17"/>
          <w:szCs w:val="17"/>
          <w:color w:val="auto"/>
        </w:rPr>
        <w:t>The holders of Preferred Stock are entitled to vote, together with the holders of common stock, on all matters submitted to the stockholders for a vote and are entitled to the number of votes equal to the number of whole shares of common stock into which such holders of Preferred Stock could convert on the record date of for determination of stockholders entitled to vote.</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Dividends</w:t>
      </w:r>
    </w:p>
    <w:p>
      <w:pPr>
        <w:spacing w:after="0" w:line="96" w:lineRule="exact"/>
        <w:rPr>
          <w:sz w:val="20"/>
          <w:szCs w:val="20"/>
          <w:color w:val="auto"/>
        </w:rPr>
      </w:pPr>
    </w:p>
    <w:p>
      <w:pPr>
        <w:ind w:left="420" w:firstLine="417"/>
        <w:spacing w:after="0" w:line="242" w:lineRule="auto"/>
        <w:rPr>
          <w:sz w:val="20"/>
          <w:szCs w:val="20"/>
          <w:color w:val="auto"/>
        </w:rPr>
      </w:pPr>
      <w:r>
        <w:rPr>
          <w:rFonts w:ascii="Arial" w:cs="Arial" w:eastAsia="Arial" w:hAnsi="Arial"/>
          <w:sz w:val="17"/>
          <w:szCs w:val="17"/>
          <w:color w:val="auto"/>
        </w:rPr>
        <w:t>The Company cannot declare and pay any common stock dividends without first declaring and paying dividends, as defined in the terms of the Company’s amended and restated certificate of incorporation, to the convertible preferred stockholders. The holders of Preferred Stock are entitled to receive, when, as and if declared by the Company’s Board of Directors, noncumulative dividends at the rate of 6.0% of the applicable original issue price of such Preferred Stock (Original Issue Price), subject to appropriate adjustment in the event of any stock dividend, stock split, combination, or other similar recapitalization with respect to the Preferred Stock. No dividends have been declared as of December 31, 2022 or 2023, respectively.</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Liquidation Rights</w:t>
      </w:r>
    </w:p>
    <w:p>
      <w:pPr>
        <w:spacing w:after="0" w:line="96" w:lineRule="exact"/>
        <w:rPr>
          <w:sz w:val="20"/>
          <w:szCs w:val="20"/>
          <w:color w:val="auto"/>
        </w:rPr>
      </w:pPr>
    </w:p>
    <w:p>
      <w:pPr>
        <w:ind w:left="420" w:firstLine="417"/>
        <w:spacing w:after="0" w:line="241" w:lineRule="auto"/>
        <w:rPr>
          <w:sz w:val="20"/>
          <w:szCs w:val="20"/>
          <w:color w:val="auto"/>
        </w:rPr>
      </w:pPr>
      <w:r>
        <w:rPr>
          <w:rFonts w:ascii="Arial" w:cs="Arial" w:eastAsia="Arial" w:hAnsi="Arial"/>
          <w:sz w:val="17"/>
          <w:szCs w:val="17"/>
          <w:color w:val="auto"/>
        </w:rPr>
        <w:t>In the event of any voluntary or involuntary liquidation, dissolution or winding up of the Company or Deemed Liquidation Event (as defined in the Company’s amended and restated certificate of incorporation), each holder of Preferred Stock is entitled to receive, prior and in preference to any distributions to the common stockholders, an amount equal to the greater of (i) the Original Issue Price per share, plus any declared but unpaid dividends thereon or (ii) the amount such holder would have received if such holder had converted its shares into common stock immediately prior to such liquidation event. If the assets available for distribution to the holders of Preferred Stock are insufficient to pay such holders the full amounts to which they are entitled, the assets available for distribution will be distributed on a pro rata</w:t>
      </w:r>
    </w:p>
    <w:p>
      <w:pPr>
        <w:spacing w:after="0" w:line="10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0820"/>
          </w:cols>
          <w:pgMar w:left="320" w:top="439" w:right="75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both"/>
        <w:ind w:left="420" w:right="20"/>
        <w:spacing w:after="0" w:line="252" w:lineRule="auto"/>
        <w:rPr>
          <w:sz w:val="20"/>
          <w:szCs w:val="20"/>
          <w:color w:val="auto"/>
        </w:rPr>
      </w:pPr>
      <w:r>
        <w:rPr>
          <w:rFonts w:ascii="Arial" w:cs="Arial" w:eastAsia="Arial" w:hAnsi="Arial"/>
          <w:sz w:val="17"/>
          <w:szCs w:val="17"/>
          <w:color w:val="auto"/>
        </w:rPr>
        <w:t>basis among the holders of the Preferred Stock in proportion to the respective amounts that would otherwise be payable in respect of such stock. After payments have been made in full to the holders of Preferred Stock, then, to the extent available, the remaining amounts would be distributed among the holders of the common stock, pro rata based on the number of shares held by each holder.</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Conversion Rights</w:t>
      </w:r>
    </w:p>
    <w:p>
      <w:pPr>
        <w:spacing w:after="0" w:line="96" w:lineRule="exact"/>
        <w:rPr>
          <w:sz w:val="20"/>
          <w:szCs w:val="20"/>
          <w:color w:val="auto"/>
        </w:rPr>
      </w:pPr>
    </w:p>
    <w:p>
      <w:pPr>
        <w:ind w:left="420" w:firstLine="417"/>
        <w:spacing w:after="0" w:line="238" w:lineRule="auto"/>
        <w:rPr>
          <w:sz w:val="20"/>
          <w:szCs w:val="20"/>
          <w:color w:val="auto"/>
        </w:rPr>
      </w:pPr>
      <w:r>
        <w:rPr>
          <w:rFonts w:ascii="Arial" w:cs="Arial" w:eastAsia="Arial" w:hAnsi="Arial"/>
          <w:sz w:val="17"/>
          <w:szCs w:val="17"/>
          <w:color w:val="auto"/>
        </w:rPr>
        <w:t>The shares of Preferred Stock are convertible into an equal number of shares of common stock, at the option of the holder, subject to certain anti-dilution adjustments. Each share of Preferred Stock will be automatically converted into common stock, (A) immediately upon the closing of a firmly underwritten public offering pursuant to an effective registration statement under the Securities Act of 1933, as amended, covering the offer and sale of common stock for the account of the Company in which the aggregate gross proceeds is at least $50.0 million and the public offering price of at least $1.6875 per share, subject to appropriate adjustment in the event of any stock dividend, stock split, combination or other similar recapitalization (Qualified IPO Price), (B) at any time upon the affirmative election of the holders of at least 60% of the outstanding shares of the Preferred Stock, including at least one of the holders holding, together with its affiliates, the most, the second most or the third most shares of Series B Preferred Stock, or (C) the closing of a transaction pursuant to which (i) the Company is merged into, or otherwise combines with, a special purpose acquisition company, or subsidiary thereof, listed on a national securities exchange (SPAC Entity) at a value per share of at least the Qualified IPO Price and (ii) the shares of capital stock of the Company immediately outstanding prior to such transaction are converted to or exchanged for shares of capital stock that represent a majority, by voting power, of the capital stock of the SPAC Entity.</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Redemption</w:t>
      </w:r>
    </w:p>
    <w:p>
      <w:pPr>
        <w:spacing w:after="0" w:line="96" w:lineRule="exact"/>
        <w:rPr>
          <w:sz w:val="20"/>
          <w:szCs w:val="20"/>
          <w:color w:val="auto"/>
        </w:rPr>
      </w:pPr>
    </w:p>
    <w:p>
      <w:pPr>
        <w:ind w:left="420" w:right="520" w:firstLine="417"/>
        <w:spacing w:after="0" w:line="270" w:lineRule="auto"/>
        <w:rPr>
          <w:sz w:val="20"/>
          <w:szCs w:val="20"/>
          <w:color w:val="auto"/>
        </w:rPr>
      </w:pPr>
      <w:r>
        <w:rPr>
          <w:rFonts w:ascii="Arial" w:cs="Arial" w:eastAsia="Arial" w:hAnsi="Arial"/>
          <w:sz w:val="17"/>
          <w:szCs w:val="17"/>
          <w:color w:val="auto"/>
        </w:rPr>
        <w:t>The Preferred Stock does not have redemption rights, except for the contingent redemption upon the occurrence of a Deemed Liquidation Event (as defined in the Company’s amended and restated certificate of incorporation).</w:t>
      </w:r>
    </w:p>
    <w:p>
      <w:pPr>
        <w:spacing w:after="0" w:line="173" w:lineRule="exact"/>
        <w:rPr>
          <w:sz w:val="20"/>
          <w:szCs w:val="20"/>
          <w:color w:val="auto"/>
        </w:rPr>
      </w:pPr>
    </w:p>
    <w:p>
      <w:pPr>
        <w:ind w:left="420" w:right="8600" w:hanging="9"/>
        <w:spacing w:after="0" w:line="383" w:lineRule="auto"/>
        <w:tabs>
          <w:tab w:leader="none" w:pos="829"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Common Stock </w:t>
      </w:r>
      <w:r>
        <w:rPr>
          <w:rFonts w:ascii="Arial" w:cs="Arial" w:eastAsia="Arial" w:hAnsi="Arial"/>
          <w:sz w:val="16"/>
          <w:szCs w:val="16"/>
          <w:b w:val="1"/>
          <w:bCs w:val="1"/>
          <w:i w:val="1"/>
          <w:iCs w:val="1"/>
          <w:color w:val="auto"/>
        </w:rPr>
        <w:t>Common Stock Rights</w:t>
      </w:r>
    </w:p>
    <w:p>
      <w:pPr>
        <w:spacing w:after="0" w:line="1" w:lineRule="exact"/>
        <w:rPr>
          <w:sz w:val="20"/>
          <w:szCs w:val="20"/>
          <w:color w:val="auto"/>
        </w:rPr>
      </w:pPr>
    </w:p>
    <w:p>
      <w:pPr>
        <w:ind w:left="420" w:right="100" w:firstLine="417"/>
        <w:spacing w:after="0" w:line="241" w:lineRule="auto"/>
        <w:rPr>
          <w:sz w:val="20"/>
          <w:szCs w:val="20"/>
          <w:color w:val="auto"/>
        </w:rPr>
      </w:pPr>
      <w:r>
        <w:rPr>
          <w:rFonts w:ascii="Arial" w:cs="Arial" w:eastAsia="Arial" w:hAnsi="Arial"/>
          <w:sz w:val="17"/>
          <w:szCs w:val="17"/>
          <w:color w:val="auto"/>
        </w:rPr>
        <w:t>The holder of each outstanding share of common stock is entitled to one vote on all matters submitted to a vote of the holders of common stock. Subject to the rights of the holders of any class of the Company’s capital stock having any preference or priority over common stock, the holders of common stock are entitled to receive dividends that are declared by the Company’s Board of Directors out of legally available funds. In the event of a liquidation, dissolution or winding-up, the holders of common stock are entitled to share ratably in the net assets remaining after payment of liabilities and the liquidation value of the Preferred Stock then outstanding. The common stock has no preemptive rights, conversion rights, redemption rights or sinking fund provisions, and there are no dividends in arrears or default. All shares of common stock have equal distribution, liquidation and voting rights, and have no preferences or exchange rights.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Common Stock Reserved for Future Issuance</w:t>
      </w:r>
    </w:p>
    <w:p>
      <w:pPr>
        <w:spacing w:after="0" w:line="98" w:lineRule="exact"/>
        <w:rPr>
          <w:sz w:val="20"/>
          <w:szCs w:val="20"/>
          <w:color w:val="auto"/>
        </w:rPr>
      </w:pPr>
    </w:p>
    <w:p>
      <w:pPr>
        <w:ind w:left="820"/>
        <w:spacing w:after="0"/>
        <w:rPr>
          <w:sz w:val="20"/>
          <w:szCs w:val="20"/>
          <w:color w:val="auto"/>
        </w:rPr>
      </w:pPr>
      <w:r>
        <w:rPr>
          <w:rFonts w:ascii="Arial" w:cs="Arial" w:eastAsia="Arial" w:hAnsi="Arial"/>
          <w:sz w:val="17"/>
          <w:szCs w:val="17"/>
          <w:color w:val="auto"/>
        </w:rPr>
        <w:t>Common stock reserved for future issuance consisted of the following:</w:t>
      </w:r>
    </w:p>
    <w:p>
      <w:pPr>
        <w:spacing w:after="0" w:line="233" w:lineRule="exact"/>
        <w:rPr>
          <w:sz w:val="20"/>
          <w:szCs w:val="20"/>
          <w:color w:val="auto"/>
        </w:rPr>
      </w:pPr>
    </w:p>
    <w:tbl>
      <w:tblPr>
        <w:tblLayout w:type="fixed"/>
        <w:tblInd w:w="420" w:type="dxa"/>
        <w:tblCellMar>
          <w:top w:w="0" w:type="dxa"/>
          <w:left w:w="0" w:type="dxa"/>
          <w:bottom w:w="0" w:type="dxa"/>
          <w:right w:w="0" w:type="dxa"/>
        </w:tblCellMar>
      </w:tblPr>
      <w:tr>
        <w:trPr>
          <w:trHeight w:val="163"/>
        </w:trPr>
        <w:tc>
          <w:tcPr>
            <w:tcW w:w="7280" w:type="dxa"/>
            <w:vAlign w:val="bottom"/>
          </w:tcPr>
          <w:p>
            <w:pPr>
              <w:spacing w:after="0"/>
              <w:rPr>
                <w:sz w:val="14"/>
                <w:szCs w:val="14"/>
                <w:color w:val="auto"/>
              </w:rPr>
            </w:pPr>
          </w:p>
        </w:tc>
        <w:tc>
          <w:tcPr>
            <w:tcW w:w="212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6"/>
        </w:trPr>
        <w:tc>
          <w:tcPr>
            <w:tcW w:w="728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right"/>
              <w:ind w:right="481"/>
              <w:spacing w:after="0" w:line="146"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40"/>
              <w:spacing w:after="0" w:line="146" w:lineRule="exact"/>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CCEEFF"/>
            </w:tcBorders>
          </w:tcPr>
          <w:p>
            <w:pPr>
              <w:spacing w:after="0"/>
              <w:rPr>
                <w:sz w:val="12"/>
                <w:szCs w:val="12"/>
                <w:color w:val="auto"/>
              </w:rPr>
            </w:pPr>
          </w:p>
        </w:tc>
      </w:tr>
      <w:tr>
        <w:trPr>
          <w:trHeight w:val="184"/>
        </w:trPr>
        <w:tc>
          <w:tcPr>
            <w:tcW w:w="728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Conversion of outstanding convertible preferred stock</w:t>
            </w:r>
          </w:p>
        </w:tc>
        <w:tc>
          <w:tcPr>
            <w:tcW w:w="142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7,414,844     </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60" w:type="dxa"/>
            <w:vAlign w:val="bottom"/>
            <w:shd w:val="clear" w:color="auto" w:fill="CCEEFF"/>
          </w:tcPr>
          <w:p>
            <w:pPr>
              <w:ind w:left="60"/>
              <w:spacing w:after="0" w:line="185" w:lineRule="exact"/>
              <w:rPr>
                <w:sz w:val="20"/>
                <w:szCs w:val="20"/>
                <w:color w:val="auto"/>
              </w:rPr>
            </w:pPr>
            <w:r>
              <w:rPr>
                <w:rFonts w:ascii="Arial" w:cs="Arial" w:eastAsia="Arial" w:hAnsi="Arial"/>
                <w:sz w:val="17"/>
                <w:szCs w:val="17"/>
                <w:color w:val="auto"/>
                <w:w w:val="94"/>
              </w:rPr>
              <w:t>14,740,840  </w:t>
            </w:r>
          </w:p>
        </w:tc>
        <w:tc>
          <w:tcPr>
            <w:tcW w:w="60" w:type="dxa"/>
            <w:vAlign w:val="bottom"/>
            <w:shd w:val="clear" w:color="auto" w:fill="CCEEFF"/>
          </w:tcPr>
          <w:p>
            <w:pPr>
              <w:spacing w:after="0"/>
              <w:rPr>
                <w:sz w:val="16"/>
                <w:szCs w:val="16"/>
                <w:color w:val="auto"/>
              </w:rPr>
            </w:pPr>
          </w:p>
        </w:tc>
      </w:tr>
      <w:tr>
        <w:trPr>
          <w:trHeight w:val="192"/>
        </w:trPr>
        <w:tc>
          <w:tcPr>
            <w:tcW w:w="7280" w:type="dxa"/>
            <w:vAlign w:val="bottom"/>
          </w:tcPr>
          <w:p>
            <w:pPr>
              <w:spacing w:after="0" w:line="192" w:lineRule="exact"/>
              <w:rPr>
                <w:sz w:val="20"/>
                <w:szCs w:val="20"/>
                <w:color w:val="auto"/>
              </w:rPr>
            </w:pPr>
            <w:r>
              <w:rPr>
                <w:rFonts w:ascii="Arial" w:cs="Arial" w:eastAsia="Arial" w:hAnsi="Arial"/>
                <w:sz w:val="17"/>
                <w:szCs w:val="17"/>
                <w:color w:val="auto"/>
              </w:rPr>
              <w:t>Common stock options issued and outstanding</w:t>
            </w:r>
          </w:p>
        </w:tc>
        <w:tc>
          <w:tcPr>
            <w:tcW w:w="2120" w:type="dxa"/>
            <w:vAlign w:val="bottom"/>
            <w:gridSpan w:val="3"/>
          </w:tcPr>
          <w:p>
            <w:pPr>
              <w:jc w:val="right"/>
              <w:ind w:right="415"/>
              <w:spacing w:after="0" w:line="192" w:lineRule="exact"/>
              <w:rPr>
                <w:sz w:val="20"/>
                <w:szCs w:val="20"/>
                <w:color w:val="auto"/>
              </w:rPr>
            </w:pPr>
            <w:r>
              <w:rPr>
                <w:rFonts w:ascii="Arial" w:cs="Arial" w:eastAsia="Arial" w:hAnsi="Arial"/>
                <w:sz w:val="17"/>
                <w:szCs w:val="17"/>
                <w:color w:val="auto"/>
              </w:rPr>
              <w:t>1,340,555     </w:t>
            </w:r>
          </w:p>
        </w:tc>
        <w:tc>
          <w:tcPr>
            <w:tcW w:w="1020" w:type="dxa"/>
            <w:vAlign w:val="bottom"/>
            <w:gridSpan w:val="2"/>
          </w:tcPr>
          <w:p>
            <w:pPr>
              <w:jc w:val="right"/>
              <w:ind w:right="20"/>
              <w:spacing w:after="0" w:line="192" w:lineRule="exact"/>
              <w:rPr>
                <w:sz w:val="20"/>
                <w:szCs w:val="20"/>
                <w:color w:val="auto"/>
              </w:rPr>
            </w:pPr>
            <w:r>
              <w:rPr>
                <w:rFonts w:ascii="Arial" w:cs="Arial" w:eastAsia="Arial" w:hAnsi="Arial"/>
                <w:sz w:val="17"/>
                <w:szCs w:val="17"/>
                <w:color w:val="auto"/>
              </w:rPr>
              <w:t>2,813,937  </w:t>
            </w:r>
          </w:p>
        </w:tc>
      </w:tr>
      <w:tr>
        <w:trPr>
          <w:trHeight w:val="192"/>
        </w:trPr>
        <w:tc>
          <w:tcPr>
            <w:tcW w:w="728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Equity awards available for future issuance</w:t>
            </w:r>
          </w:p>
        </w:tc>
        <w:tc>
          <w:tcPr>
            <w:tcW w:w="2120" w:type="dxa"/>
            <w:vAlign w:val="bottom"/>
            <w:gridSpan w:val="3"/>
            <w:shd w:val="clear" w:color="auto" w:fill="CCEEFF"/>
          </w:tcPr>
          <w:p>
            <w:pPr>
              <w:jc w:val="right"/>
              <w:ind w:right="415"/>
              <w:spacing w:after="0" w:line="192" w:lineRule="exact"/>
              <w:rPr>
                <w:sz w:val="20"/>
                <w:szCs w:val="20"/>
                <w:color w:val="auto"/>
              </w:rPr>
            </w:pPr>
            <w:r>
              <w:rPr>
                <w:rFonts w:ascii="Arial" w:cs="Arial" w:eastAsia="Arial" w:hAnsi="Arial"/>
                <w:sz w:val="17"/>
                <w:szCs w:val="17"/>
                <w:color w:val="auto"/>
              </w:rPr>
              <w:t>244,437     </w:t>
            </w:r>
          </w:p>
        </w:tc>
        <w:tc>
          <w:tcPr>
            <w:tcW w:w="1020" w:type="dxa"/>
            <w:vAlign w:val="bottom"/>
            <w:gridSpan w:val="2"/>
            <w:shd w:val="clear" w:color="auto" w:fill="CCEEFF"/>
          </w:tcPr>
          <w:p>
            <w:pPr>
              <w:jc w:val="right"/>
              <w:ind w:right="20"/>
              <w:spacing w:after="0" w:line="192" w:lineRule="exact"/>
              <w:rPr>
                <w:sz w:val="20"/>
                <w:szCs w:val="20"/>
                <w:color w:val="auto"/>
              </w:rPr>
            </w:pPr>
            <w:r>
              <w:rPr>
                <w:rFonts w:ascii="Arial" w:cs="Arial" w:eastAsia="Arial" w:hAnsi="Arial"/>
                <w:sz w:val="17"/>
                <w:szCs w:val="17"/>
                <w:color w:val="auto"/>
              </w:rPr>
              <w:t>861,155  </w:t>
            </w:r>
          </w:p>
        </w:tc>
      </w:tr>
      <w:tr>
        <w:trPr>
          <w:trHeight w:val="197"/>
        </w:trPr>
        <w:tc>
          <w:tcPr>
            <w:tcW w:w="7280" w:type="dxa"/>
            <w:vAlign w:val="bottom"/>
          </w:tcPr>
          <w:p>
            <w:pPr>
              <w:spacing w:after="0"/>
              <w:rPr>
                <w:sz w:val="20"/>
                <w:szCs w:val="20"/>
                <w:color w:val="auto"/>
              </w:rPr>
            </w:pPr>
            <w:r>
              <w:rPr>
                <w:rFonts w:ascii="Arial" w:cs="Arial" w:eastAsia="Arial" w:hAnsi="Arial"/>
                <w:sz w:val="17"/>
                <w:szCs w:val="17"/>
                <w:color w:val="auto"/>
              </w:rPr>
              <w:t>Total</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         8,999,836     </w:t>
            </w:r>
          </w:p>
        </w:tc>
        <w:tc>
          <w:tcPr>
            <w:tcW w:w="14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 xml:space="preserve">       </w:t>
            </w:r>
          </w:p>
        </w:tc>
        <w:tc>
          <w:tcPr>
            <w:tcW w:w="9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7"/>
                <w:szCs w:val="17"/>
                <w:color w:val="auto"/>
                <w:w w:val="94"/>
              </w:rPr>
              <w:t>18,415,932  </w:t>
            </w:r>
          </w:p>
        </w:tc>
        <w:tc>
          <w:tcPr>
            <w:tcW w:w="60" w:type="dxa"/>
            <w:vAlign w:val="bottom"/>
          </w:tcPr>
          <w:p>
            <w:pPr>
              <w:spacing w:after="0"/>
              <w:rPr>
                <w:sz w:val="17"/>
                <w:szCs w:val="17"/>
                <w:color w:val="auto"/>
              </w:rPr>
            </w:pPr>
          </w:p>
        </w:tc>
      </w:tr>
      <w:tr>
        <w:trPr>
          <w:trHeight w:val="20"/>
        </w:trPr>
        <w:tc>
          <w:tcPr>
            <w:tcW w:w="72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6" w:lineRule="exact"/>
        <w:rPr>
          <w:sz w:val="20"/>
          <w:szCs w:val="20"/>
          <w:color w:val="auto"/>
        </w:rPr>
      </w:pPr>
    </w:p>
    <w:p>
      <w:pPr>
        <w:ind w:left="420" w:right="6200" w:hanging="9"/>
        <w:spacing w:after="0" w:line="360" w:lineRule="auto"/>
        <w:tabs>
          <w:tab w:leader="none" w:pos="829" w:val="left"/>
        </w:tabs>
        <w:numPr>
          <w:ilvl w:val="0"/>
          <w:numId w:val="1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 Options and Stock-Based Compensation </w:t>
      </w:r>
      <w:r>
        <w:rPr>
          <w:rFonts w:ascii="Arial" w:cs="Arial" w:eastAsia="Arial" w:hAnsi="Arial"/>
          <w:sz w:val="17"/>
          <w:szCs w:val="17"/>
          <w:b w:val="1"/>
          <w:bCs w:val="1"/>
          <w:i w:val="1"/>
          <w:iCs w:val="1"/>
          <w:color w:val="auto"/>
        </w:rPr>
        <w:t>Equity Incentive Plan</w:t>
      </w:r>
    </w:p>
    <w:p>
      <w:pPr>
        <w:spacing w:after="0" w:line="1" w:lineRule="exact"/>
        <w:rPr>
          <w:sz w:val="20"/>
          <w:szCs w:val="20"/>
          <w:color w:val="auto"/>
        </w:rPr>
      </w:pPr>
    </w:p>
    <w:p>
      <w:pPr>
        <w:ind w:left="420" w:firstLine="417"/>
        <w:spacing w:after="0" w:line="244" w:lineRule="auto"/>
        <w:rPr>
          <w:sz w:val="20"/>
          <w:szCs w:val="20"/>
          <w:color w:val="auto"/>
        </w:rPr>
      </w:pPr>
      <w:r>
        <w:rPr>
          <w:rFonts w:ascii="Arial" w:cs="Arial" w:eastAsia="Arial" w:hAnsi="Arial"/>
          <w:sz w:val="17"/>
          <w:szCs w:val="17"/>
          <w:color w:val="auto"/>
        </w:rPr>
        <w:t>In December 2018, the Company adopted the 2018 Equity Incentive Plan (as amended, the Plan) to provide for the grant of incentive stock options, non-statutory stock options, restricted stock awards, restricted stock unit awards, and other stock awards to its employees, consultants, and directors. Recipients of option awards are eligible to purchase shares of the Company’s common stock at an exercise price equal to no less than the estimated fair market value of such stock on the date of grant. The maximum term of options granted under the Plan is ten years and, in general, the options</w:t>
      </w:r>
    </w:p>
    <w:p>
      <w:pPr>
        <w:spacing w:after="0" w:line="105"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0840"/>
          </w:cols>
          <w:pgMar w:left="320" w:top="439" w:right="7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20"/>
        <w:spacing w:after="0" w:line="247" w:lineRule="auto"/>
        <w:rPr>
          <w:sz w:val="20"/>
          <w:szCs w:val="20"/>
          <w:color w:val="auto"/>
        </w:rPr>
      </w:pPr>
      <w:r>
        <w:rPr>
          <w:rFonts w:ascii="Arial" w:cs="Arial" w:eastAsia="Arial" w:hAnsi="Arial"/>
          <w:sz w:val="17"/>
          <w:szCs w:val="17"/>
          <w:color w:val="auto"/>
        </w:rPr>
        <w:t>issued under the Plan vest over a four-year period from the vesting commencement date. Shares of unused common stock that cover awards that are expired, terminated, surrendered, or canceled under the Plan without having been fully exercised will be available for future awards. On April 5, 2023, the Company’s Board of Directors increased the number of shares authorized for issuance under the Plan to 4,226,659. On December 31, 2023, 861,155 of these shares remain available for grant under the Plan.</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Plan allows for the early exercise of stock option awards, which are then subject to repurchase by the Company at the lower of</w:t>
      </w:r>
    </w:p>
    <w:p>
      <w:pPr>
        <w:spacing w:after="0" w:line="12" w:lineRule="exact"/>
        <w:rPr>
          <w:sz w:val="20"/>
          <w:szCs w:val="20"/>
          <w:color w:val="auto"/>
        </w:rPr>
      </w:pPr>
    </w:p>
    <w:p>
      <w:pPr>
        <w:ind w:left="420" w:hanging="9"/>
        <w:spacing w:after="0"/>
        <w:tabs>
          <w:tab w:leader="none" w:pos="61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fair market value at the repurchase date or (ii) the original exercise price. The exercise price of these shares is initially recorded as a repurchase liability, which is amortized to shareholder’s equity as the shares vest. As of December 31, 2022 and 2023, 32,529 and 1,481 shares, respectively, remain unvested. The repurchase liability associated with these shares is included in unvested common stock on the balance sheets as of December 31, 2022.</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Stock Options</w:t>
      </w:r>
    </w:p>
    <w:p>
      <w:pPr>
        <w:spacing w:after="0" w:line="98" w:lineRule="exact"/>
        <w:rPr>
          <w:sz w:val="20"/>
          <w:szCs w:val="20"/>
          <w:color w:val="auto"/>
        </w:rPr>
      </w:pPr>
    </w:p>
    <w:p>
      <w:pPr>
        <w:ind w:left="820"/>
        <w:spacing w:after="0"/>
        <w:rPr>
          <w:sz w:val="20"/>
          <w:szCs w:val="20"/>
          <w:color w:val="auto"/>
        </w:rPr>
      </w:pPr>
      <w:r>
        <w:rPr>
          <w:rFonts w:ascii="Arial" w:cs="Arial" w:eastAsia="Arial" w:hAnsi="Arial"/>
          <w:sz w:val="17"/>
          <w:szCs w:val="17"/>
          <w:color w:val="auto"/>
        </w:rPr>
        <w:t>Stock option activity under the Plan and certain other related information is as follows:</w:t>
      </w:r>
    </w:p>
    <w:p>
      <w:pPr>
        <w:spacing w:after="0" w:line="226"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Weighted-</w:t>
            </w: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Weighted-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Aggregate-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Average</w:t>
            </w:r>
          </w:p>
        </w:tc>
        <w:tc>
          <w:tcPr>
            <w:tcW w:w="9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Average</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7"/>
              </w:rPr>
              <w:t>Exercise</w:t>
            </w: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Remaining</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Value (1)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Number</w:t>
            </w: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9"/>
              </w:rPr>
              <w:t>Price</w:t>
            </w:r>
          </w:p>
        </w:tc>
        <w:tc>
          <w:tcPr>
            <w:tcW w:w="2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Term</w:t>
            </w: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5"/>
              </w:rPr>
              <w:t>(in 000’s)</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5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Balance as of December 31, 2022</w:t>
            </w:r>
          </w:p>
        </w:tc>
        <w:tc>
          <w:tcPr>
            <w:tcW w:w="18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73"/>
              </w:rPr>
              <w:t>  </w:t>
            </w:r>
          </w:p>
        </w:tc>
        <w:tc>
          <w:tcPr>
            <w:tcW w:w="90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w w:val="88"/>
              </w:rPr>
              <w:t>1,340,550     </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2"/>
              </w:rPr>
              <w:t> $</w:t>
            </w:r>
          </w:p>
        </w:tc>
        <w:tc>
          <w:tcPr>
            <w:tcW w:w="1140" w:type="dxa"/>
            <w:vAlign w:val="bottom"/>
            <w:gridSpan w:val="2"/>
            <w:shd w:val="clear" w:color="auto" w:fill="CCEEFF"/>
          </w:tcPr>
          <w:p>
            <w:pPr>
              <w:jc w:val="right"/>
              <w:ind w:right="120"/>
              <w:spacing w:after="0" w:line="185" w:lineRule="exact"/>
              <w:rPr>
                <w:sz w:val="20"/>
                <w:szCs w:val="20"/>
                <w:color w:val="auto"/>
              </w:rPr>
            </w:pPr>
            <w:r>
              <w:rPr>
                <w:rFonts w:ascii="Arial" w:cs="Arial" w:eastAsia="Arial" w:hAnsi="Arial"/>
                <w:sz w:val="17"/>
                <w:szCs w:val="17"/>
                <w:color w:val="auto"/>
                <w:w w:val="94"/>
              </w:rPr>
              <w:t>         8.39    </w:t>
            </w:r>
          </w:p>
        </w:tc>
        <w:tc>
          <w:tcPr>
            <w:tcW w:w="780" w:type="dxa"/>
            <w:vAlign w:val="bottom"/>
            <w:shd w:val="clear" w:color="auto" w:fill="CCEEFF"/>
          </w:tcPr>
          <w:p>
            <w:pPr>
              <w:ind w:left="60"/>
              <w:spacing w:after="0" w:line="185" w:lineRule="exact"/>
              <w:rPr>
                <w:sz w:val="20"/>
                <w:szCs w:val="20"/>
                <w:color w:val="auto"/>
              </w:rPr>
            </w:pPr>
            <w:r>
              <w:rPr>
                <w:rFonts w:ascii="Arial" w:cs="Arial" w:eastAsia="Arial" w:hAnsi="Arial"/>
                <w:sz w:val="17"/>
                <w:szCs w:val="17"/>
                <w:color w:val="auto"/>
                <w:w w:val="79"/>
              </w:rPr>
              <w:t>8.5 years    </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 xml:space="preserve"> $  </w:t>
            </w:r>
          </w:p>
        </w:tc>
        <w:tc>
          <w:tcPr>
            <w:tcW w:w="920" w:type="dxa"/>
            <w:vAlign w:val="bottom"/>
            <w:shd w:val="clear" w:color="auto" w:fill="CCEEFF"/>
          </w:tcPr>
          <w:p>
            <w:pPr>
              <w:ind w:left="120"/>
              <w:spacing w:after="0" w:line="185" w:lineRule="exact"/>
              <w:rPr>
                <w:sz w:val="20"/>
                <w:szCs w:val="20"/>
                <w:color w:val="auto"/>
              </w:rPr>
            </w:pPr>
            <w:r>
              <w:rPr>
                <w:rFonts w:ascii="Arial" w:cs="Arial" w:eastAsia="Arial" w:hAnsi="Arial"/>
                <w:sz w:val="17"/>
                <w:szCs w:val="17"/>
                <w:color w:val="auto"/>
                <w:w w:val="85"/>
              </w:rPr>
              <w:t>      2,150  </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560" w:type="dxa"/>
            <w:vAlign w:val="bottom"/>
          </w:tcPr>
          <w:p>
            <w:pPr>
              <w:spacing w:after="0" w:line="192" w:lineRule="exact"/>
              <w:rPr>
                <w:sz w:val="20"/>
                <w:szCs w:val="20"/>
                <w:color w:val="auto"/>
              </w:rPr>
            </w:pPr>
            <w:r>
              <w:rPr>
                <w:rFonts w:ascii="Arial" w:cs="Arial" w:eastAsia="Arial" w:hAnsi="Arial"/>
                <w:sz w:val="17"/>
                <w:szCs w:val="17"/>
                <w:color w:val="auto"/>
              </w:rPr>
              <w:t>Granted</w:t>
            </w:r>
          </w:p>
        </w:tc>
        <w:tc>
          <w:tcPr>
            <w:tcW w:w="180" w:type="dxa"/>
            <w:vAlign w:val="bottom"/>
          </w:tcPr>
          <w:p>
            <w:pPr>
              <w:spacing w:after="0"/>
              <w:rPr>
                <w:sz w:val="16"/>
                <w:szCs w:val="16"/>
                <w:color w:val="auto"/>
              </w:rPr>
            </w:pPr>
          </w:p>
        </w:tc>
        <w:tc>
          <w:tcPr>
            <w:tcW w:w="1100" w:type="dxa"/>
            <w:vAlign w:val="bottom"/>
            <w:gridSpan w:val="2"/>
          </w:tcPr>
          <w:p>
            <w:pPr>
              <w:jc w:val="right"/>
              <w:ind w:right="60"/>
              <w:spacing w:after="0" w:line="192" w:lineRule="exact"/>
              <w:rPr>
                <w:sz w:val="20"/>
                <w:szCs w:val="20"/>
                <w:color w:val="auto"/>
              </w:rPr>
            </w:pPr>
            <w:r>
              <w:rPr>
                <w:rFonts w:ascii="Arial" w:cs="Arial" w:eastAsia="Arial" w:hAnsi="Arial"/>
                <w:sz w:val="17"/>
                <w:szCs w:val="17"/>
                <w:color w:val="auto"/>
              </w:rPr>
              <w:t>1,537,723     </w:t>
            </w:r>
          </w:p>
        </w:tc>
        <w:tc>
          <w:tcPr>
            <w:tcW w:w="200" w:type="dxa"/>
            <w:vAlign w:val="bottom"/>
            <w:gridSpan w:val="2"/>
          </w:tcPr>
          <w:p>
            <w:pPr>
              <w:ind w:left="60"/>
              <w:spacing w:after="0" w:line="192" w:lineRule="exact"/>
              <w:rPr>
                <w:sz w:val="20"/>
                <w:szCs w:val="20"/>
                <w:color w:val="auto"/>
              </w:rPr>
            </w:pPr>
            <w:r>
              <w:rPr>
                <w:rFonts w:ascii="Arial" w:cs="Arial" w:eastAsia="Arial" w:hAnsi="Arial"/>
                <w:sz w:val="17"/>
                <w:szCs w:val="17"/>
                <w:color w:val="auto"/>
                <w:w w:val="92"/>
              </w:rPr>
              <w:t> $</w:t>
            </w:r>
          </w:p>
        </w:tc>
        <w:tc>
          <w:tcPr>
            <w:tcW w:w="1140" w:type="dxa"/>
            <w:vAlign w:val="bottom"/>
            <w:gridSpan w:val="2"/>
          </w:tcPr>
          <w:p>
            <w:pPr>
              <w:jc w:val="right"/>
              <w:ind w:right="120"/>
              <w:spacing w:after="0" w:line="192" w:lineRule="exact"/>
              <w:rPr>
                <w:sz w:val="20"/>
                <w:szCs w:val="20"/>
                <w:color w:val="auto"/>
              </w:rPr>
            </w:pPr>
            <w:r>
              <w:rPr>
                <w:rFonts w:ascii="Arial" w:cs="Arial" w:eastAsia="Arial" w:hAnsi="Arial"/>
                <w:sz w:val="17"/>
                <w:szCs w:val="17"/>
                <w:color w:val="auto"/>
              </w:rPr>
              <w:t>4.15    </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56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Exercised</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line="192" w:lineRule="exact"/>
              <w:rPr>
                <w:sz w:val="20"/>
                <w:szCs w:val="20"/>
                <w:color w:val="auto"/>
              </w:rPr>
            </w:pPr>
            <w:r>
              <w:rPr>
                <w:rFonts w:ascii="Arial" w:cs="Arial" w:eastAsia="Arial" w:hAnsi="Arial"/>
                <w:sz w:val="17"/>
                <w:szCs w:val="17"/>
                <w:color w:val="auto"/>
              </w:rPr>
              <w:t xml:space="preserve">(48,724)    </w:t>
            </w:r>
          </w:p>
        </w:tc>
        <w:tc>
          <w:tcPr>
            <w:tcW w:w="200" w:type="dxa"/>
            <w:vAlign w:val="bottom"/>
            <w:gridSpan w:val="2"/>
            <w:shd w:val="clear" w:color="auto" w:fill="CCEEFF"/>
          </w:tcPr>
          <w:p>
            <w:pPr>
              <w:ind w:left="60"/>
              <w:spacing w:after="0" w:line="192" w:lineRule="exact"/>
              <w:rPr>
                <w:sz w:val="20"/>
                <w:szCs w:val="20"/>
                <w:color w:val="auto"/>
              </w:rPr>
            </w:pPr>
            <w:r>
              <w:rPr>
                <w:rFonts w:ascii="Arial" w:cs="Arial" w:eastAsia="Arial" w:hAnsi="Arial"/>
                <w:sz w:val="17"/>
                <w:szCs w:val="17"/>
                <w:color w:val="auto"/>
                <w:w w:val="92"/>
              </w:rPr>
              <w:t> $</w:t>
            </w:r>
          </w:p>
        </w:tc>
        <w:tc>
          <w:tcPr>
            <w:tcW w:w="1140" w:type="dxa"/>
            <w:vAlign w:val="bottom"/>
            <w:gridSpan w:val="2"/>
            <w:shd w:val="clear" w:color="auto" w:fill="CCEEFF"/>
          </w:tcPr>
          <w:p>
            <w:pPr>
              <w:jc w:val="right"/>
              <w:ind w:right="120"/>
              <w:spacing w:after="0" w:line="192" w:lineRule="exact"/>
              <w:rPr>
                <w:sz w:val="20"/>
                <w:szCs w:val="20"/>
                <w:color w:val="auto"/>
              </w:rPr>
            </w:pPr>
            <w:r>
              <w:rPr>
                <w:rFonts w:ascii="Arial" w:cs="Arial" w:eastAsia="Arial" w:hAnsi="Arial"/>
                <w:sz w:val="17"/>
                <w:szCs w:val="17"/>
                <w:color w:val="auto"/>
              </w:rPr>
              <w:t>3.71    </w:t>
            </w: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560" w:type="dxa"/>
            <w:vAlign w:val="bottom"/>
          </w:tcPr>
          <w:p>
            <w:pPr>
              <w:spacing w:after="0" w:line="192" w:lineRule="exact"/>
              <w:rPr>
                <w:sz w:val="20"/>
                <w:szCs w:val="20"/>
                <w:color w:val="auto"/>
              </w:rPr>
            </w:pPr>
            <w:r>
              <w:rPr>
                <w:rFonts w:ascii="Arial" w:cs="Arial" w:eastAsia="Arial" w:hAnsi="Arial"/>
                <w:sz w:val="17"/>
                <w:szCs w:val="17"/>
                <w:color w:val="auto"/>
              </w:rPr>
              <w:t>Forfeited and expired</w:t>
            </w:r>
          </w:p>
        </w:tc>
        <w:tc>
          <w:tcPr>
            <w:tcW w:w="180" w:type="dxa"/>
            <w:vAlign w:val="bottom"/>
          </w:tcPr>
          <w:p>
            <w:pPr>
              <w:spacing w:after="0"/>
              <w:rPr>
                <w:sz w:val="16"/>
                <w:szCs w:val="16"/>
                <w:color w:val="auto"/>
              </w:rPr>
            </w:pPr>
          </w:p>
        </w:tc>
        <w:tc>
          <w:tcPr>
            <w:tcW w:w="1100" w:type="dxa"/>
            <w:vAlign w:val="bottom"/>
            <w:gridSpan w:val="2"/>
          </w:tcPr>
          <w:p>
            <w:pPr>
              <w:jc w:val="right"/>
              <w:ind w:right="60"/>
              <w:spacing w:after="0" w:line="192" w:lineRule="exact"/>
              <w:rPr>
                <w:sz w:val="20"/>
                <w:szCs w:val="20"/>
                <w:color w:val="auto"/>
              </w:rPr>
            </w:pPr>
            <w:r>
              <w:rPr>
                <w:rFonts w:ascii="Arial" w:cs="Arial" w:eastAsia="Arial" w:hAnsi="Arial"/>
                <w:sz w:val="17"/>
                <w:szCs w:val="17"/>
                <w:color w:val="auto"/>
              </w:rPr>
              <w:t xml:space="preserve">(15,612)    </w:t>
            </w:r>
          </w:p>
        </w:tc>
        <w:tc>
          <w:tcPr>
            <w:tcW w:w="200" w:type="dxa"/>
            <w:vAlign w:val="bottom"/>
            <w:gridSpan w:val="2"/>
          </w:tcPr>
          <w:p>
            <w:pPr>
              <w:ind w:left="60"/>
              <w:spacing w:after="0" w:line="192" w:lineRule="exact"/>
              <w:rPr>
                <w:sz w:val="20"/>
                <w:szCs w:val="20"/>
                <w:color w:val="auto"/>
              </w:rPr>
            </w:pPr>
            <w:r>
              <w:rPr>
                <w:rFonts w:ascii="Arial" w:cs="Arial" w:eastAsia="Arial" w:hAnsi="Arial"/>
                <w:sz w:val="17"/>
                <w:szCs w:val="17"/>
                <w:color w:val="auto"/>
                <w:w w:val="92"/>
              </w:rPr>
              <w:t> $</w:t>
            </w:r>
          </w:p>
        </w:tc>
        <w:tc>
          <w:tcPr>
            <w:tcW w:w="1140" w:type="dxa"/>
            <w:vAlign w:val="bottom"/>
            <w:gridSpan w:val="2"/>
          </w:tcPr>
          <w:p>
            <w:pPr>
              <w:jc w:val="right"/>
              <w:ind w:right="120"/>
              <w:spacing w:after="0" w:line="192" w:lineRule="exact"/>
              <w:rPr>
                <w:sz w:val="20"/>
                <w:szCs w:val="20"/>
                <w:color w:val="auto"/>
              </w:rPr>
            </w:pPr>
            <w:r>
              <w:rPr>
                <w:rFonts w:ascii="Arial" w:cs="Arial" w:eastAsia="Arial" w:hAnsi="Arial"/>
                <w:sz w:val="17"/>
                <w:szCs w:val="17"/>
                <w:color w:val="auto"/>
              </w:rPr>
              <w:t>6.24    </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556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Balance as of December 31, 2023</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line="192" w:lineRule="exact"/>
              <w:rPr>
                <w:sz w:val="20"/>
                <w:szCs w:val="20"/>
                <w:color w:val="auto"/>
              </w:rPr>
            </w:pPr>
            <w:r>
              <w:rPr>
                <w:rFonts w:ascii="Arial" w:cs="Arial" w:eastAsia="Arial" w:hAnsi="Arial"/>
                <w:sz w:val="17"/>
                <w:szCs w:val="17"/>
                <w:color w:val="auto"/>
              </w:rPr>
              <w:t>2,813,937     </w:t>
            </w:r>
          </w:p>
        </w:tc>
        <w:tc>
          <w:tcPr>
            <w:tcW w:w="200" w:type="dxa"/>
            <w:vAlign w:val="bottom"/>
            <w:gridSpan w:val="2"/>
            <w:shd w:val="clear" w:color="auto" w:fill="CCEEFF"/>
          </w:tcPr>
          <w:p>
            <w:pPr>
              <w:ind w:left="60"/>
              <w:spacing w:after="0" w:line="192" w:lineRule="exact"/>
              <w:rPr>
                <w:sz w:val="20"/>
                <w:szCs w:val="20"/>
                <w:color w:val="auto"/>
              </w:rPr>
            </w:pPr>
            <w:r>
              <w:rPr>
                <w:rFonts w:ascii="Arial" w:cs="Arial" w:eastAsia="Arial" w:hAnsi="Arial"/>
                <w:sz w:val="17"/>
                <w:szCs w:val="17"/>
                <w:color w:val="auto"/>
                <w:w w:val="92"/>
              </w:rPr>
              <w:t> $</w:t>
            </w:r>
          </w:p>
        </w:tc>
        <w:tc>
          <w:tcPr>
            <w:tcW w:w="1140" w:type="dxa"/>
            <w:vAlign w:val="bottom"/>
            <w:gridSpan w:val="2"/>
            <w:shd w:val="clear" w:color="auto" w:fill="CCEEFF"/>
          </w:tcPr>
          <w:p>
            <w:pPr>
              <w:jc w:val="right"/>
              <w:ind w:right="120"/>
              <w:spacing w:after="0" w:line="192" w:lineRule="exact"/>
              <w:rPr>
                <w:sz w:val="20"/>
                <w:szCs w:val="20"/>
                <w:color w:val="auto"/>
              </w:rPr>
            </w:pPr>
            <w:r>
              <w:rPr>
                <w:rFonts w:ascii="Arial" w:cs="Arial" w:eastAsia="Arial" w:hAnsi="Arial"/>
                <w:sz w:val="17"/>
                <w:szCs w:val="17"/>
                <w:color w:val="auto"/>
              </w:rPr>
              <w:t>4.13    </w:t>
            </w:r>
          </w:p>
        </w:tc>
        <w:tc>
          <w:tcPr>
            <w:tcW w:w="980" w:type="dxa"/>
            <w:vAlign w:val="bottom"/>
            <w:gridSpan w:val="2"/>
            <w:shd w:val="clear" w:color="auto" w:fill="CCEEFF"/>
          </w:tcPr>
          <w:p>
            <w:pPr>
              <w:ind w:left="60"/>
              <w:spacing w:after="0" w:line="192" w:lineRule="exact"/>
              <w:rPr>
                <w:sz w:val="20"/>
                <w:szCs w:val="20"/>
                <w:color w:val="auto"/>
              </w:rPr>
            </w:pPr>
            <w:r>
              <w:rPr>
                <w:rFonts w:ascii="Arial" w:cs="Arial" w:eastAsia="Arial" w:hAnsi="Arial"/>
                <w:sz w:val="17"/>
                <w:szCs w:val="17"/>
                <w:color w:val="auto"/>
              </w:rPr>
              <w:t>8.6 years    </w:t>
            </w:r>
          </w:p>
        </w:tc>
        <w:tc>
          <w:tcPr>
            <w:tcW w:w="260" w:type="dxa"/>
            <w:vAlign w:val="bottom"/>
            <w:gridSpan w:val="2"/>
            <w:shd w:val="clear" w:color="auto" w:fill="CCEEFF"/>
          </w:tcPr>
          <w:p>
            <w:pPr>
              <w:ind w:left="60"/>
              <w:spacing w:after="0" w:line="192" w:lineRule="exact"/>
              <w:rPr>
                <w:sz w:val="20"/>
                <w:szCs w:val="20"/>
                <w:color w:val="auto"/>
              </w:rPr>
            </w:pPr>
            <w:r>
              <w:rPr>
                <w:rFonts w:ascii="Arial" w:cs="Arial" w:eastAsia="Arial" w:hAnsi="Arial"/>
                <w:sz w:val="17"/>
                <w:szCs w:val="17"/>
                <w:color w:val="auto"/>
              </w:rPr>
              <w:t> $</w:t>
            </w:r>
          </w:p>
        </w:tc>
        <w:tc>
          <w:tcPr>
            <w:tcW w:w="98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1,253  </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7"/>
                <w:szCs w:val="17"/>
                <w:color w:val="auto"/>
              </w:rPr>
              <w:t>Vested and expected to vest as of December 31, 2023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vMerge w:val="restart"/>
          </w:tcPr>
          <w:p>
            <w:pPr>
              <w:ind w:left="60"/>
              <w:spacing w:after="0"/>
              <w:rPr>
                <w:sz w:val="20"/>
                <w:szCs w:val="20"/>
                <w:color w:val="auto"/>
              </w:rPr>
            </w:pPr>
            <w:r>
              <w:rPr>
                <w:rFonts w:ascii="Arial" w:cs="Arial" w:eastAsia="Arial" w:hAnsi="Arial"/>
                <w:sz w:val="17"/>
                <w:szCs w:val="17"/>
                <w:color w:val="auto"/>
                <w:w w:val="92"/>
              </w:rPr>
              <w:t> $</w:t>
            </w: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4.04    </w:t>
            </w:r>
          </w:p>
        </w:tc>
        <w:tc>
          <w:tcPr>
            <w:tcW w:w="980" w:type="dxa"/>
            <w:vAlign w:val="bottom"/>
            <w:gridSpan w:val="2"/>
            <w:vMerge w:val="restart"/>
          </w:tcPr>
          <w:p>
            <w:pPr>
              <w:ind w:left="60"/>
              <w:spacing w:after="0"/>
              <w:rPr>
                <w:sz w:val="20"/>
                <w:szCs w:val="20"/>
                <w:color w:val="auto"/>
              </w:rPr>
            </w:pPr>
            <w:r>
              <w:rPr>
                <w:rFonts w:ascii="Arial" w:cs="Arial" w:eastAsia="Arial" w:hAnsi="Arial"/>
                <w:sz w:val="17"/>
                <w:szCs w:val="17"/>
                <w:color w:val="auto"/>
              </w:rPr>
              <w:t>7.6 years    </w:t>
            </w:r>
          </w:p>
        </w:tc>
        <w:tc>
          <w:tcPr>
            <w:tcW w:w="260" w:type="dxa"/>
            <w:vAlign w:val="bottom"/>
            <w:gridSpan w:val="2"/>
            <w:vMerge w:val="restart"/>
          </w:tcPr>
          <w:p>
            <w:pPr>
              <w:ind w:left="60"/>
              <w:spacing w:after="0"/>
              <w:rPr>
                <w:sz w:val="20"/>
                <w:szCs w:val="20"/>
                <w:color w:val="auto"/>
              </w:rPr>
            </w:pPr>
            <w:r>
              <w:rPr>
                <w:rFonts w:ascii="Arial" w:cs="Arial" w:eastAsia="Arial" w:hAnsi="Arial"/>
                <w:sz w:val="17"/>
                <w:szCs w:val="17"/>
                <w:color w:val="auto"/>
              </w:rPr>
              <w:t> $</w:t>
            </w:r>
          </w:p>
        </w:tc>
        <w:tc>
          <w:tcPr>
            <w:tcW w:w="980" w:type="dxa"/>
            <w:vAlign w:val="bottom"/>
            <w:gridSpan w:val="2"/>
            <w:vMerge w:val="restart"/>
          </w:tcPr>
          <w:p>
            <w:pPr>
              <w:jc w:val="right"/>
              <w:spacing w:after="0"/>
              <w:rPr>
                <w:sz w:val="20"/>
                <w:szCs w:val="20"/>
                <w:color w:val="auto"/>
              </w:rPr>
            </w:pPr>
            <w:r>
              <w:rPr>
                <w:rFonts w:ascii="Arial" w:cs="Arial" w:eastAsia="Arial" w:hAnsi="Arial"/>
                <w:sz w:val="17"/>
                <w:szCs w:val="17"/>
                <w:color w:val="auto"/>
              </w:rPr>
              <w:t>559  </w:t>
            </w:r>
          </w:p>
        </w:tc>
        <w:tc>
          <w:tcPr>
            <w:tcW w:w="0" w:type="dxa"/>
            <w:vAlign w:val="bottom"/>
          </w:tcPr>
          <w:p>
            <w:pPr>
              <w:spacing w:after="0" w:line="20" w:lineRule="exact"/>
              <w:rPr>
                <w:sz w:val="1"/>
                <w:szCs w:val="1"/>
                <w:color w:val="auto"/>
              </w:rPr>
            </w:pPr>
          </w:p>
        </w:tc>
      </w:tr>
      <w:tr>
        <w:trPr>
          <w:trHeight w:val="183"/>
        </w:trPr>
        <w:tc>
          <w:tcPr>
            <w:tcW w:w="5580" w:type="dxa"/>
            <w:vAlign w:val="bottom"/>
            <w:gridSpan w:val="2"/>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932,923     </w:t>
            </w:r>
          </w:p>
        </w:tc>
        <w:tc>
          <w:tcPr>
            <w:tcW w:w="200" w:type="dxa"/>
            <w:vAlign w:val="bottom"/>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5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Exercisable as of December 31, 2023</w:t>
            </w:r>
          </w:p>
        </w:tc>
        <w:tc>
          <w:tcPr>
            <w:tcW w:w="1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w w:val="73"/>
              </w:rPr>
              <w:t>  </w:t>
            </w:r>
          </w:p>
        </w:tc>
        <w:tc>
          <w:tcPr>
            <w:tcW w:w="110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 xml:space="preserve">1,007,739     </w:t>
            </w:r>
          </w:p>
        </w:tc>
        <w:tc>
          <w:tcPr>
            <w:tcW w:w="200" w:type="dxa"/>
            <w:vAlign w:val="bottom"/>
            <w:gridSpan w:val="2"/>
            <w:shd w:val="clear" w:color="auto" w:fill="CCEEFF"/>
          </w:tcPr>
          <w:p>
            <w:pPr>
              <w:ind w:left="60"/>
              <w:spacing w:after="0" w:line="183" w:lineRule="exact"/>
              <w:rPr>
                <w:sz w:val="20"/>
                <w:szCs w:val="20"/>
                <w:color w:val="auto"/>
              </w:rPr>
            </w:pPr>
            <w:r>
              <w:rPr>
                <w:rFonts w:ascii="Arial" w:cs="Arial" w:eastAsia="Arial" w:hAnsi="Arial"/>
                <w:sz w:val="17"/>
                <w:szCs w:val="17"/>
                <w:color w:val="auto"/>
                <w:w w:val="92"/>
              </w:rPr>
              <w:t> $</w:t>
            </w:r>
          </w:p>
        </w:tc>
        <w:tc>
          <w:tcPr>
            <w:tcW w:w="114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7"/>
                <w:szCs w:val="17"/>
                <w:color w:val="auto"/>
              </w:rPr>
              <w:t>4.14    </w:t>
            </w:r>
          </w:p>
        </w:tc>
        <w:tc>
          <w:tcPr>
            <w:tcW w:w="980" w:type="dxa"/>
            <w:vAlign w:val="bottom"/>
            <w:gridSpan w:val="2"/>
            <w:shd w:val="clear" w:color="auto" w:fill="CCEEFF"/>
          </w:tcPr>
          <w:p>
            <w:pPr>
              <w:ind w:left="60"/>
              <w:spacing w:after="0" w:line="183" w:lineRule="exact"/>
              <w:rPr>
                <w:sz w:val="20"/>
                <w:szCs w:val="20"/>
                <w:color w:val="auto"/>
              </w:rPr>
            </w:pPr>
            <w:r>
              <w:rPr>
                <w:rFonts w:ascii="Arial" w:cs="Arial" w:eastAsia="Arial" w:hAnsi="Arial"/>
                <w:sz w:val="17"/>
                <w:szCs w:val="17"/>
                <w:color w:val="auto"/>
              </w:rPr>
              <w:t>7.8 years    </w:t>
            </w:r>
          </w:p>
        </w:tc>
        <w:tc>
          <w:tcPr>
            <w:tcW w:w="260" w:type="dxa"/>
            <w:vAlign w:val="bottom"/>
            <w:gridSpan w:val="2"/>
            <w:shd w:val="clear" w:color="auto" w:fill="CCEEFF"/>
          </w:tcPr>
          <w:p>
            <w:pPr>
              <w:ind w:left="60"/>
              <w:spacing w:after="0" w:line="183" w:lineRule="exact"/>
              <w:rPr>
                <w:sz w:val="20"/>
                <w:szCs w:val="20"/>
                <w:color w:val="auto"/>
              </w:rPr>
            </w:pPr>
            <w:r>
              <w:rPr>
                <w:rFonts w:ascii="Arial" w:cs="Arial" w:eastAsia="Arial" w:hAnsi="Arial"/>
                <w:sz w:val="17"/>
                <w:szCs w:val="17"/>
                <w:color w:val="auto"/>
              </w:rPr>
              <w:t> $</w:t>
            </w:r>
          </w:p>
        </w:tc>
        <w:tc>
          <w:tcPr>
            <w:tcW w:w="9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562  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left="820" w:right="660" w:hanging="409"/>
        <w:spacing w:after="0" w:line="288" w:lineRule="auto"/>
        <w:tabs>
          <w:tab w:leader="none" w:pos="82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Aggregate intrinsic value in the above table is the difference between the estimated fair value of the Company’s common stock as of either December 31, 2022 or 2023, and the exercise price of stock options that had exercise prices below that value.</w:t>
      </w:r>
    </w:p>
    <w:p>
      <w:pPr>
        <w:spacing w:after="0" w:line="144" w:lineRule="exact"/>
        <w:rPr>
          <w:sz w:val="20"/>
          <w:szCs w:val="20"/>
          <w:color w:val="auto"/>
        </w:rPr>
      </w:pPr>
    </w:p>
    <w:p>
      <w:pPr>
        <w:ind w:left="420" w:right="460" w:firstLine="417"/>
        <w:spacing w:after="0" w:line="270" w:lineRule="auto"/>
        <w:rPr>
          <w:sz w:val="20"/>
          <w:szCs w:val="20"/>
          <w:color w:val="auto"/>
        </w:rPr>
      </w:pPr>
      <w:r>
        <w:rPr>
          <w:rFonts w:ascii="Arial" w:cs="Arial" w:eastAsia="Arial" w:hAnsi="Arial"/>
          <w:sz w:val="17"/>
          <w:szCs w:val="17"/>
          <w:color w:val="auto"/>
        </w:rPr>
        <w:t>The options exercised during the years ended December 31, 2022 and 2023 had an intrinsic value at exercise of $439,000 and $22,000, respectively.</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98" w:lineRule="exact"/>
        <w:rPr>
          <w:sz w:val="20"/>
          <w:szCs w:val="20"/>
          <w:color w:val="auto"/>
        </w:rPr>
      </w:pPr>
    </w:p>
    <w:p>
      <w:pPr>
        <w:ind w:left="820"/>
        <w:spacing w:after="0"/>
        <w:rPr>
          <w:sz w:val="20"/>
          <w:szCs w:val="20"/>
          <w:color w:val="auto"/>
        </w:rPr>
      </w:pPr>
      <w:r>
        <w:rPr>
          <w:rFonts w:ascii="Arial" w:cs="Arial" w:eastAsia="Arial" w:hAnsi="Arial"/>
          <w:sz w:val="17"/>
          <w:szCs w:val="17"/>
          <w:color w:val="auto"/>
        </w:rPr>
        <w:t>Stock-based compensation expense was as follows (in thousands):</w:t>
      </w:r>
    </w:p>
    <w:p>
      <w:pPr>
        <w:spacing w:after="0" w:line="233" w:lineRule="exact"/>
        <w:rPr>
          <w:sz w:val="20"/>
          <w:szCs w:val="20"/>
          <w:color w:val="auto"/>
        </w:rPr>
      </w:pPr>
    </w:p>
    <w:tbl>
      <w:tblPr>
        <w:tblLayout w:type="fixed"/>
        <w:tblInd w:w="42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46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4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40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Research and development</w:t>
            </w:r>
          </w:p>
        </w:tc>
        <w:tc>
          <w:tcPr>
            <w:tcW w:w="8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 $</w:t>
            </w:r>
          </w:p>
        </w:tc>
        <w:tc>
          <w:tcPr>
            <w:tcW w:w="840" w:type="dxa"/>
            <w:vAlign w:val="bottom"/>
            <w:gridSpan w:val="2"/>
            <w:shd w:val="clear" w:color="auto" w:fill="CCEEFF"/>
          </w:tcPr>
          <w:p>
            <w:pPr>
              <w:jc w:val="right"/>
              <w:ind w:right="220"/>
              <w:spacing w:after="0" w:line="185" w:lineRule="exact"/>
              <w:rPr>
                <w:sz w:val="20"/>
                <w:szCs w:val="20"/>
                <w:color w:val="auto"/>
              </w:rPr>
            </w:pPr>
            <w:r>
              <w:rPr>
                <w:rFonts w:ascii="Arial" w:cs="Arial" w:eastAsia="Arial" w:hAnsi="Arial"/>
                <w:sz w:val="17"/>
                <w:szCs w:val="17"/>
                <w:color w:val="auto"/>
              </w:rPr>
              <w:t>915    </w:t>
            </w:r>
          </w:p>
        </w:tc>
        <w:tc>
          <w:tcPr>
            <w:tcW w:w="80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 $</w:t>
            </w:r>
          </w:p>
        </w:tc>
        <w:tc>
          <w:tcPr>
            <w:tcW w:w="48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w w:val="86"/>
              </w:rPr>
              <w:t>1,420  </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0" w:type="dxa"/>
            <w:vAlign w:val="bottom"/>
          </w:tcPr>
          <w:p>
            <w:pPr>
              <w:spacing w:after="0" w:line="192" w:lineRule="exact"/>
              <w:rPr>
                <w:sz w:val="20"/>
                <w:szCs w:val="20"/>
                <w:color w:val="auto"/>
              </w:rPr>
            </w:pPr>
            <w:r>
              <w:rPr>
                <w:rFonts w:ascii="Arial" w:cs="Arial" w:eastAsia="Arial" w:hAnsi="Arial"/>
                <w:sz w:val="17"/>
                <w:szCs w:val="17"/>
                <w:color w:val="auto"/>
              </w:rPr>
              <w:t>General and administrative</w:t>
            </w:r>
          </w:p>
        </w:tc>
        <w:tc>
          <w:tcPr>
            <w:tcW w:w="820" w:type="dxa"/>
            <w:vAlign w:val="bottom"/>
          </w:tcPr>
          <w:p>
            <w:pPr>
              <w:spacing w:after="0"/>
              <w:rPr>
                <w:sz w:val="16"/>
                <w:szCs w:val="16"/>
                <w:color w:val="auto"/>
              </w:rPr>
            </w:pPr>
          </w:p>
        </w:tc>
        <w:tc>
          <w:tcPr>
            <w:tcW w:w="840" w:type="dxa"/>
            <w:vAlign w:val="bottom"/>
            <w:gridSpan w:val="2"/>
          </w:tcPr>
          <w:p>
            <w:pPr>
              <w:jc w:val="right"/>
              <w:ind w:right="220"/>
              <w:spacing w:after="0" w:line="192" w:lineRule="exact"/>
              <w:rPr>
                <w:sz w:val="20"/>
                <w:szCs w:val="20"/>
                <w:color w:val="auto"/>
              </w:rPr>
            </w:pPr>
            <w:r>
              <w:rPr>
                <w:rFonts w:ascii="Arial" w:cs="Arial" w:eastAsia="Arial" w:hAnsi="Arial"/>
                <w:sz w:val="17"/>
                <w:szCs w:val="17"/>
                <w:color w:val="auto"/>
                <w:w w:val="99"/>
              </w:rPr>
              <w:t>1,375    </w:t>
            </w:r>
          </w:p>
        </w:tc>
        <w:tc>
          <w:tcPr>
            <w:tcW w:w="800" w:type="dxa"/>
            <w:vAlign w:val="bottom"/>
          </w:tcPr>
          <w:p>
            <w:pPr>
              <w:spacing w:after="0"/>
              <w:rPr>
                <w:sz w:val="16"/>
                <w:szCs w:val="16"/>
                <w:color w:val="auto"/>
              </w:rPr>
            </w:pPr>
          </w:p>
        </w:tc>
        <w:tc>
          <w:tcPr>
            <w:tcW w:w="540" w:type="dxa"/>
            <w:vAlign w:val="bottom"/>
            <w:gridSpan w:val="2"/>
          </w:tcPr>
          <w:p>
            <w:pPr>
              <w:ind w:left="20"/>
              <w:spacing w:after="0" w:line="192" w:lineRule="exact"/>
              <w:rPr>
                <w:sz w:val="20"/>
                <w:szCs w:val="20"/>
                <w:color w:val="auto"/>
              </w:rPr>
            </w:pPr>
            <w:r>
              <w:rPr>
                <w:rFonts w:ascii="Arial" w:cs="Arial" w:eastAsia="Arial" w:hAnsi="Arial"/>
                <w:sz w:val="17"/>
                <w:szCs w:val="17"/>
                <w:color w:val="auto"/>
                <w:w w:val="98"/>
              </w:rPr>
              <w:t>1,916  </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0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Total stock-based compensation expense</w:t>
            </w:r>
          </w:p>
        </w:tc>
        <w:tc>
          <w:tcPr>
            <w:tcW w:w="82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 xml:space="preserve"> $           </w:t>
            </w:r>
          </w:p>
        </w:tc>
        <w:tc>
          <w:tcPr>
            <w:tcW w:w="840" w:type="dxa"/>
            <w:vAlign w:val="bottom"/>
            <w:gridSpan w:val="2"/>
            <w:shd w:val="clear" w:color="auto" w:fill="CCEEFF"/>
          </w:tcPr>
          <w:p>
            <w:pPr>
              <w:jc w:val="right"/>
              <w:ind w:right="220"/>
              <w:spacing w:after="0" w:line="192" w:lineRule="exact"/>
              <w:rPr>
                <w:sz w:val="20"/>
                <w:szCs w:val="20"/>
                <w:color w:val="auto"/>
              </w:rPr>
            </w:pPr>
            <w:r>
              <w:rPr>
                <w:rFonts w:ascii="Arial" w:cs="Arial" w:eastAsia="Arial" w:hAnsi="Arial"/>
                <w:sz w:val="17"/>
                <w:szCs w:val="17"/>
                <w:color w:val="auto"/>
                <w:w w:val="99"/>
              </w:rPr>
              <w:t>2,290    </w:t>
            </w:r>
          </w:p>
        </w:tc>
        <w:tc>
          <w:tcPr>
            <w:tcW w:w="80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 xml:space="preserve"> $           </w:t>
            </w:r>
          </w:p>
        </w:tc>
        <w:tc>
          <w:tcPr>
            <w:tcW w:w="540" w:type="dxa"/>
            <w:vAlign w:val="bottom"/>
            <w:gridSpan w:val="2"/>
            <w:shd w:val="clear" w:color="auto" w:fill="CCEEFF"/>
          </w:tcPr>
          <w:p>
            <w:pPr>
              <w:ind w:left="20"/>
              <w:spacing w:after="0" w:line="192" w:lineRule="exact"/>
              <w:rPr>
                <w:sz w:val="20"/>
                <w:szCs w:val="20"/>
                <w:color w:val="auto"/>
              </w:rPr>
            </w:pPr>
            <w:r>
              <w:rPr>
                <w:rFonts w:ascii="Arial" w:cs="Arial" w:eastAsia="Arial" w:hAnsi="Arial"/>
                <w:sz w:val="17"/>
                <w:szCs w:val="17"/>
                <w:color w:val="auto"/>
                <w:w w:val="98"/>
              </w:rPr>
              <w:t>3,336  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420" w:right="40" w:firstLine="417"/>
        <w:spacing w:after="0" w:line="242" w:lineRule="auto"/>
        <w:rPr>
          <w:sz w:val="20"/>
          <w:szCs w:val="20"/>
          <w:color w:val="auto"/>
        </w:rPr>
      </w:pPr>
      <w:r>
        <w:rPr>
          <w:rFonts w:ascii="Arial" w:cs="Arial" w:eastAsia="Arial" w:hAnsi="Arial"/>
          <w:sz w:val="17"/>
          <w:szCs w:val="17"/>
          <w:color w:val="auto"/>
        </w:rPr>
        <w:t>On June 13, 2023, the Company’s Board of Directors approved an option repricing to reprice certain underwater options to purchase the Company’s shares of common stock held by its employees (including officers of the Company) and non-employee directors. Under the option repricing, options with an exercise price at or above $9.75 per share, representing an aggregate of 1,019,029 shares of common stock, were amended to reduce such exercise price to $4.10 per share. The repricing resulted in one-time stock-based compensation expense of approximately $ 263,000 related to vested options and incremental stock option expense of approximately $377,000 related to unvested options which will be amortized on a straight-line basis over the remaining vesting period of those options.</w:t>
      </w:r>
    </w:p>
    <w:p>
      <w:pPr>
        <w:spacing w:after="0" w:line="172" w:lineRule="exact"/>
        <w:rPr>
          <w:sz w:val="20"/>
          <w:szCs w:val="20"/>
          <w:color w:val="auto"/>
        </w:rPr>
      </w:pPr>
    </w:p>
    <w:p>
      <w:pPr>
        <w:ind w:left="420" w:right="20" w:firstLine="417"/>
        <w:spacing w:after="0" w:line="302" w:lineRule="auto"/>
        <w:rPr>
          <w:sz w:val="20"/>
          <w:szCs w:val="20"/>
          <w:color w:val="auto"/>
        </w:rPr>
      </w:pPr>
      <w:r>
        <w:rPr>
          <w:rFonts w:ascii="Arial" w:cs="Arial" w:eastAsia="Arial" w:hAnsi="Arial"/>
          <w:sz w:val="16"/>
          <w:szCs w:val="16"/>
          <w:color w:val="auto"/>
        </w:rPr>
        <w:t>As of December 31, 2022 and 2023, unrecognized compensation cost related to outstanding time-based options was $6.0 million and $8.2 million, respectively, which is expected to be recognized over a weighted-average period of 2.0 years and 2.5 years, respectively.</w:t>
      </w:r>
    </w:p>
    <w:p>
      <w:pPr>
        <w:spacing w:after="0" w:line="6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0840"/>
          </w:cols>
          <w:pgMar w:left="320" w:top="439" w:right="7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right="200" w:firstLine="417"/>
        <w:spacing w:after="0" w:line="270" w:lineRule="auto"/>
        <w:rPr>
          <w:sz w:val="20"/>
          <w:szCs w:val="20"/>
          <w:color w:val="auto"/>
        </w:rPr>
      </w:pPr>
      <w:r>
        <w:rPr>
          <w:rFonts w:ascii="Arial" w:cs="Arial" w:eastAsia="Arial" w:hAnsi="Arial"/>
          <w:sz w:val="17"/>
          <w:szCs w:val="17"/>
          <w:color w:val="auto"/>
        </w:rPr>
        <w:t>The weighted-average assumptions used in the Black-Scholes option pricing model to determine the fair value of the stock options granted during the following periods were as follows:</w:t>
      </w:r>
    </w:p>
    <w:p>
      <w:pPr>
        <w:spacing w:after="0" w:line="181"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Year Ended December 31,</w:t>
      </w:r>
    </w:p>
    <w:p>
      <w:pPr>
        <w:spacing w:after="0" w:line="2" w:lineRule="exact"/>
        <w:rPr>
          <w:sz w:val="20"/>
          <w:szCs w:val="20"/>
          <w:color w:val="auto"/>
        </w:rPr>
      </w:pPr>
    </w:p>
    <w:tbl>
      <w:tblPr>
        <w:tblLayout w:type="fixed"/>
        <w:tblInd w:w="420" w:type="dxa"/>
        <w:tblCellMar>
          <w:top w:w="0" w:type="dxa"/>
          <w:left w:w="0" w:type="dxa"/>
          <w:bottom w:w="0" w:type="dxa"/>
          <w:right w:w="0" w:type="dxa"/>
        </w:tblCellMar>
      </w:tblPr>
      <w:tr>
        <w:trPr>
          <w:trHeight w:val="146"/>
        </w:trPr>
        <w:tc>
          <w:tcPr>
            <w:tcW w:w="78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2"/>
                <w:szCs w:val="2"/>
                <w:b w:val="1"/>
                <w:bCs w:val="1"/>
                <w:color w:val="auto"/>
                <w:w w:val="97"/>
              </w:rPr>
              <w:t> </w:t>
            </w:r>
          </w:p>
        </w:tc>
        <w:tc>
          <w:tcPr>
            <w:tcW w:w="1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2"/>
                <w:szCs w:val="2"/>
                <w:b w:val="1"/>
                <w:bCs w:val="1"/>
                <w:color w:val="auto"/>
                <w:w w:val="97"/>
              </w:rPr>
              <w:t> </w:t>
            </w:r>
          </w:p>
        </w:tc>
        <w:tc>
          <w:tcPr>
            <w:tcW w:w="1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5"/>
                <w:szCs w:val="5"/>
                <w:b w:val="1"/>
                <w:bCs w:val="1"/>
                <w:color w:val="auto"/>
                <w:w w:val="79"/>
              </w:rPr>
              <w:t> </w:t>
            </w:r>
          </w:p>
        </w:tc>
        <w:tc>
          <w:tcPr>
            <w:tcW w:w="46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w w:val="84"/>
              </w:rPr>
              <w:t>2022 </w:t>
            </w:r>
          </w:p>
        </w:tc>
        <w:tc>
          <w:tcPr>
            <w:tcW w:w="360" w:type="dxa"/>
            <w:vAlign w:val="bottom"/>
            <w:tcBorders>
              <w:top w:val="single" w:sz="8" w:color="auto"/>
              <w:bottom w:val="single" w:sz="8" w:color="auto"/>
            </w:tcBorders>
          </w:tcPr>
          <w:p>
            <w:pPr>
              <w:ind w:left="40"/>
              <w:spacing w:after="0" w:line="146" w:lineRule="exact"/>
              <w:rPr>
                <w:sz w:val="20"/>
                <w:szCs w:val="20"/>
                <w:color w:val="auto"/>
              </w:rPr>
            </w:pPr>
            <w:r>
              <w:rPr>
                <w:rFonts w:ascii="Arial" w:cs="Arial" w:eastAsia="Arial" w:hAnsi="Arial"/>
                <w:sz w:val="14"/>
                <w:szCs w:val="14"/>
                <w:b w:val="1"/>
                <w:bCs w:val="1"/>
                <w:color w:val="auto"/>
              </w:rPr>
              <w:t xml:space="preserve">    </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8"/>
                <w:szCs w:val="8"/>
                <w:b w:val="1"/>
                <w:bCs w:val="1"/>
                <w:color w:val="auto"/>
                <w:w w:val="74"/>
              </w:rPr>
              <w:t> </w:t>
            </w:r>
          </w:p>
        </w:tc>
        <w:tc>
          <w:tcPr>
            <w:tcW w:w="240" w:type="dxa"/>
            <w:vAlign w:val="bottom"/>
            <w:tcBorders>
              <w:top w:val="single" w:sz="8" w:color="auto"/>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color w:val="auto"/>
              </w:rPr>
              <w:t xml:space="preserve">    </w:t>
            </w:r>
          </w:p>
        </w:tc>
        <w:tc>
          <w:tcPr>
            <w:tcW w:w="46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w w:val="84"/>
              </w:rPr>
              <w:t>2023 </w:t>
            </w:r>
          </w:p>
        </w:tc>
        <w:tc>
          <w:tcPr>
            <w:tcW w:w="360" w:type="dxa"/>
            <w:vAlign w:val="bottom"/>
            <w:tcBorders>
              <w:top w:val="single" w:sz="8" w:color="auto"/>
              <w:bottom w:val="single" w:sz="8" w:color="auto"/>
            </w:tcBorders>
          </w:tcPr>
          <w:p>
            <w:pPr>
              <w:ind w:left="40"/>
              <w:spacing w:after="0" w:line="146" w:lineRule="exact"/>
              <w:rPr>
                <w:sz w:val="20"/>
                <w:szCs w:val="20"/>
                <w:color w:val="auto"/>
              </w:rPr>
            </w:pPr>
            <w:r>
              <w:rPr>
                <w:rFonts w:ascii="Arial" w:cs="Arial" w:eastAsia="Arial" w:hAnsi="Arial"/>
                <w:sz w:val="14"/>
                <w:szCs w:val="14"/>
                <w:b w:val="1"/>
                <w:bCs w:val="1"/>
                <w:color w:val="auto"/>
              </w:rPr>
              <w:t xml:space="preserve">    </w:t>
            </w:r>
          </w:p>
        </w:tc>
        <w:tc>
          <w:tcPr>
            <w:tcW w:w="60" w:type="dxa"/>
            <w:vAlign w:val="bottom"/>
            <w:tcBorders>
              <w:bottom w:val="single" w:sz="8" w:color="CCEEFF"/>
            </w:tcBorders>
          </w:tcPr>
          <w:p>
            <w:pPr>
              <w:spacing w:after="0"/>
              <w:rPr>
                <w:sz w:val="12"/>
                <w:szCs w:val="12"/>
                <w:color w:val="auto"/>
              </w:rPr>
            </w:pPr>
          </w:p>
        </w:tc>
      </w:tr>
      <w:tr>
        <w:trPr>
          <w:trHeight w:val="184"/>
        </w:trPr>
        <w:tc>
          <w:tcPr>
            <w:tcW w:w="780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Expected term (in years)</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70"/>
              </w:rPr>
              <w:t> </w:t>
            </w:r>
          </w:p>
        </w:tc>
        <w:tc>
          <w:tcPr>
            <w:tcW w:w="16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w w:val="70"/>
              </w:rPr>
              <w:t> </w:t>
            </w:r>
          </w:p>
        </w:tc>
        <w:tc>
          <w:tcPr>
            <w:tcW w:w="46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 xml:space="preserve">       </w:t>
            </w:r>
          </w:p>
        </w:tc>
        <w:tc>
          <w:tcPr>
            <w:tcW w:w="520" w:type="dxa"/>
            <w:vAlign w:val="bottom"/>
            <w:gridSpan w:val="2"/>
            <w:shd w:val="clear" w:color="auto" w:fill="CCEEFF"/>
          </w:tcPr>
          <w:p>
            <w:pPr>
              <w:ind w:left="80"/>
              <w:spacing w:after="0" w:line="185" w:lineRule="exact"/>
              <w:rPr>
                <w:sz w:val="20"/>
                <w:szCs w:val="20"/>
                <w:color w:val="auto"/>
              </w:rPr>
            </w:pPr>
            <w:r>
              <w:rPr>
                <w:rFonts w:ascii="Arial" w:cs="Arial" w:eastAsia="Arial" w:hAnsi="Arial"/>
                <w:sz w:val="17"/>
                <w:szCs w:val="17"/>
                <w:color w:val="auto"/>
                <w:w w:val="91"/>
              </w:rPr>
              <w:t>6.0     </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1"/>
              </w:rPr>
              <w:t> </w:t>
            </w:r>
          </w:p>
        </w:tc>
        <w:tc>
          <w:tcPr>
            <w:tcW w:w="240" w:type="dxa"/>
            <w:vAlign w:val="bottom"/>
            <w:shd w:val="clear" w:color="auto" w:fill="CCEEFF"/>
          </w:tcPr>
          <w:p>
            <w:pPr>
              <w:jc w:val="center"/>
              <w:spacing w:after="0"/>
              <w:rPr>
                <w:sz w:val="20"/>
                <w:szCs w:val="20"/>
                <w:color w:val="auto"/>
              </w:rPr>
            </w:pPr>
            <w:r>
              <w:rPr>
                <w:rFonts w:ascii="Arial" w:cs="Arial" w:eastAsia="Arial" w:hAnsi="Arial"/>
                <w:sz w:val="5"/>
                <w:szCs w:val="5"/>
                <w:color w:val="auto"/>
                <w:w w:val="79"/>
              </w:rPr>
              <w:t> </w:t>
            </w:r>
          </w:p>
        </w:tc>
        <w:tc>
          <w:tcPr>
            <w:tcW w:w="46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 xml:space="preserve">       </w:t>
            </w:r>
          </w:p>
        </w:tc>
        <w:tc>
          <w:tcPr>
            <w:tcW w:w="360" w:type="dxa"/>
            <w:vAlign w:val="bottom"/>
            <w:shd w:val="clear" w:color="auto" w:fill="CCEEFF"/>
          </w:tcPr>
          <w:p>
            <w:pPr>
              <w:ind w:left="80"/>
              <w:spacing w:after="0" w:line="185" w:lineRule="exact"/>
              <w:rPr>
                <w:sz w:val="20"/>
                <w:szCs w:val="20"/>
                <w:color w:val="auto"/>
              </w:rPr>
            </w:pPr>
            <w:r>
              <w:rPr>
                <w:rFonts w:ascii="Arial" w:cs="Arial" w:eastAsia="Arial" w:hAnsi="Arial"/>
                <w:sz w:val="17"/>
                <w:szCs w:val="17"/>
                <w:color w:val="auto"/>
                <w:w w:val="81"/>
              </w:rPr>
              <w:t>6.0  </w:t>
            </w:r>
          </w:p>
        </w:tc>
        <w:tc>
          <w:tcPr>
            <w:tcW w:w="60" w:type="dxa"/>
            <w:vAlign w:val="bottom"/>
            <w:shd w:val="clear" w:color="auto" w:fill="CCEEFF"/>
          </w:tcPr>
          <w:p>
            <w:pPr>
              <w:spacing w:after="0"/>
              <w:rPr>
                <w:sz w:val="16"/>
                <w:szCs w:val="16"/>
                <w:color w:val="auto"/>
              </w:rPr>
            </w:pPr>
          </w:p>
        </w:tc>
      </w:tr>
      <w:tr>
        <w:trPr>
          <w:trHeight w:val="192"/>
        </w:trPr>
        <w:tc>
          <w:tcPr>
            <w:tcW w:w="7880" w:type="dxa"/>
            <w:vAlign w:val="bottom"/>
            <w:gridSpan w:val="2"/>
          </w:tcPr>
          <w:p>
            <w:pPr>
              <w:spacing w:after="0" w:line="192" w:lineRule="exact"/>
              <w:rPr>
                <w:sz w:val="20"/>
                <w:szCs w:val="20"/>
                <w:color w:val="auto"/>
              </w:rPr>
            </w:pPr>
            <w:r>
              <w:rPr>
                <w:rFonts w:ascii="Arial" w:cs="Arial" w:eastAsia="Arial" w:hAnsi="Arial"/>
                <w:sz w:val="17"/>
                <w:szCs w:val="17"/>
                <w:color w:val="auto"/>
              </w:rPr>
              <w:t>Expected volatility</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4"/>
          </w:tcPr>
          <w:p>
            <w:pPr>
              <w:jc w:val="right"/>
              <w:ind w:right="46"/>
              <w:spacing w:after="0" w:line="192" w:lineRule="exact"/>
              <w:rPr>
                <w:sz w:val="20"/>
                <w:szCs w:val="20"/>
                <w:color w:val="auto"/>
              </w:rPr>
            </w:pPr>
            <w:r>
              <w:rPr>
                <w:rFonts w:ascii="Arial" w:cs="Arial" w:eastAsia="Arial" w:hAnsi="Arial"/>
                <w:sz w:val="17"/>
                <w:szCs w:val="17"/>
                <w:color w:val="auto"/>
              </w:rPr>
              <w:t>94.0%     </w:t>
            </w:r>
          </w:p>
        </w:tc>
        <w:tc>
          <w:tcPr>
            <w:tcW w:w="240" w:type="dxa"/>
            <w:vAlign w:val="bottom"/>
          </w:tcPr>
          <w:p>
            <w:pPr>
              <w:spacing w:after="0"/>
              <w:rPr>
                <w:sz w:val="16"/>
                <w:szCs w:val="16"/>
                <w:color w:val="auto"/>
              </w:rPr>
            </w:pPr>
          </w:p>
        </w:tc>
        <w:tc>
          <w:tcPr>
            <w:tcW w:w="880" w:type="dxa"/>
            <w:vAlign w:val="bottom"/>
            <w:gridSpan w:val="3"/>
          </w:tcPr>
          <w:p>
            <w:pPr>
              <w:jc w:val="right"/>
              <w:ind w:right="20"/>
              <w:spacing w:after="0" w:line="192" w:lineRule="exact"/>
              <w:rPr>
                <w:sz w:val="20"/>
                <w:szCs w:val="20"/>
                <w:color w:val="auto"/>
              </w:rPr>
            </w:pPr>
            <w:r>
              <w:rPr>
                <w:rFonts w:ascii="Arial" w:cs="Arial" w:eastAsia="Arial" w:hAnsi="Arial"/>
                <w:sz w:val="17"/>
                <w:szCs w:val="17"/>
                <w:color w:val="auto"/>
              </w:rPr>
              <w:t>92.4%  </w:t>
            </w:r>
          </w:p>
        </w:tc>
      </w:tr>
      <w:tr>
        <w:trPr>
          <w:trHeight w:val="192"/>
        </w:trPr>
        <w:tc>
          <w:tcPr>
            <w:tcW w:w="7880" w:type="dxa"/>
            <w:vAlign w:val="bottom"/>
            <w:gridSpan w:val="2"/>
            <w:shd w:val="clear" w:color="auto" w:fill="CCEEFF"/>
          </w:tcPr>
          <w:p>
            <w:pPr>
              <w:spacing w:after="0" w:line="192" w:lineRule="exact"/>
              <w:rPr>
                <w:sz w:val="20"/>
                <w:szCs w:val="20"/>
                <w:color w:val="auto"/>
              </w:rPr>
            </w:pPr>
            <w:r>
              <w:rPr>
                <w:rFonts w:ascii="Arial" w:cs="Arial" w:eastAsia="Arial" w:hAnsi="Arial"/>
                <w:sz w:val="17"/>
                <w:szCs w:val="17"/>
                <w:color w:val="auto"/>
              </w:rPr>
              <w:t>Risk-free interest rate</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4"/>
            <w:shd w:val="clear" w:color="auto" w:fill="CCEEFF"/>
          </w:tcPr>
          <w:p>
            <w:pPr>
              <w:jc w:val="right"/>
              <w:ind w:right="46"/>
              <w:spacing w:after="0" w:line="192" w:lineRule="exact"/>
              <w:rPr>
                <w:sz w:val="20"/>
                <w:szCs w:val="20"/>
                <w:color w:val="auto"/>
              </w:rPr>
            </w:pPr>
            <w:r>
              <w:rPr>
                <w:rFonts w:ascii="Arial" w:cs="Arial" w:eastAsia="Arial" w:hAnsi="Arial"/>
                <w:sz w:val="17"/>
                <w:szCs w:val="17"/>
                <w:color w:val="auto"/>
              </w:rPr>
              <w:t>2.5%     </w:t>
            </w:r>
          </w:p>
        </w:tc>
        <w:tc>
          <w:tcPr>
            <w:tcW w:w="24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0"/>
              <w:spacing w:after="0" w:line="192" w:lineRule="exact"/>
              <w:rPr>
                <w:sz w:val="20"/>
                <w:szCs w:val="20"/>
                <w:color w:val="auto"/>
              </w:rPr>
            </w:pPr>
            <w:r>
              <w:rPr>
                <w:rFonts w:ascii="Arial" w:cs="Arial" w:eastAsia="Arial" w:hAnsi="Arial"/>
                <w:sz w:val="17"/>
                <w:szCs w:val="17"/>
                <w:color w:val="auto"/>
              </w:rPr>
              <w:t>3.9%  </w:t>
            </w:r>
          </w:p>
        </w:tc>
      </w:tr>
      <w:tr>
        <w:trPr>
          <w:trHeight w:val="224"/>
        </w:trPr>
        <w:tc>
          <w:tcPr>
            <w:tcW w:w="7880" w:type="dxa"/>
            <w:vAlign w:val="bottom"/>
            <w:gridSpan w:val="2"/>
          </w:tcPr>
          <w:p>
            <w:pPr>
              <w:spacing w:after="0"/>
              <w:rPr>
                <w:sz w:val="20"/>
                <w:szCs w:val="20"/>
                <w:color w:val="auto"/>
              </w:rPr>
            </w:pPr>
            <w:r>
              <w:rPr>
                <w:rFonts w:ascii="Arial" w:cs="Arial" w:eastAsia="Arial" w:hAnsi="Arial"/>
                <w:sz w:val="17"/>
                <w:szCs w:val="17"/>
                <w:color w:val="auto"/>
              </w:rPr>
              <w:t>Expected dividend yield</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4"/>
          </w:tcPr>
          <w:p>
            <w:pPr>
              <w:jc w:val="right"/>
              <w:ind w:right="46"/>
              <w:spacing w:after="0"/>
              <w:rPr>
                <w:sz w:val="20"/>
                <w:szCs w:val="20"/>
                <w:color w:val="auto"/>
              </w:rPr>
            </w:pPr>
            <w:r>
              <w:rPr>
                <w:rFonts w:ascii="Arial" w:cs="Arial" w:eastAsia="Arial" w:hAnsi="Arial"/>
                <w:sz w:val="17"/>
                <w:szCs w:val="17"/>
                <w:color w:val="auto"/>
              </w:rPr>
              <w:t>0.0%     </w:t>
            </w:r>
          </w:p>
        </w:tc>
        <w:tc>
          <w:tcPr>
            <w:tcW w:w="24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7"/>
                <w:szCs w:val="17"/>
                <w:color w:val="auto"/>
              </w:rPr>
              <w:t>0.0%  </w:t>
            </w:r>
          </w:p>
        </w:tc>
      </w:tr>
    </w:tbl>
    <w:p>
      <w:pPr>
        <w:spacing w:after="0" w:line="155" w:lineRule="exact"/>
        <w:rPr>
          <w:sz w:val="20"/>
          <w:szCs w:val="20"/>
          <w:color w:val="auto"/>
        </w:rPr>
      </w:pPr>
    </w:p>
    <w:p>
      <w:pPr>
        <w:ind w:left="420" w:right="200" w:firstLine="417"/>
        <w:spacing w:after="0" w:line="270" w:lineRule="auto"/>
        <w:rPr>
          <w:sz w:val="20"/>
          <w:szCs w:val="20"/>
          <w:color w:val="auto"/>
        </w:rPr>
      </w:pPr>
      <w:r>
        <w:rPr>
          <w:rFonts w:ascii="Arial" w:cs="Arial" w:eastAsia="Arial" w:hAnsi="Arial"/>
          <w:sz w:val="17"/>
          <w:szCs w:val="17"/>
          <w:color w:val="auto"/>
        </w:rPr>
        <w:t>The weighted-average grant date per share fair value of the stock options granted during the years ended December 31, 2022 and 2023 was $7.61 and $3.32, respectively.</w:t>
      </w:r>
    </w:p>
    <w:p>
      <w:pPr>
        <w:spacing w:after="0" w:line="173" w:lineRule="exact"/>
        <w:rPr>
          <w:sz w:val="20"/>
          <w:szCs w:val="20"/>
          <w:color w:val="auto"/>
        </w:rPr>
      </w:pPr>
    </w:p>
    <w:p>
      <w:pPr>
        <w:ind w:left="820" w:hanging="409"/>
        <w:spacing w:after="0"/>
        <w:tabs>
          <w:tab w:leader="none" w:pos="820" w:val="left"/>
        </w:tabs>
        <w:numPr>
          <w:ilvl w:val="0"/>
          <w:numId w:val="118"/>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98" w:lineRule="exact"/>
        <w:rPr>
          <w:sz w:val="20"/>
          <w:szCs w:val="20"/>
          <w:color w:val="auto"/>
        </w:rPr>
      </w:pPr>
    </w:p>
    <w:p>
      <w:pPr>
        <w:ind w:left="420" w:right="20" w:firstLine="417"/>
        <w:spacing w:after="0" w:line="252" w:lineRule="auto"/>
        <w:rPr>
          <w:sz w:val="20"/>
          <w:szCs w:val="20"/>
          <w:color w:val="auto"/>
        </w:rPr>
      </w:pPr>
      <w:r>
        <w:rPr>
          <w:rFonts w:ascii="Arial" w:cs="Arial" w:eastAsia="Arial" w:hAnsi="Arial"/>
          <w:sz w:val="17"/>
          <w:szCs w:val="17"/>
          <w:color w:val="auto"/>
        </w:rPr>
        <w:t>The Company is subject to taxation in the United States and certain states therein, however, due to the net losses incurred in each of the years ended December 31, 2022 and 2023, the Company has not recorded a provision for income taxes for either year. A reconciliation of the federal statutory tax rate and the Company’s effective tax rate is as follows:</w:t>
      </w:r>
    </w:p>
    <w:p>
      <w:pPr>
        <w:spacing w:after="0" w:line="197" w:lineRule="exact"/>
        <w:rPr>
          <w:sz w:val="20"/>
          <w:szCs w:val="20"/>
          <w:color w:val="auto"/>
        </w:rPr>
      </w:pPr>
    </w:p>
    <w:tbl>
      <w:tblPr>
        <w:tblLayout w:type="fixed"/>
        <w:tblInd w:w="42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30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360" w:type="dxa"/>
            <w:vAlign w:val="bottom"/>
            <w:tcBorders>
              <w:bottom w:val="single" w:sz="8" w:color="CCEEFF"/>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478"/>
              <w:spacing w:after="0" w:line="146"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77"/>
              <w:spacing w:after="0" w:line="146" w:lineRule="exact"/>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3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Federal statutory income tax rate</w:t>
            </w:r>
          </w:p>
        </w:tc>
        <w:tc>
          <w:tcPr>
            <w:tcW w:w="1560" w:type="dxa"/>
            <w:vAlign w:val="bottom"/>
            <w:gridSpan w:val="2"/>
            <w:shd w:val="clear" w:color="auto" w:fill="CCEEFF"/>
          </w:tcPr>
          <w:p>
            <w:pPr>
              <w:ind w:left="160"/>
              <w:spacing w:after="0" w:line="185" w:lineRule="exact"/>
              <w:rPr>
                <w:sz w:val="20"/>
                <w:szCs w:val="20"/>
                <w:color w:val="auto"/>
              </w:rPr>
            </w:pPr>
            <w:r>
              <w:rPr>
                <w:rFonts w:ascii="Arial" w:cs="Arial" w:eastAsia="Arial" w:hAnsi="Arial"/>
                <w:sz w:val="17"/>
                <w:szCs w:val="17"/>
                <w:color w:val="auto"/>
                <w:w w:val="95"/>
              </w:rPr>
              <w:t>            21.0%      </w:t>
            </w:r>
          </w:p>
        </w:tc>
        <w:tc>
          <w:tcPr>
            <w:tcW w:w="26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 </w:t>
            </w:r>
          </w:p>
        </w:tc>
        <w:tc>
          <w:tcPr>
            <w:tcW w:w="116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w w:val="97"/>
              </w:rPr>
              <w:t>         21.0%   </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60" w:type="dxa"/>
            <w:vAlign w:val="bottom"/>
          </w:tcPr>
          <w:p>
            <w:pPr>
              <w:spacing w:after="0" w:line="192" w:lineRule="exact"/>
              <w:rPr>
                <w:sz w:val="20"/>
                <w:szCs w:val="20"/>
                <w:color w:val="auto"/>
              </w:rPr>
            </w:pPr>
            <w:r>
              <w:rPr>
                <w:rFonts w:ascii="Arial" w:cs="Arial" w:eastAsia="Arial" w:hAnsi="Arial"/>
                <w:sz w:val="17"/>
                <w:szCs w:val="17"/>
                <w:color w:val="auto"/>
              </w:rPr>
              <w:t>State income taxes, net of federal benefit</w:t>
            </w:r>
          </w:p>
        </w:tc>
        <w:tc>
          <w:tcPr>
            <w:tcW w:w="1820" w:type="dxa"/>
            <w:vAlign w:val="bottom"/>
            <w:gridSpan w:val="3"/>
          </w:tcPr>
          <w:p>
            <w:pPr>
              <w:jc w:val="right"/>
              <w:ind w:right="115"/>
              <w:spacing w:after="0" w:line="192" w:lineRule="exact"/>
              <w:rPr>
                <w:sz w:val="20"/>
                <w:szCs w:val="20"/>
                <w:color w:val="auto"/>
              </w:rPr>
            </w:pPr>
            <w:r>
              <w:rPr>
                <w:rFonts w:ascii="Arial" w:cs="Arial" w:eastAsia="Arial" w:hAnsi="Arial"/>
                <w:sz w:val="17"/>
                <w:szCs w:val="17"/>
                <w:color w:val="auto"/>
              </w:rPr>
              <w:t>6.7      </w:t>
            </w:r>
          </w:p>
        </w:tc>
        <w:tc>
          <w:tcPr>
            <w:tcW w:w="1220" w:type="dxa"/>
            <w:vAlign w:val="bottom"/>
            <w:gridSpan w:val="2"/>
          </w:tcPr>
          <w:p>
            <w:pPr>
              <w:jc w:val="right"/>
              <w:ind w:right="20"/>
              <w:spacing w:after="0" w:line="192" w:lineRule="exact"/>
              <w:rPr>
                <w:sz w:val="20"/>
                <w:szCs w:val="20"/>
                <w:color w:val="auto"/>
              </w:rPr>
            </w:pPr>
            <w:r>
              <w:rPr>
                <w:rFonts w:ascii="Arial" w:cs="Arial" w:eastAsia="Arial" w:hAnsi="Arial"/>
                <w:sz w:val="17"/>
                <w:szCs w:val="17"/>
                <w:color w:val="auto"/>
              </w:rPr>
              <w:t>6.6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6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Tax credits</w:t>
            </w:r>
          </w:p>
        </w:tc>
        <w:tc>
          <w:tcPr>
            <w:tcW w:w="1820" w:type="dxa"/>
            <w:vAlign w:val="bottom"/>
            <w:gridSpan w:val="3"/>
            <w:shd w:val="clear" w:color="auto" w:fill="CCEEFF"/>
          </w:tcPr>
          <w:p>
            <w:pPr>
              <w:jc w:val="right"/>
              <w:ind w:right="115"/>
              <w:spacing w:after="0" w:line="192" w:lineRule="exact"/>
              <w:rPr>
                <w:sz w:val="20"/>
                <w:szCs w:val="20"/>
                <w:color w:val="auto"/>
              </w:rPr>
            </w:pPr>
            <w:r>
              <w:rPr>
                <w:rFonts w:ascii="Arial" w:cs="Arial" w:eastAsia="Arial" w:hAnsi="Arial"/>
                <w:sz w:val="17"/>
                <w:szCs w:val="17"/>
                <w:color w:val="auto"/>
              </w:rPr>
              <w:t>4.8      </w:t>
            </w:r>
          </w:p>
        </w:tc>
        <w:tc>
          <w:tcPr>
            <w:tcW w:w="1220" w:type="dxa"/>
            <w:vAlign w:val="bottom"/>
            <w:gridSpan w:val="2"/>
            <w:shd w:val="clear" w:color="auto" w:fill="CCEEFF"/>
          </w:tcPr>
          <w:p>
            <w:pPr>
              <w:jc w:val="right"/>
              <w:ind w:right="20"/>
              <w:spacing w:after="0" w:line="192" w:lineRule="exact"/>
              <w:rPr>
                <w:sz w:val="20"/>
                <w:szCs w:val="20"/>
                <w:color w:val="auto"/>
              </w:rPr>
            </w:pPr>
            <w:r>
              <w:rPr>
                <w:rFonts w:ascii="Arial" w:cs="Arial" w:eastAsia="Arial" w:hAnsi="Arial"/>
                <w:sz w:val="17"/>
                <w:szCs w:val="17"/>
                <w:color w:val="auto"/>
              </w:rPr>
              <w:t>7.0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60" w:type="dxa"/>
            <w:vAlign w:val="bottom"/>
          </w:tcPr>
          <w:p>
            <w:pPr>
              <w:spacing w:after="0" w:line="192" w:lineRule="exact"/>
              <w:rPr>
                <w:sz w:val="20"/>
                <w:szCs w:val="20"/>
                <w:color w:val="auto"/>
              </w:rPr>
            </w:pPr>
            <w:r>
              <w:rPr>
                <w:rFonts w:ascii="Arial" w:cs="Arial" w:eastAsia="Arial" w:hAnsi="Arial"/>
                <w:sz w:val="17"/>
                <w:szCs w:val="17"/>
                <w:color w:val="auto"/>
              </w:rPr>
              <w:t>Change in valuation allowance</w:t>
            </w:r>
          </w:p>
        </w:tc>
        <w:tc>
          <w:tcPr>
            <w:tcW w:w="1820" w:type="dxa"/>
            <w:vAlign w:val="bottom"/>
            <w:gridSpan w:val="3"/>
          </w:tcPr>
          <w:p>
            <w:pPr>
              <w:jc w:val="right"/>
              <w:ind w:right="115"/>
              <w:spacing w:after="0" w:line="192" w:lineRule="exact"/>
              <w:rPr>
                <w:sz w:val="20"/>
                <w:szCs w:val="20"/>
                <w:color w:val="auto"/>
              </w:rPr>
            </w:pPr>
            <w:r>
              <w:rPr>
                <w:rFonts w:ascii="Arial" w:cs="Arial" w:eastAsia="Arial" w:hAnsi="Arial"/>
                <w:sz w:val="17"/>
                <w:szCs w:val="17"/>
                <w:color w:val="auto"/>
              </w:rPr>
              <w:t xml:space="preserve">(30.7)     </w:t>
            </w:r>
          </w:p>
        </w:tc>
        <w:tc>
          <w:tcPr>
            <w:tcW w:w="1220" w:type="dxa"/>
            <w:vAlign w:val="bottom"/>
            <w:gridSpan w:val="2"/>
          </w:tcPr>
          <w:p>
            <w:pPr>
              <w:jc w:val="right"/>
              <w:ind w:right="20"/>
              <w:spacing w:after="0" w:line="192" w:lineRule="exact"/>
              <w:rPr>
                <w:sz w:val="20"/>
                <w:szCs w:val="20"/>
                <w:color w:val="auto"/>
              </w:rPr>
            </w:pPr>
            <w:r>
              <w:rPr>
                <w:rFonts w:ascii="Arial" w:cs="Arial" w:eastAsia="Arial" w:hAnsi="Arial"/>
                <w:sz w:val="17"/>
                <w:szCs w:val="17"/>
                <w:color w:val="auto"/>
              </w:rPr>
              <w:t>(23.0)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6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Other permanent differences</w:t>
            </w:r>
          </w:p>
        </w:tc>
        <w:tc>
          <w:tcPr>
            <w:tcW w:w="1820" w:type="dxa"/>
            <w:vAlign w:val="bottom"/>
            <w:gridSpan w:val="3"/>
            <w:shd w:val="clear" w:color="auto" w:fill="CCEEFF"/>
          </w:tcPr>
          <w:p>
            <w:pPr>
              <w:jc w:val="right"/>
              <w:ind w:right="115"/>
              <w:spacing w:after="0" w:line="192" w:lineRule="exact"/>
              <w:rPr>
                <w:sz w:val="20"/>
                <w:szCs w:val="20"/>
                <w:color w:val="auto"/>
              </w:rPr>
            </w:pPr>
            <w:r>
              <w:rPr>
                <w:rFonts w:ascii="Arial" w:cs="Arial" w:eastAsia="Arial" w:hAnsi="Arial"/>
                <w:sz w:val="17"/>
                <w:szCs w:val="17"/>
                <w:color w:val="auto"/>
              </w:rPr>
              <w:t>0.1      </w:t>
            </w:r>
          </w:p>
        </w:tc>
        <w:tc>
          <w:tcPr>
            <w:tcW w:w="1220" w:type="dxa"/>
            <w:vAlign w:val="bottom"/>
            <w:gridSpan w:val="2"/>
            <w:shd w:val="clear" w:color="auto" w:fill="CCEEFF"/>
          </w:tcPr>
          <w:p>
            <w:pPr>
              <w:jc w:val="right"/>
              <w:ind w:right="20"/>
              <w:spacing w:after="0" w:line="192" w:lineRule="exact"/>
              <w:rPr>
                <w:sz w:val="20"/>
                <w:szCs w:val="20"/>
                <w:color w:val="auto"/>
              </w:rPr>
            </w:pPr>
            <w:r>
              <w:rPr>
                <w:rFonts w:ascii="Arial" w:cs="Arial" w:eastAsia="Arial" w:hAnsi="Arial"/>
                <w:sz w:val="17"/>
                <w:szCs w:val="17"/>
                <w:color w:val="auto"/>
              </w:rPr>
              <w:t xml:space="preserve">— 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60" w:type="dxa"/>
            <w:vAlign w:val="bottom"/>
          </w:tcPr>
          <w:p>
            <w:pPr>
              <w:spacing w:after="0" w:line="192" w:lineRule="exact"/>
              <w:rPr>
                <w:sz w:val="20"/>
                <w:szCs w:val="20"/>
                <w:color w:val="auto"/>
              </w:rPr>
            </w:pPr>
            <w:r>
              <w:rPr>
                <w:rFonts w:ascii="Arial" w:cs="Arial" w:eastAsia="Arial" w:hAnsi="Arial"/>
                <w:sz w:val="17"/>
                <w:szCs w:val="17"/>
                <w:color w:val="auto"/>
              </w:rPr>
              <w:t>Stock compensation</w:t>
            </w:r>
          </w:p>
        </w:tc>
        <w:tc>
          <w:tcPr>
            <w:tcW w:w="1820" w:type="dxa"/>
            <w:vAlign w:val="bottom"/>
            <w:gridSpan w:val="3"/>
          </w:tcPr>
          <w:p>
            <w:pPr>
              <w:jc w:val="right"/>
              <w:ind w:right="115"/>
              <w:spacing w:after="0" w:line="192" w:lineRule="exact"/>
              <w:rPr>
                <w:sz w:val="20"/>
                <w:szCs w:val="20"/>
                <w:color w:val="auto"/>
              </w:rPr>
            </w:pPr>
            <w:r>
              <w:rPr>
                <w:rFonts w:ascii="Arial" w:cs="Arial" w:eastAsia="Arial" w:hAnsi="Arial"/>
                <w:sz w:val="17"/>
                <w:szCs w:val="17"/>
                <w:color w:val="auto"/>
              </w:rPr>
              <w:t xml:space="preserve">(0.7)     </w:t>
            </w:r>
          </w:p>
        </w:tc>
        <w:tc>
          <w:tcPr>
            <w:tcW w:w="1220" w:type="dxa"/>
            <w:vAlign w:val="bottom"/>
            <w:gridSpan w:val="2"/>
          </w:tcPr>
          <w:p>
            <w:pPr>
              <w:jc w:val="right"/>
              <w:ind w:right="20"/>
              <w:spacing w:after="0" w:line="192" w:lineRule="exact"/>
              <w:rPr>
                <w:sz w:val="20"/>
                <w:szCs w:val="20"/>
                <w:color w:val="auto"/>
              </w:rPr>
            </w:pPr>
            <w:r>
              <w:rPr>
                <w:rFonts w:ascii="Arial" w:cs="Arial" w:eastAsia="Arial" w:hAnsi="Arial"/>
                <w:sz w:val="17"/>
                <w:szCs w:val="17"/>
                <w:color w:val="auto"/>
              </w:rPr>
              <w:t>(0.7)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6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Uncertain tax position</w:t>
            </w:r>
          </w:p>
        </w:tc>
        <w:tc>
          <w:tcPr>
            <w:tcW w:w="1820" w:type="dxa"/>
            <w:vAlign w:val="bottom"/>
            <w:gridSpan w:val="3"/>
            <w:shd w:val="clear" w:color="auto" w:fill="CCEEFF"/>
          </w:tcPr>
          <w:p>
            <w:pPr>
              <w:jc w:val="right"/>
              <w:ind w:right="115"/>
              <w:spacing w:after="0" w:line="192" w:lineRule="exact"/>
              <w:rPr>
                <w:sz w:val="20"/>
                <w:szCs w:val="20"/>
                <w:color w:val="auto"/>
              </w:rPr>
            </w:pPr>
            <w:r>
              <w:rPr>
                <w:rFonts w:ascii="Arial" w:cs="Arial" w:eastAsia="Arial" w:hAnsi="Arial"/>
                <w:sz w:val="17"/>
                <w:szCs w:val="17"/>
                <w:color w:val="auto"/>
              </w:rPr>
              <w:t xml:space="preserve">(1.3)     </w:t>
            </w:r>
          </w:p>
        </w:tc>
        <w:tc>
          <w:tcPr>
            <w:tcW w:w="1220" w:type="dxa"/>
            <w:vAlign w:val="bottom"/>
            <w:gridSpan w:val="2"/>
            <w:shd w:val="clear" w:color="auto" w:fill="CCEEFF"/>
          </w:tcPr>
          <w:p>
            <w:pPr>
              <w:jc w:val="right"/>
              <w:ind w:right="20"/>
              <w:spacing w:after="0" w:line="192" w:lineRule="exact"/>
              <w:rPr>
                <w:sz w:val="20"/>
                <w:szCs w:val="20"/>
                <w:color w:val="auto"/>
              </w:rPr>
            </w:pPr>
            <w:r>
              <w:rPr>
                <w:rFonts w:ascii="Arial" w:cs="Arial" w:eastAsia="Arial" w:hAnsi="Arial"/>
                <w:sz w:val="17"/>
                <w:szCs w:val="17"/>
                <w:color w:val="auto"/>
              </w:rPr>
              <w:t>(11.0)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60" w:type="dxa"/>
            <w:vAlign w:val="bottom"/>
          </w:tcPr>
          <w:p>
            <w:pPr>
              <w:spacing w:after="0" w:line="192" w:lineRule="exact"/>
              <w:rPr>
                <w:sz w:val="20"/>
                <w:szCs w:val="20"/>
                <w:color w:val="auto"/>
              </w:rPr>
            </w:pPr>
            <w:r>
              <w:rPr>
                <w:rFonts w:ascii="Arial" w:cs="Arial" w:eastAsia="Arial" w:hAnsi="Arial"/>
                <w:sz w:val="17"/>
                <w:szCs w:val="17"/>
                <w:color w:val="auto"/>
              </w:rPr>
              <w:t>Other</w:t>
            </w:r>
          </w:p>
        </w:tc>
        <w:tc>
          <w:tcPr>
            <w:tcW w:w="1820" w:type="dxa"/>
            <w:vAlign w:val="bottom"/>
            <w:gridSpan w:val="3"/>
          </w:tcPr>
          <w:p>
            <w:pPr>
              <w:jc w:val="right"/>
              <w:ind w:right="115"/>
              <w:spacing w:after="0" w:line="192" w:lineRule="exact"/>
              <w:rPr>
                <w:sz w:val="20"/>
                <w:szCs w:val="20"/>
                <w:color w:val="auto"/>
              </w:rPr>
            </w:pPr>
            <w:r>
              <w:rPr>
                <w:rFonts w:ascii="Arial" w:cs="Arial" w:eastAsia="Arial" w:hAnsi="Arial"/>
                <w:sz w:val="17"/>
                <w:szCs w:val="17"/>
                <w:color w:val="auto"/>
              </w:rPr>
              <w:t>0.1      </w:t>
            </w:r>
          </w:p>
        </w:tc>
        <w:tc>
          <w:tcPr>
            <w:tcW w:w="1220" w:type="dxa"/>
            <w:vAlign w:val="bottom"/>
            <w:gridSpan w:val="2"/>
          </w:tcPr>
          <w:p>
            <w:pPr>
              <w:jc w:val="right"/>
              <w:ind w:right="20"/>
              <w:spacing w:after="0" w:line="192" w:lineRule="exact"/>
              <w:rPr>
                <w:sz w:val="20"/>
                <w:szCs w:val="20"/>
                <w:color w:val="auto"/>
              </w:rPr>
            </w:pPr>
            <w:r>
              <w:rPr>
                <w:rFonts w:ascii="Arial" w:cs="Arial" w:eastAsia="Arial" w:hAnsi="Arial"/>
                <w:sz w:val="17"/>
                <w:szCs w:val="17"/>
                <w:color w:val="auto"/>
              </w:rPr>
              <w:t>0.1   </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36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736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Effective income tax rate</w:t>
            </w:r>
          </w:p>
        </w:tc>
        <w:tc>
          <w:tcPr>
            <w:tcW w:w="1820" w:type="dxa"/>
            <w:vAlign w:val="bottom"/>
            <w:gridSpan w:val="3"/>
            <w:shd w:val="clear" w:color="auto" w:fill="CCEEFF"/>
          </w:tcPr>
          <w:p>
            <w:pPr>
              <w:jc w:val="right"/>
              <w:ind w:right="115"/>
              <w:spacing w:after="0" w:line="192" w:lineRule="exact"/>
              <w:rPr>
                <w:sz w:val="20"/>
                <w:szCs w:val="20"/>
                <w:color w:val="auto"/>
              </w:rPr>
            </w:pPr>
            <w:r>
              <w:rPr>
                <w:rFonts w:ascii="Arial" w:cs="Arial" w:eastAsia="Arial" w:hAnsi="Arial"/>
                <w:sz w:val="17"/>
                <w:szCs w:val="17"/>
                <w:color w:val="auto"/>
              </w:rPr>
              <w:t>—%      </w:t>
            </w:r>
          </w:p>
        </w:tc>
        <w:tc>
          <w:tcPr>
            <w:tcW w:w="1220" w:type="dxa"/>
            <w:vAlign w:val="bottom"/>
            <w:gridSpan w:val="2"/>
            <w:shd w:val="clear" w:color="auto" w:fill="CCEEFF"/>
          </w:tcPr>
          <w:p>
            <w:pPr>
              <w:jc w:val="right"/>
              <w:ind w:right="20"/>
              <w:spacing w:after="0" w:line="192" w:lineRule="exact"/>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420" w:right="40" w:firstLine="417"/>
        <w:spacing w:after="0"/>
        <w:rPr>
          <w:sz w:val="20"/>
          <w:szCs w:val="20"/>
          <w:color w:val="auto"/>
        </w:rPr>
      </w:pPr>
      <w:r>
        <w:rPr>
          <w:rFonts w:ascii="Arial" w:cs="Arial" w:eastAsia="Arial" w:hAnsi="Arial"/>
          <w:sz w:val="17"/>
          <w:szCs w:val="17"/>
          <w:color w:val="auto"/>
        </w:rPr>
        <w:t>The Company has established a full valuation allowance against its net deferred tax assets due to the uncertainty surrounding the realization of such assets that preclude it from determining that is more likely than not that such assets will be realized. The Company periodically evaluates the recoverability of the deferred tax assets. When it is determined that it is more likely than not that deferred assets are realizable, the valuation allowance will be reduced. Management’s assessment as of December 31, 2022 and 2023 considered the generation of pre-tax book losses, no ability to carryback its operating losses, the lack of feasible tax-planning strategies, the limited existing taxable temporary differences, and the subjective nature of forecasting future taxable income. During 2022 and 2023, total deferred tax assets increased by $14.2 million and $11.3 million, respectively. Due to its full valuation allowance position, the Company’s valuation allowance increased by the same amount during those time periods.</w:t>
      </w:r>
    </w:p>
    <w:p>
      <w:pPr>
        <w:spacing w:after="0" w:line="11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0840"/>
          </w:cols>
          <w:pgMar w:left="320" w:top="439" w:right="7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Deferred Tax Assets and Liabilities</w:t>
      </w:r>
    </w:p>
    <w:p>
      <w:pPr>
        <w:spacing w:after="0" w:line="98" w:lineRule="exact"/>
        <w:rPr>
          <w:sz w:val="20"/>
          <w:szCs w:val="20"/>
          <w:color w:val="auto"/>
        </w:rPr>
      </w:pPr>
    </w:p>
    <w:p>
      <w:pPr>
        <w:ind w:left="820"/>
        <w:spacing w:after="0"/>
        <w:rPr>
          <w:sz w:val="20"/>
          <w:szCs w:val="20"/>
          <w:color w:val="auto"/>
        </w:rPr>
      </w:pPr>
      <w:r>
        <w:rPr>
          <w:rFonts w:ascii="Arial" w:cs="Arial" w:eastAsia="Arial" w:hAnsi="Arial"/>
          <w:sz w:val="17"/>
          <w:szCs w:val="17"/>
          <w:color w:val="auto"/>
        </w:rPr>
        <w:t>As of December 31, 2022 and 2023, the significant components of deferred income taxes are as follows (in thousands):</w:t>
      </w:r>
    </w:p>
    <w:p>
      <w:pPr>
        <w:spacing w:after="0" w:line="233" w:lineRule="exact"/>
        <w:rPr>
          <w:sz w:val="20"/>
          <w:szCs w:val="20"/>
          <w:color w:val="auto"/>
        </w:rPr>
      </w:pPr>
    </w:p>
    <w:tbl>
      <w:tblPr>
        <w:tblLayout w:type="fixed"/>
        <w:tblInd w:w="420" w:type="dxa"/>
        <w:tblCellMar>
          <w:top w:w="0" w:type="dxa"/>
          <w:left w:w="0" w:type="dxa"/>
          <w:bottom w:w="0" w:type="dxa"/>
          <w:right w:w="0" w:type="dxa"/>
        </w:tblCellMar>
      </w:tblPr>
      <w:tr>
        <w:trPr>
          <w:trHeight w:val="163"/>
        </w:trPr>
        <w:tc>
          <w:tcPr>
            <w:tcW w:w="4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880" w:type="dxa"/>
            <w:vAlign w:val="bottom"/>
            <w:tcBorders>
              <w:bottom w:val="single" w:sz="8" w:color="CCEEFF"/>
            </w:tcBorders>
          </w:tcPr>
          <w:p>
            <w:pPr>
              <w:spacing w:after="0"/>
              <w:rPr>
                <w:sz w:val="12"/>
                <w:szCs w:val="12"/>
                <w:color w:val="auto"/>
              </w:rPr>
            </w:pPr>
          </w:p>
        </w:tc>
        <w:tc>
          <w:tcPr>
            <w:tcW w:w="23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77"/>
              <w:spacing w:after="0" w:line="146"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76"/>
              <w:spacing w:after="0" w:line="146" w:lineRule="exact"/>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880" w:type="dxa"/>
            <w:vAlign w:val="bottom"/>
            <w:shd w:val="clear" w:color="auto" w:fill="CCEEFF"/>
          </w:tcPr>
          <w:p>
            <w:pPr>
              <w:spacing w:after="0" w:line="172" w:lineRule="exact"/>
              <w:rPr>
                <w:sz w:val="20"/>
                <w:szCs w:val="20"/>
                <w:color w:val="auto"/>
              </w:rPr>
            </w:pPr>
            <w:r>
              <w:rPr>
                <w:rFonts w:ascii="Arial" w:cs="Arial" w:eastAsia="Arial" w:hAnsi="Arial"/>
                <w:sz w:val="17"/>
                <w:szCs w:val="17"/>
                <w:color w:val="auto"/>
              </w:rPr>
              <w:t>Deferred tax assets:</w:t>
            </w:r>
          </w:p>
        </w:tc>
        <w:tc>
          <w:tcPr>
            <w:tcW w:w="2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880" w:type="dxa"/>
            <w:vAlign w:val="bottom"/>
          </w:tcPr>
          <w:p>
            <w:pPr>
              <w:ind w:left="160"/>
              <w:spacing w:after="0" w:line="192" w:lineRule="exact"/>
              <w:rPr>
                <w:sz w:val="20"/>
                <w:szCs w:val="20"/>
                <w:color w:val="auto"/>
              </w:rPr>
            </w:pPr>
            <w:r>
              <w:rPr>
                <w:rFonts w:ascii="Arial" w:cs="Arial" w:eastAsia="Arial" w:hAnsi="Arial"/>
                <w:sz w:val="17"/>
                <w:szCs w:val="17"/>
                <w:color w:val="auto"/>
              </w:rPr>
              <w:t>Net operating loss carryforward</w:t>
            </w:r>
          </w:p>
        </w:tc>
        <w:tc>
          <w:tcPr>
            <w:tcW w:w="2620" w:type="dxa"/>
            <w:vAlign w:val="bottom"/>
            <w:gridSpan w:val="2"/>
          </w:tcPr>
          <w:p>
            <w:pPr>
              <w:ind w:left="2360"/>
              <w:spacing w:after="0" w:line="192" w:lineRule="exact"/>
              <w:rPr>
                <w:sz w:val="20"/>
                <w:szCs w:val="20"/>
                <w:color w:val="auto"/>
              </w:rPr>
            </w:pPr>
            <w:r>
              <w:rPr>
                <w:rFonts w:ascii="Arial" w:cs="Arial" w:eastAsia="Arial" w:hAnsi="Arial"/>
                <w:sz w:val="17"/>
                <w:szCs w:val="17"/>
                <w:color w:val="auto"/>
              </w:rPr>
              <w:t> $</w:t>
            </w:r>
          </w:p>
        </w:tc>
        <w:tc>
          <w:tcPr>
            <w:tcW w:w="138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16,426     </w:t>
            </w:r>
          </w:p>
        </w:tc>
        <w:tc>
          <w:tcPr>
            <w:tcW w:w="480" w:type="dxa"/>
            <w:vAlign w:val="bottom"/>
            <w:gridSpan w:val="2"/>
          </w:tcPr>
          <w:p>
            <w:pPr>
              <w:ind w:left="60"/>
              <w:spacing w:after="0" w:line="192" w:lineRule="exact"/>
              <w:rPr>
                <w:sz w:val="20"/>
                <w:szCs w:val="20"/>
                <w:color w:val="auto"/>
              </w:rPr>
            </w:pPr>
            <w:r>
              <w:rPr>
                <w:rFonts w:ascii="Arial" w:cs="Arial" w:eastAsia="Arial" w:hAnsi="Arial"/>
                <w:sz w:val="17"/>
                <w:szCs w:val="17"/>
                <w:color w:val="auto"/>
              </w:rPr>
              <w:t> $</w:t>
            </w:r>
          </w:p>
        </w:tc>
        <w:tc>
          <w:tcPr>
            <w:tcW w:w="106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18,327   </w:t>
            </w:r>
          </w:p>
        </w:tc>
        <w:tc>
          <w:tcPr>
            <w:tcW w:w="0" w:type="dxa"/>
            <w:vAlign w:val="bottom"/>
          </w:tcPr>
          <w:p>
            <w:pPr>
              <w:spacing w:after="0"/>
              <w:rPr>
                <w:sz w:val="1"/>
                <w:szCs w:val="1"/>
                <w:color w:val="auto"/>
              </w:rPr>
            </w:pPr>
          </w:p>
        </w:tc>
      </w:tr>
      <w:tr>
        <w:trPr>
          <w:trHeight w:val="192"/>
        </w:trPr>
        <w:tc>
          <w:tcPr>
            <w:tcW w:w="4880" w:type="dxa"/>
            <w:vAlign w:val="bottom"/>
            <w:shd w:val="clear" w:color="auto" w:fill="CCEEFF"/>
          </w:tcPr>
          <w:p>
            <w:pPr>
              <w:ind w:left="160"/>
              <w:spacing w:after="0" w:line="192" w:lineRule="exact"/>
              <w:rPr>
                <w:sz w:val="20"/>
                <w:szCs w:val="20"/>
                <w:color w:val="auto"/>
              </w:rPr>
            </w:pPr>
            <w:r>
              <w:rPr>
                <w:rFonts w:ascii="Arial" w:cs="Arial" w:eastAsia="Arial" w:hAnsi="Arial"/>
                <w:sz w:val="17"/>
                <w:szCs w:val="17"/>
                <w:color w:val="auto"/>
              </w:rPr>
              <w:t>Research tax credits</w:t>
            </w:r>
          </w:p>
        </w:tc>
        <w:tc>
          <w:tcPr>
            <w:tcW w:w="2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2,522     </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5,052   </w:t>
            </w:r>
          </w:p>
        </w:tc>
        <w:tc>
          <w:tcPr>
            <w:tcW w:w="0" w:type="dxa"/>
            <w:vAlign w:val="bottom"/>
          </w:tcPr>
          <w:p>
            <w:pPr>
              <w:spacing w:after="0"/>
              <w:rPr>
                <w:sz w:val="1"/>
                <w:szCs w:val="1"/>
                <w:color w:val="auto"/>
              </w:rPr>
            </w:pPr>
          </w:p>
        </w:tc>
      </w:tr>
      <w:tr>
        <w:trPr>
          <w:trHeight w:val="192"/>
        </w:trPr>
        <w:tc>
          <w:tcPr>
            <w:tcW w:w="4880" w:type="dxa"/>
            <w:vAlign w:val="bottom"/>
          </w:tcPr>
          <w:p>
            <w:pPr>
              <w:ind w:left="160"/>
              <w:spacing w:after="0" w:line="192" w:lineRule="exact"/>
              <w:rPr>
                <w:sz w:val="20"/>
                <w:szCs w:val="20"/>
                <w:color w:val="auto"/>
              </w:rPr>
            </w:pPr>
            <w:r>
              <w:rPr>
                <w:rFonts w:ascii="Arial" w:cs="Arial" w:eastAsia="Arial" w:hAnsi="Arial"/>
                <w:sz w:val="17"/>
                <w:szCs w:val="17"/>
                <w:color w:val="auto"/>
              </w:rPr>
              <w:t>Lease liability</w:t>
            </w:r>
          </w:p>
        </w:tc>
        <w:tc>
          <w:tcPr>
            <w:tcW w:w="2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1,452     </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615   </w:t>
            </w:r>
          </w:p>
        </w:tc>
        <w:tc>
          <w:tcPr>
            <w:tcW w:w="0" w:type="dxa"/>
            <w:vAlign w:val="bottom"/>
          </w:tcPr>
          <w:p>
            <w:pPr>
              <w:spacing w:after="0"/>
              <w:rPr>
                <w:sz w:val="1"/>
                <w:szCs w:val="1"/>
                <w:color w:val="auto"/>
              </w:rPr>
            </w:pPr>
          </w:p>
        </w:tc>
      </w:tr>
      <w:tr>
        <w:trPr>
          <w:trHeight w:val="192"/>
        </w:trPr>
        <w:tc>
          <w:tcPr>
            <w:tcW w:w="4880" w:type="dxa"/>
            <w:vAlign w:val="bottom"/>
            <w:shd w:val="clear" w:color="auto" w:fill="CCEEFF"/>
          </w:tcPr>
          <w:p>
            <w:pPr>
              <w:ind w:left="160"/>
              <w:spacing w:after="0" w:line="192" w:lineRule="exact"/>
              <w:rPr>
                <w:sz w:val="20"/>
                <w:szCs w:val="20"/>
                <w:color w:val="auto"/>
              </w:rPr>
            </w:pPr>
            <w:r>
              <w:rPr>
                <w:rFonts w:ascii="Arial" w:cs="Arial" w:eastAsia="Arial" w:hAnsi="Arial"/>
                <w:sz w:val="17"/>
                <w:szCs w:val="17"/>
                <w:color w:val="auto"/>
              </w:rPr>
              <w:t>Capitalized R&amp;D</w:t>
            </w:r>
          </w:p>
        </w:tc>
        <w:tc>
          <w:tcPr>
            <w:tcW w:w="2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6,969     </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13,396   </w:t>
            </w:r>
          </w:p>
        </w:tc>
        <w:tc>
          <w:tcPr>
            <w:tcW w:w="0" w:type="dxa"/>
            <w:vAlign w:val="bottom"/>
          </w:tcPr>
          <w:p>
            <w:pPr>
              <w:spacing w:after="0"/>
              <w:rPr>
                <w:sz w:val="1"/>
                <w:szCs w:val="1"/>
                <w:color w:val="auto"/>
              </w:rPr>
            </w:pPr>
          </w:p>
        </w:tc>
      </w:tr>
      <w:tr>
        <w:trPr>
          <w:trHeight w:val="192"/>
        </w:trPr>
        <w:tc>
          <w:tcPr>
            <w:tcW w:w="4880" w:type="dxa"/>
            <w:vAlign w:val="bottom"/>
          </w:tcPr>
          <w:p>
            <w:pPr>
              <w:ind w:left="160"/>
              <w:spacing w:after="0" w:line="192" w:lineRule="exact"/>
              <w:rPr>
                <w:sz w:val="20"/>
                <w:szCs w:val="20"/>
                <w:color w:val="auto"/>
              </w:rPr>
            </w:pPr>
            <w:r>
              <w:rPr>
                <w:rFonts w:ascii="Arial" w:cs="Arial" w:eastAsia="Arial" w:hAnsi="Arial"/>
                <w:sz w:val="17"/>
                <w:szCs w:val="17"/>
                <w:color w:val="auto"/>
              </w:rPr>
              <w:t>Intangible assets</w:t>
            </w:r>
          </w:p>
        </w:tc>
        <w:tc>
          <w:tcPr>
            <w:tcW w:w="2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53     </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48   </w:t>
            </w:r>
          </w:p>
        </w:tc>
        <w:tc>
          <w:tcPr>
            <w:tcW w:w="0" w:type="dxa"/>
            <w:vAlign w:val="bottom"/>
          </w:tcPr>
          <w:p>
            <w:pPr>
              <w:spacing w:after="0"/>
              <w:rPr>
                <w:sz w:val="1"/>
                <w:szCs w:val="1"/>
                <w:color w:val="auto"/>
              </w:rPr>
            </w:pPr>
          </w:p>
        </w:tc>
      </w:tr>
      <w:tr>
        <w:trPr>
          <w:trHeight w:val="192"/>
        </w:trPr>
        <w:tc>
          <w:tcPr>
            <w:tcW w:w="4880" w:type="dxa"/>
            <w:vAlign w:val="bottom"/>
            <w:shd w:val="clear" w:color="auto" w:fill="CCEEFF"/>
          </w:tcPr>
          <w:p>
            <w:pPr>
              <w:ind w:left="160"/>
              <w:spacing w:after="0" w:line="192" w:lineRule="exact"/>
              <w:rPr>
                <w:sz w:val="20"/>
                <w:szCs w:val="20"/>
                <w:color w:val="auto"/>
              </w:rPr>
            </w:pPr>
            <w:r>
              <w:rPr>
                <w:rFonts w:ascii="Arial" w:cs="Arial" w:eastAsia="Arial" w:hAnsi="Arial"/>
                <w:sz w:val="17"/>
                <w:szCs w:val="17"/>
                <w:color w:val="auto"/>
              </w:rPr>
              <w:t>Other, net</w:t>
            </w:r>
          </w:p>
        </w:tc>
        <w:tc>
          <w:tcPr>
            <w:tcW w:w="2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1,083     </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1,567   </w:t>
            </w:r>
          </w:p>
        </w:tc>
        <w:tc>
          <w:tcPr>
            <w:tcW w:w="0" w:type="dxa"/>
            <w:vAlign w:val="bottom"/>
          </w:tcPr>
          <w:p>
            <w:pPr>
              <w:spacing w:after="0"/>
              <w:rPr>
                <w:sz w:val="1"/>
                <w:szCs w:val="1"/>
                <w:color w:val="auto"/>
              </w:rPr>
            </w:pPr>
          </w:p>
        </w:tc>
      </w:tr>
      <w:tr>
        <w:trPr>
          <w:trHeight w:val="197"/>
        </w:trPr>
        <w:tc>
          <w:tcPr>
            <w:tcW w:w="4880" w:type="dxa"/>
            <w:vAlign w:val="bottom"/>
          </w:tcPr>
          <w:p>
            <w:pPr>
              <w:ind w:left="340"/>
              <w:spacing w:after="0"/>
              <w:rPr>
                <w:sz w:val="20"/>
                <w:szCs w:val="20"/>
                <w:color w:val="auto"/>
              </w:rPr>
            </w:pPr>
            <w:r>
              <w:rPr>
                <w:rFonts w:ascii="Arial" w:cs="Arial" w:eastAsia="Arial" w:hAnsi="Arial"/>
                <w:sz w:val="17"/>
                <w:szCs w:val="17"/>
                <w:color w:val="auto"/>
              </w:rPr>
              <w:t>Total deferred tax assets</w:t>
            </w:r>
          </w:p>
        </w:tc>
        <w:tc>
          <w:tcPr>
            <w:tcW w:w="23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28,505     </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39,005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88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Less valuation allowance</w:t>
            </w:r>
          </w:p>
        </w:tc>
        <w:tc>
          <w:tcPr>
            <w:tcW w:w="2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 xml:space="preserve">(27,063)    </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(38,323)  </w:t>
            </w:r>
          </w:p>
        </w:tc>
        <w:tc>
          <w:tcPr>
            <w:tcW w:w="0" w:type="dxa"/>
            <w:vAlign w:val="bottom"/>
          </w:tcPr>
          <w:p>
            <w:pPr>
              <w:spacing w:after="0"/>
              <w:rPr>
                <w:sz w:val="1"/>
                <w:szCs w:val="1"/>
                <w:color w:val="auto"/>
              </w:rPr>
            </w:pPr>
          </w:p>
        </w:tc>
      </w:tr>
      <w:tr>
        <w:trPr>
          <w:trHeight w:val="197"/>
        </w:trPr>
        <w:tc>
          <w:tcPr>
            <w:tcW w:w="4880" w:type="dxa"/>
            <w:vAlign w:val="bottom"/>
          </w:tcPr>
          <w:p>
            <w:pPr>
              <w:ind w:left="340"/>
              <w:spacing w:after="0"/>
              <w:rPr>
                <w:sz w:val="20"/>
                <w:szCs w:val="20"/>
                <w:color w:val="auto"/>
              </w:rPr>
            </w:pPr>
            <w:r>
              <w:rPr>
                <w:rFonts w:ascii="Arial" w:cs="Arial" w:eastAsia="Arial" w:hAnsi="Arial"/>
                <w:sz w:val="17"/>
                <w:szCs w:val="17"/>
                <w:color w:val="auto"/>
              </w:rPr>
              <w:t>Net deferred tax assets</w:t>
            </w:r>
          </w:p>
        </w:tc>
        <w:tc>
          <w:tcPr>
            <w:tcW w:w="23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1,442     </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682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88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Deferred tax liabilities:</w:t>
            </w:r>
          </w:p>
        </w:tc>
        <w:tc>
          <w:tcPr>
            <w:tcW w:w="2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80" w:type="dxa"/>
            <w:vAlign w:val="bottom"/>
          </w:tcPr>
          <w:p>
            <w:pPr>
              <w:ind w:left="160"/>
              <w:spacing w:after="0" w:line="192" w:lineRule="exact"/>
              <w:rPr>
                <w:sz w:val="20"/>
                <w:szCs w:val="20"/>
                <w:color w:val="auto"/>
              </w:rPr>
            </w:pPr>
            <w:r>
              <w:rPr>
                <w:rFonts w:ascii="Arial" w:cs="Arial" w:eastAsia="Arial" w:hAnsi="Arial"/>
                <w:sz w:val="17"/>
                <w:szCs w:val="17"/>
                <w:color w:val="auto"/>
              </w:rPr>
              <w:t>Right-of-use asset</w:t>
            </w:r>
          </w:p>
        </w:tc>
        <w:tc>
          <w:tcPr>
            <w:tcW w:w="2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 xml:space="preserve">(1,346)    </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(561)  </w:t>
            </w:r>
          </w:p>
        </w:tc>
        <w:tc>
          <w:tcPr>
            <w:tcW w:w="0" w:type="dxa"/>
            <w:vAlign w:val="bottom"/>
          </w:tcPr>
          <w:p>
            <w:pPr>
              <w:spacing w:after="0"/>
              <w:rPr>
                <w:sz w:val="1"/>
                <w:szCs w:val="1"/>
                <w:color w:val="auto"/>
              </w:rPr>
            </w:pPr>
          </w:p>
        </w:tc>
      </w:tr>
      <w:tr>
        <w:trPr>
          <w:trHeight w:val="192"/>
        </w:trPr>
        <w:tc>
          <w:tcPr>
            <w:tcW w:w="4880" w:type="dxa"/>
            <w:vAlign w:val="bottom"/>
            <w:shd w:val="clear" w:color="auto" w:fill="CCEEFF"/>
          </w:tcPr>
          <w:p>
            <w:pPr>
              <w:ind w:left="160"/>
              <w:spacing w:after="0" w:line="192" w:lineRule="exact"/>
              <w:rPr>
                <w:sz w:val="20"/>
                <w:szCs w:val="20"/>
                <w:color w:val="auto"/>
              </w:rPr>
            </w:pPr>
            <w:r>
              <w:rPr>
                <w:rFonts w:ascii="Arial" w:cs="Arial" w:eastAsia="Arial" w:hAnsi="Arial"/>
                <w:sz w:val="17"/>
                <w:szCs w:val="17"/>
                <w:color w:val="auto"/>
              </w:rPr>
              <w:t>Property and equipment</w:t>
            </w:r>
          </w:p>
        </w:tc>
        <w:tc>
          <w:tcPr>
            <w:tcW w:w="2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 xml:space="preserve">(96)    </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(121)  </w:t>
            </w:r>
          </w:p>
        </w:tc>
        <w:tc>
          <w:tcPr>
            <w:tcW w:w="0" w:type="dxa"/>
            <w:vAlign w:val="bottom"/>
          </w:tcPr>
          <w:p>
            <w:pPr>
              <w:spacing w:after="0"/>
              <w:rPr>
                <w:sz w:val="1"/>
                <w:szCs w:val="1"/>
                <w:color w:val="auto"/>
              </w:rPr>
            </w:pPr>
          </w:p>
        </w:tc>
      </w:tr>
      <w:tr>
        <w:trPr>
          <w:trHeight w:val="20"/>
        </w:trPr>
        <w:tc>
          <w:tcPr>
            <w:tcW w:w="4880" w:type="dxa"/>
            <w:vAlign w:val="bottom"/>
            <w:vMerge w:val="restart"/>
          </w:tcPr>
          <w:p>
            <w:pPr>
              <w:ind w:left="340"/>
              <w:spacing w:after="0"/>
              <w:rPr>
                <w:sz w:val="20"/>
                <w:szCs w:val="20"/>
                <w:color w:val="auto"/>
              </w:rPr>
            </w:pPr>
            <w:r>
              <w:rPr>
                <w:rFonts w:ascii="Arial" w:cs="Arial" w:eastAsia="Arial" w:hAnsi="Arial"/>
                <w:sz w:val="17"/>
                <w:szCs w:val="17"/>
                <w:color w:val="auto"/>
              </w:rPr>
              <w:t>Total deferred tax liabilities</w:t>
            </w:r>
          </w:p>
        </w:tc>
        <w:tc>
          <w:tcPr>
            <w:tcW w:w="2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w w:val="72"/>
              </w:rPr>
              <w:t>    </w:t>
            </w: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80" w:type="dxa"/>
            <w:vAlign w:val="bottom"/>
            <w:vMerge w:val="continue"/>
          </w:tcPr>
          <w:p>
            <w:pPr>
              <w:spacing w:after="0"/>
              <w:rPr>
                <w:sz w:val="17"/>
                <w:szCs w:val="17"/>
                <w:color w:val="auto"/>
              </w:rPr>
            </w:pPr>
          </w:p>
        </w:tc>
        <w:tc>
          <w:tcPr>
            <w:tcW w:w="2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(1,442)</w:t>
            </w:r>
          </w:p>
        </w:tc>
        <w:tc>
          <w:tcPr>
            <w:tcW w:w="2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(682)  </w:t>
            </w:r>
          </w:p>
        </w:tc>
        <w:tc>
          <w:tcPr>
            <w:tcW w:w="0" w:type="dxa"/>
            <w:vAlign w:val="bottom"/>
          </w:tcPr>
          <w:p>
            <w:pPr>
              <w:spacing w:after="0"/>
              <w:rPr>
                <w:sz w:val="1"/>
                <w:szCs w:val="1"/>
                <w:color w:val="auto"/>
              </w:rPr>
            </w:pPr>
          </w:p>
        </w:tc>
      </w:tr>
      <w:tr>
        <w:trPr>
          <w:trHeight w:val="26"/>
        </w:trPr>
        <w:tc>
          <w:tcPr>
            <w:tcW w:w="48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880" w:type="dxa"/>
            <w:vAlign w:val="bottom"/>
            <w:shd w:val="clear" w:color="auto" w:fill="CCEEFF"/>
          </w:tcPr>
          <w:p>
            <w:pPr>
              <w:ind w:left="340"/>
              <w:spacing w:after="0" w:line="192" w:lineRule="exact"/>
              <w:rPr>
                <w:sz w:val="20"/>
                <w:szCs w:val="20"/>
                <w:color w:val="auto"/>
              </w:rPr>
            </w:pPr>
            <w:r>
              <w:rPr>
                <w:rFonts w:ascii="Arial" w:cs="Arial" w:eastAsia="Arial" w:hAnsi="Arial"/>
                <w:sz w:val="17"/>
                <w:szCs w:val="17"/>
                <w:color w:val="auto"/>
              </w:rPr>
              <w:t>Net deferred tax assets</w:t>
            </w:r>
          </w:p>
        </w:tc>
        <w:tc>
          <w:tcPr>
            <w:tcW w:w="2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 xml:space="preserve"> $  </w:t>
            </w:r>
          </w:p>
        </w:tc>
        <w:tc>
          <w:tcPr>
            <w:tcW w:w="138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               —     </w:t>
            </w:r>
          </w:p>
        </w:tc>
        <w:tc>
          <w:tcPr>
            <w:tcW w:w="480" w:type="dxa"/>
            <w:vAlign w:val="bottom"/>
            <w:gridSpan w:val="2"/>
            <w:shd w:val="clear" w:color="auto" w:fill="CCEEFF"/>
          </w:tcPr>
          <w:p>
            <w:pPr>
              <w:ind w:left="60"/>
              <w:spacing w:after="0" w:line="192" w:lineRule="exact"/>
              <w:rPr>
                <w:sz w:val="20"/>
                <w:szCs w:val="20"/>
                <w:color w:val="auto"/>
              </w:rPr>
            </w:pPr>
            <w:r>
              <w:rPr>
                <w:rFonts w:ascii="Arial" w:cs="Arial" w:eastAsia="Arial" w:hAnsi="Arial"/>
                <w:sz w:val="17"/>
                <w:szCs w:val="17"/>
                <w:color w:val="auto"/>
              </w:rPr>
              <w:t xml:space="preserve"> $     </w:t>
            </w:r>
          </w:p>
        </w:tc>
        <w:tc>
          <w:tcPr>
            <w:tcW w:w="10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            —   </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420" w:right="80" w:firstLine="417"/>
        <w:spacing w:after="0" w:line="241" w:lineRule="auto"/>
        <w:rPr>
          <w:sz w:val="20"/>
          <w:szCs w:val="20"/>
          <w:color w:val="auto"/>
        </w:rPr>
      </w:pPr>
      <w:r>
        <w:rPr>
          <w:rFonts w:ascii="Arial" w:cs="Arial" w:eastAsia="Arial" w:hAnsi="Arial"/>
          <w:sz w:val="17"/>
          <w:szCs w:val="17"/>
          <w:color w:val="auto"/>
        </w:rPr>
        <w:t>As of December 31, 2022 and 2023, federal net operating loss (NOL) carryforwards totaled $51.0 million and $66.4 million, respectively, before consideration of limitations under Section 382 of the Internal Revenue Code of 1986, as amended (IRC). The Company also had state NOL carryforwards of $81.5 million and $127.0 million as of December 31, 2022 and 2023, respectively. Unused federal NOL’s carry forward indefinitely, while unused state NOL carryforwards begin to expire in 2040. As of December 31, 2022 and 2023, federal research tax credit carryforwards totaled approximately $2.0 million and $4.5 million, respectively, and state research tax credit carryforwards totaled approximately $2.1 million and $3.4 million, respectively. Unused federal credits begin to expire in 2040, while the unused state credits carry forward indefinitely.</w:t>
      </w:r>
    </w:p>
    <w:p>
      <w:pPr>
        <w:spacing w:after="0" w:line="172" w:lineRule="exact"/>
        <w:rPr>
          <w:sz w:val="20"/>
          <w:szCs w:val="20"/>
          <w:color w:val="auto"/>
        </w:rPr>
      </w:pPr>
    </w:p>
    <w:p>
      <w:pPr>
        <w:ind w:left="420" w:right="40" w:firstLine="417"/>
        <w:spacing w:after="0"/>
        <w:rPr>
          <w:sz w:val="20"/>
          <w:szCs w:val="20"/>
          <w:color w:val="auto"/>
        </w:rPr>
      </w:pPr>
      <w:r>
        <w:rPr>
          <w:rFonts w:ascii="Arial" w:cs="Arial" w:eastAsia="Arial" w:hAnsi="Arial"/>
          <w:sz w:val="17"/>
          <w:szCs w:val="17"/>
          <w:color w:val="auto"/>
        </w:rPr>
        <w:t>Pursuant to IRC Sections 382 and 383, the Company’s ability to use its NOL and research tax credit carry forwards to offset future taxable income may be limited if the Company experiences a cumulative change in ownership of more than 50% within a three-year testing period. The Company has not completed an ownership change analysis pursuant to IRC Section 382. If ownership changes within the meaning of IRC Section 382 are identified as having occurred, the amount of NOL and research tax carryforwards available to offset future taxable income and income tax liabilities in future years may be significantly reduced, restricted, or eliminated. The Company has also not performed a formal research and development credit study with respect to these credits. As such, the amount of such credits may be reduced in the future should the Company complete such a study. Moreover, deferred tax assets associated with such NOL’s and research tax credits could be significantly reduced upon realization of an ownership change within the meaning of IRC Section 382.</w:t>
      </w:r>
    </w:p>
    <w:p>
      <w:pPr>
        <w:spacing w:after="0" w:line="174" w:lineRule="exact"/>
        <w:rPr>
          <w:sz w:val="20"/>
          <w:szCs w:val="20"/>
          <w:color w:val="auto"/>
        </w:rPr>
      </w:pPr>
    </w:p>
    <w:p>
      <w:pPr>
        <w:ind w:left="420" w:right="420" w:firstLine="417"/>
        <w:spacing w:after="0" w:line="270" w:lineRule="auto"/>
        <w:rPr>
          <w:sz w:val="20"/>
          <w:szCs w:val="20"/>
          <w:color w:val="auto"/>
        </w:rPr>
      </w:pPr>
      <w:r>
        <w:rPr>
          <w:rFonts w:ascii="Arial" w:cs="Arial" w:eastAsia="Arial" w:hAnsi="Arial"/>
          <w:sz w:val="17"/>
          <w:szCs w:val="17"/>
          <w:color w:val="auto"/>
        </w:rPr>
        <w:t>Beginning in 2022, the Tax Cuts and Jobs Act of 2017 requires taxpayers to capitalize and amortize R&amp;D expenditures over five years for domestic research and 15 years for foreign research pursuant to Section 174 of the IRC.</w:t>
      </w:r>
    </w:p>
    <w:p>
      <w:pPr>
        <w:spacing w:after="0" w:line="148" w:lineRule="exact"/>
        <w:rPr>
          <w:sz w:val="20"/>
          <w:szCs w:val="20"/>
          <w:color w:val="auto"/>
        </w:rPr>
      </w:pPr>
    </w:p>
    <w:p>
      <w:pPr>
        <w:ind w:left="420" w:right="380" w:firstLine="417"/>
        <w:spacing w:after="0" w:line="247" w:lineRule="auto"/>
        <w:rPr>
          <w:sz w:val="20"/>
          <w:szCs w:val="20"/>
          <w:color w:val="auto"/>
        </w:rPr>
      </w:pPr>
      <w:r>
        <w:rPr>
          <w:rFonts w:ascii="Arial" w:cs="Arial" w:eastAsia="Arial" w:hAnsi="Arial"/>
          <w:sz w:val="17"/>
          <w:szCs w:val="17"/>
          <w:color w:val="auto"/>
        </w:rPr>
        <w:t>The Inflation Reduction Act of 2022 (IRA), which incorporates a Corporate Alternative Minimum Tax (CAMT), was signed on August 16, 2022. The changes will become effective for the tax years beginning after December 31, 2022. The CAMT will require companies to compute two separate calculations for federal income tax purposes and pay the greater of the new minimum tax or their regular tax liability. The IRA is not expected to have a material impact on the Company’s income tax position.</w:t>
      </w:r>
    </w:p>
    <w:p>
      <w:pPr>
        <w:spacing w:after="0" w:line="166" w:lineRule="exact"/>
        <w:rPr>
          <w:sz w:val="20"/>
          <w:szCs w:val="20"/>
          <w:color w:val="auto"/>
        </w:rPr>
      </w:pPr>
    </w:p>
    <w:p>
      <w:pPr>
        <w:ind w:left="420" w:right="260" w:firstLine="417"/>
        <w:spacing w:after="0" w:line="270" w:lineRule="auto"/>
        <w:rPr>
          <w:sz w:val="20"/>
          <w:szCs w:val="20"/>
          <w:color w:val="auto"/>
        </w:rPr>
      </w:pPr>
      <w:r>
        <w:rPr>
          <w:rFonts w:ascii="Arial" w:cs="Arial" w:eastAsia="Arial" w:hAnsi="Arial"/>
          <w:sz w:val="17"/>
          <w:szCs w:val="17"/>
          <w:color w:val="auto"/>
        </w:rPr>
        <w:t>There are no accruals for interest or tax penalties in the accompanying balance sheets, and the Company has not recognized any such interest or tax penalties in the accompanying statements of operations and comprehensive loss.</w:t>
      </w:r>
    </w:p>
    <w:p>
      <w:pPr>
        <w:spacing w:after="0" w:line="148" w:lineRule="exact"/>
        <w:rPr>
          <w:sz w:val="20"/>
          <w:szCs w:val="20"/>
          <w:color w:val="auto"/>
        </w:rPr>
      </w:pPr>
    </w:p>
    <w:p>
      <w:pPr>
        <w:ind w:left="420" w:right="140" w:firstLine="417"/>
        <w:spacing w:after="0" w:line="270" w:lineRule="auto"/>
        <w:rPr>
          <w:sz w:val="20"/>
          <w:szCs w:val="20"/>
          <w:color w:val="auto"/>
        </w:rPr>
      </w:pPr>
      <w:r>
        <w:rPr>
          <w:rFonts w:ascii="Arial" w:cs="Arial" w:eastAsia="Arial" w:hAnsi="Arial"/>
          <w:sz w:val="17"/>
          <w:szCs w:val="17"/>
          <w:color w:val="auto"/>
        </w:rPr>
        <w:t>Although it is not currently under a tax examination, all of the Company’s tax years remain open to audit in all of the tax jurisdictions in which it operates due to the Company’s net operating losses carryforwards.</w:t>
      </w:r>
    </w:p>
    <w:p>
      <w:pPr>
        <w:spacing w:after="0" w:line="8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0840"/>
          </w:cols>
          <w:pgMar w:left="320" w:top="439" w:right="7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Uncertain Tax Benefits</w:t>
      </w:r>
    </w:p>
    <w:p>
      <w:pPr>
        <w:spacing w:after="0" w:line="98" w:lineRule="exact"/>
        <w:rPr>
          <w:sz w:val="20"/>
          <w:szCs w:val="20"/>
          <w:color w:val="auto"/>
        </w:rPr>
      </w:pPr>
    </w:p>
    <w:p>
      <w:pPr>
        <w:ind w:left="820"/>
        <w:spacing w:after="0"/>
        <w:rPr>
          <w:sz w:val="20"/>
          <w:szCs w:val="20"/>
          <w:color w:val="auto"/>
        </w:rPr>
      </w:pPr>
      <w:r>
        <w:rPr>
          <w:rFonts w:ascii="Arial" w:cs="Arial" w:eastAsia="Arial" w:hAnsi="Arial"/>
          <w:sz w:val="17"/>
          <w:szCs w:val="17"/>
          <w:color w:val="auto"/>
        </w:rPr>
        <w:t>Activity in the Company’s gross unrecognized tax benefits was as follows (in thousands):</w:t>
      </w:r>
    </w:p>
    <w:p>
      <w:pPr>
        <w:spacing w:after="0" w:line="233" w:lineRule="exact"/>
        <w:rPr>
          <w:sz w:val="20"/>
          <w:szCs w:val="20"/>
          <w:color w:val="auto"/>
        </w:rPr>
      </w:pPr>
    </w:p>
    <w:tbl>
      <w:tblPr>
        <w:tblLayout w:type="fixed"/>
        <w:tblInd w:w="420" w:type="dxa"/>
        <w:tblCellMar>
          <w:top w:w="0" w:type="dxa"/>
          <w:left w:w="0" w:type="dxa"/>
          <w:bottom w:w="0" w:type="dxa"/>
          <w:right w:w="0" w:type="dxa"/>
        </w:tblCellMar>
      </w:tblPr>
      <w:tr>
        <w:trPr>
          <w:trHeight w:val="163"/>
        </w:trPr>
        <w:tc>
          <w:tcPr>
            <w:tcW w:w="7420" w:type="dxa"/>
            <w:vAlign w:val="bottom"/>
          </w:tcPr>
          <w:p>
            <w:pPr>
              <w:spacing w:after="0"/>
              <w:rPr>
                <w:sz w:val="14"/>
                <w:szCs w:val="14"/>
                <w:color w:val="auto"/>
              </w:rPr>
            </w:pPr>
          </w:p>
        </w:tc>
        <w:tc>
          <w:tcPr>
            <w:tcW w:w="246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6"/>
        </w:trPr>
        <w:tc>
          <w:tcPr>
            <w:tcW w:w="74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184"/>
        </w:trPr>
        <w:tc>
          <w:tcPr>
            <w:tcW w:w="74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Balance at beginning of period</w:t>
            </w:r>
          </w:p>
        </w:tc>
        <w:tc>
          <w:tcPr>
            <w:tcW w:w="8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 $</w:t>
            </w:r>
          </w:p>
        </w:tc>
        <w:tc>
          <w:tcPr>
            <w:tcW w:w="840" w:type="dxa"/>
            <w:vAlign w:val="bottom"/>
            <w:gridSpan w:val="2"/>
            <w:shd w:val="clear" w:color="auto" w:fill="CCEEFF"/>
          </w:tcPr>
          <w:p>
            <w:pPr>
              <w:jc w:val="right"/>
              <w:ind w:right="220"/>
              <w:spacing w:after="0" w:line="185" w:lineRule="exact"/>
              <w:rPr>
                <w:sz w:val="20"/>
                <w:szCs w:val="20"/>
                <w:color w:val="auto"/>
              </w:rPr>
            </w:pPr>
            <w:r>
              <w:rPr>
                <w:rFonts w:ascii="Arial" w:cs="Arial" w:eastAsia="Arial" w:hAnsi="Arial"/>
                <w:sz w:val="17"/>
                <w:szCs w:val="17"/>
                <w:color w:val="auto"/>
              </w:rPr>
              <w:t>526    </w:t>
            </w:r>
          </w:p>
        </w:tc>
        <w:tc>
          <w:tcPr>
            <w:tcW w:w="80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 $</w:t>
            </w:r>
          </w:p>
        </w:tc>
        <w:tc>
          <w:tcPr>
            <w:tcW w:w="48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w w:val="86"/>
              </w:rPr>
              <w:t>1,198  </w:t>
            </w:r>
          </w:p>
        </w:tc>
        <w:tc>
          <w:tcPr>
            <w:tcW w:w="60" w:type="dxa"/>
            <w:vAlign w:val="bottom"/>
            <w:shd w:val="clear" w:color="auto" w:fill="CCEEFF"/>
          </w:tcPr>
          <w:p>
            <w:pPr>
              <w:spacing w:after="0"/>
              <w:rPr>
                <w:sz w:val="16"/>
                <w:szCs w:val="16"/>
                <w:color w:val="auto"/>
              </w:rPr>
            </w:pPr>
          </w:p>
        </w:tc>
      </w:tr>
      <w:tr>
        <w:trPr>
          <w:trHeight w:val="192"/>
        </w:trPr>
        <w:tc>
          <w:tcPr>
            <w:tcW w:w="7420" w:type="dxa"/>
            <w:vAlign w:val="bottom"/>
          </w:tcPr>
          <w:p>
            <w:pPr>
              <w:spacing w:after="0" w:line="192" w:lineRule="exact"/>
              <w:rPr>
                <w:sz w:val="20"/>
                <w:szCs w:val="20"/>
                <w:color w:val="auto"/>
              </w:rPr>
            </w:pPr>
            <w:r>
              <w:rPr>
                <w:rFonts w:ascii="Arial" w:cs="Arial" w:eastAsia="Arial" w:hAnsi="Arial"/>
                <w:sz w:val="17"/>
                <w:szCs w:val="17"/>
                <w:color w:val="auto"/>
              </w:rPr>
              <w:t>Increase related to current year positions</w:t>
            </w:r>
          </w:p>
        </w:tc>
        <w:tc>
          <w:tcPr>
            <w:tcW w:w="820" w:type="dxa"/>
            <w:vAlign w:val="bottom"/>
          </w:tcPr>
          <w:p>
            <w:pPr>
              <w:spacing w:after="0"/>
              <w:rPr>
                <w:sz w:val="16"/>
                <w:szCs w:val="16"/>
                <w:color w:val="auto"/>
              </w:rPr>
            </w:pPr>
          </w:p>
        </w:tc>
        <w:tc>
          <w:tcPr>
            <w:tcW w:w="840" w:type="dxa"/>
            <w:vAlign w:val="bottom"/>
            <w:gridSpan w:val="2"/>
          </w:tcPr>
          <w:p>
            <w:pPr>
              <w:jc w:val="right"/>
              <w:ind w:right="220"/>
              <w:spacing w:after="0" w:line="192" w:lineRule="exact"/>
              <w:rPr>
                <w:sz w:val="20"/>
                <w:szCs w:val="20"/>
                <w:color w:val="auto"/>
              </w:rPr>
            </w:pPr>
            <w:r>
              <w:rPr>
                <w:rFonts w:ascii="Arial" w:cs="Arial" w:eastAsia="Arial" w:hAnsi="Arial"/>
                <w:sz w:val="17"/>
                <w:szCs w:val="17"/>
                <w:color w:val="auto"/>
              </w:rPr>
              <w:t>660    </w:t>
            </w:r>
          </w:p>
        </w:tc>
        <w:tc>
          <w:tcPr>
            <w:tcW w:w="800" w:type="dxa"/>
            <w:vAlign w:val="bottom"/>
          </w:tcPr>
          <w:p>
            <w:pPr>
              <w:spacing w:after="0"/>
              <w:rPr>
                <w:sz w:val="16"/>
                <w:szCs w:val="16"/>
                <w:color w:val="auto"/>
              </w:rPr>
            </w:pPr>
          </w:p>
        </w:tc>
        <w:tc>
          <w:tcPr>
            <w:tcW w:w="540" w:type="dxa"/>
            <w:vAlign w:val="bottom"/>
            <w:gridSpan w:val="2"/>
          </w:tcPr>
          <w:p>
            <w:pPr>
              <w:ind w:left="160"/>
              <w:spacing w:after="0" w:line="192" w:lineRule="exact"/>
              <w:rPr>
                <w:sz w:val="20"/>
                <w:szCs w:val="20"/>
                <w:color w:val="auto"/>
              </w:rPr>
            </w:pPr>
            <w:r>
              <w:rPr>
                <w:rFonts w:ascii="Arial" w:cs="Arial" w:eastAsia="Arial" w:hAnsi="Arial"/>
                <w:sz w:val="17"/>
                <w:szCs w:val="17"/>
                <w:color w:val="auto"/>
                <w:w w:val="98"/>
              </w:rPr>
              <w:t>982  </w:t>
            </w:r>
          </w:p>
        </w:tc>
      </w:tr>
      <w:tr>
        <w:trPr>
          <w:trHeight w:val="192"/>
        </w:trPr>
        <w:tc>
          <w:tcPr>
            <w:tcW w:w="742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Increase related to prior year positions</w:t>
            </w:r>
          </w:p>
        </w:tc>
        <w:tc>
          <w:tcPr>
            <w:tcW w:w="8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line="192" w:lineRule="exact"/>
              <w:rPr>
                <w:sz w:val="20"/>
                <w:szCs w:val="20"/>
                <w:color w:val="auto"/>
              </w:rPr>
            </w:pPr>
            <w:r>
              <w:rPr>
                <w:rFonts w:ascii="Arial" w:cs="Arial" w:eastAsia="Arial" w:hAnsi="Arial"/>
                <w:sz w:val="17"/>
                <w:szCs w:val="17"/>
                <w:color w:val="auto"/>
              </w:rPr>
              <w:t>12    </w:t>
            </w:r>
          </w:p>
        </w:tc>
        <w:tc>
          <w:tcPr>
            <w:tcW w:w="8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0"/>
              <w:spacing w:after="0" w:line="192" w:lineRule="exact"/>
              <w:rPr>
                <w:sz w:val="20"/>
                <w:szCs w:val="20"/>
                <w:color w:val="auto"/>
              </w:rPr>
            </w:pPr>
            <w:r>
              <w:rPr>
                <w:rFonts w:ascii="Arial" w:cs="Arial" w:eastAsia="Arial" w:hAnsi="Arial"/>
                <w:sz w:val="17"/>
                <w:szCs w:val="17"/>
                <w:color w:val="auto"/>
                <w:w w:val="98"/>
              </w:rPr>
              <w:t>5,868  </w:t>
            </w:r>
          </w:p>
        </w:tc>
      </w:tr>
      <w:tr>
        <w:trPr>
          <w:trHeight w:val="197"/>
        </w:trPr>
        <w:tc>
          <w:tcPr>
            <w:tcW w:w="7420" w:type="dxa"/>
            <w:vAlign w:val="bottom"/>
          </w:tcPr>
          <w:p>
            <w:pPr>
              <w:spacing w:after="0"/>
              <w:rPr>
                <w:sz w:val="20"/>
                <w:szCs w:val="20"/>
                <w:color w:val="auto"/>
              </w:rPr>
            </w:pPr>
            <w:r>
              <w:rPr>
                <w:rFonts w:ascii="Arial" w:cs="Arial" w:eastAsia="Arial" w:hAnsi="Arial"/>
                <w:sz w:val="17"/>
                <w:szCs w:val="17"/>
                <w:color w:val="auto"/>
              </w:rPr>
              <w:t>Balance at the end of the year</w:t>
            </w:r>
          </w:p>
        </w:tc>
        <w:tc>
          <w:tcPr>
            <w:tcW w:w="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 xml:space="preserve"> $           </w:t>
            </w: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w w:val="73"/>
              </w:rPr>
              <w:t>1,198    </w:t>
            </w:r>
          </w:p>
        </w:tc>
        <w:tc>
          <w:tcPr>
            <w:tcW w:w="360" w:type="dxa"/>
            <w:vAlign w:val="bottom"/>
          </w:tcPr>
          <w:p>
            <w:pPr>
              <w:spacing w:after="0"/>
              <w:rPr>
                <w:sz w:val="17"/>
                <w:szCs w:val="17"/>
                <w:color w:val="auto"/>
              </w:rPr>
            </w:pPr>
          </w:p>
        </w:tc>
        <w:tc>
          <w:tcPr>
            <w:tcW w:w="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 xml:space="preserve"> $           </w:t>
            </w: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w w:val="86"/>
              </w:rPr>
              <w:t>8,048  </w:t>
            </w:r>
          </w:p>
        </w:tc>
        <w:tc>
          <w:tcPr>
            <w:tcW w:w="60" w:type="dxa"/>
            <w:vAlign w:val="bottom"/>
          </w:tcPr>
          <w:p>
            <w:pPr>
              <w:spacing w:after="0"/>
              <w:rPr>
                <w:sz w:val="17"/>
                <w:szCs w:val="17"/>
                <w:color w:val="auto"/>
              </w:rPr>
            </w:pPr>
          </w:p>
        </w:tc>
      </w:tr>
      <w:tr>
        <w:trPr>
          <w:trHeight w:val="20"/>
        </w:trPr>
        <w:tc>
          <w:tcPr>
            <w:tcW w:w="7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ind w:left="420" w:right="60" w:firstLine="417"/>
        <w:spacing w:after="0" w:line="247" w:lineRule="auto"/>
        <w:rPr>
          <w:sz w:val="20"/>
          <w:szCs w:val="20"/>
          <w:color w:val="auto"/>
        </w:rPr>
      </w:pPr>
      <w:r>
        <w:rPr>
          <w:rFonts w:ascii="Arial" w:cs="Arial" w:eastAsia="Arial" w:hAnsi="Arial"/>
          <w:sz w:val="17"/>
          <w:szCs w:val="17"/>
          <w:color w:val="auto"/>
        </w:rPr>
        <w:t>Company policy is to recognize a tax benefit from uncertain tax positions when it is more likely than not that the position will be sustained upon examination, including resolutions of any related appeals or litigation processes, based on the technical merits. Due to the existence of the full valuation allowance, future changes in unrecognized tax benefits will not impact the Company’s effective tax rate. The Company does not foresee any material changes to its liability for uncertain tax benefits within the next 12 months.</w:t>
      </w:r>
    </w:p>
    <w:p>
      <w:pPr>
        <w:spacing w:after="0" w:line="192" w:lineRule="exact"/>
        <w:rPr>
          <w:sz w:val="20"/>
          <w:szCs w:val="20"/>
          <w:color w:val="auto"/>
        </w:rPr>
      </w:pPr>
    </w:p>
    <w:p>
      <w:pPr>
        <w:ind w:left="820" w:hanging="409"/>
        <w:spacing w:after="0"/>
        <w:tabs>
          <w:tab w:leader="none" w:pos="820" w:val="left"/>
        </w:tabs>
        <w:numPr>
          <w:ilvl w:val="0"/>
          <w:numId w:val="119"/>
        </w:numPr>
        <w:rPr>
          <w:rFonts w:ascii="Arial" w:cs="Arial" w:eastAsia="Arial" w:hAnsi="Arial"/>
          <w:sz w:val="17"/>
          <w:szCs w:val="17"/>
          <w:b w:val="1"/>
          <w:bCs w:val="1"/>
          <w:color w:val="auto"/>
        </w:rPr>
      </w:pPr>
      <w:r>
        <w:rPr>
          <w:rFonts w:ascii="Arial" w:cs="Arial" w:eastAsia="Arial" w:hAnsi="Arial"/>
          <w:sz w:val="17"/>
          <w:szCs w:val="17"/>
          <w:b w:val="1"/>
          <w:bCs w:val="1"/>
          <w:color w:val="auto"/>
        </w:rPr>
        <w:t>Net Loss Per Common Share</w:t>
      </w:r>
    </w:p>
    <w:p>
      <w:pPr>
        <w:spacing w:after="0" w:line="98" w:lineRule="exact"/>
        <w:rPr>
          <w:sz w:val="20"/>
          <w:szCs w:val="20"/>
          <w:color w:val="auto"/>
        </w:rPr>
      </w:pPr>
    </w:p>
    <w:p>
      <w:pPr>
        <w:ind w:left="420" w:right="380" w:firstLine="417"/>
        <w:spacing w:after="0" w:line="270" w:lineRule="auto"/>
        <w:rPr>
          <w:sz w:val="20"/>
          <w:szCs w:val="20"/>
          <w:color w:val="auto"/>
        </w:rPr>
      </w:pPr>
      <w:r>
        <w:rPr>
          <w:rFonts w:ascii="Arial" w:cs="Arial" w:eastAsia="Arial" w:hAnsi="Arial"/>
          <w:sz w:val="17"/>
          <w:szCs w:val="17"/>
          <w:color w:val="auto"/>
        </w:rPr>
        <w:t>The following table summarizes the computation of basic and diluted net loss per common share of the Company (in thousands, except per share data):</w:t>
      </w:r>
    </w:p>
    <w:p>
      <w:pPr>
        <w:spacing w:after="0" w:line="181" w:lineRule="exact"/>
        <w:rPr>
          <w:sz w:val="20"/>
          <w:szCs w:val="20"/>
          <w:color w:val="auto"/>
        </w:rPr>
      </w:pPr>
    </w:p>
    <w:tbl>
      <w:tblPr>
        <w:tblLayout w:type="fixed"/>
        <w:tblInd w:w="42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4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22"/>
              <w:spacing w:after="0" w:line="146" w:lineRule="exact"/>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19"/>
              <w:spacing w:after="0" w:line="146" w:lineRule="exact"/>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0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Net loss</w:t>
            </w:r>
          </w:p>
        </w:tc>
        <w:tc>
          <w:tcPr>
            <w:tcW w:w="2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 xml:space="preserve"> $ </w:t>
            </w:r>
          </w:p>
        </w:tc>
        <w:tc>
          <w:tcPr>
            <w:tcW w:w="124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w w:val="99"/>
              </w:rPr>
              <w:t>         (45,901)</w:t>
            </w: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72"/>
              </w:rPr>
              <w:t>    </w:t>
            </w:r>
          </w:p>
        </w:tc>
        <w:tc>
          <w:tcPr>
            <w:tcW w:w="2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 xml:space="preserve"> $ </w:t>
            </w:r>
          </w:p>
        </w:tc>
        <w:tc>
          <w:tcPr>
            <w:tcW w:w="1300" w:type="dxa"/>
            <w:vAlign w:val="bottom"/>
            <w:gridSpan w:val="2"/>
            <w:shd w:val="clear" w:color="auto" w:fill="CCEEFF"/>
          </w:tcPr>
          <w:p>
            <w:pPr>
              <w:jc w:val="right"/>
              <w:spacing w:after="0" w:line="185" w:lineRule="exact"/>
              <w:rPr>
                <w:sz w:val="20"/>
                <w:szCs w:val="20"/>
                <w:color w:val="auto"/>
              </w:rPr>
            </w:pPr>
            <w:r>
              <w:rPr>
                <w:rFonts w:ascii="Arial" w:cs="Arial" w:eastAsia="Arial" w:hAnsi="Arial"/>
                <w:sz w:val="17"/>
                <w:szCs w:val="17"/>
                <w:color w:val="auto"/>
              </w:rPr>
              <w:t>         (49,434)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0" w:type="dxa"/>
            <w:vAlign w:val="bottom"/>
          </w:tcPr>
          <w:p>
            <w:pPr>
              <w:spacing w:after="0" w:line="192" w:lineRule="exact"/>
              <w:rPr>
                <w:sz w:val="20"/>
                <w:szCs w:val="20"/>
                <w:color w:val="auto"/>
              </w:rPr>
            </w:pPr>
            <w:r>
              <w:rPr>
                <w:rFonts w:ascii="Arial" w:cs="Arial" w:eastAsia="Arial" w:hAnsi="Arial"/>
                <w:sz w:val="17"/>
                <w:szCs w:val="17"/>
                <w:color w:val="auto"/>
              </w:rPr>
              <w:t>Weighted-average shares used in calculation, basic and diluted</w:t>
            </w:r>
          </w:p>
        </w:tc>
        <w:tc>
          <w:tcPr>
            <w:tcW w:w="260" w:type="dxa"/>
            <w:vAlign w:val="bottom"/>
          </w:tcPr>
          <w:p>
            <w:pPr>
              <w:spacing w:after="0"/>
              <w:rPr>
                <w:sz w:val="16"/>
                <w:szCs w:val="16"/>
                <w:color w:val="auto"/>
              </w:rPr>
            </w:pPr>
          </w:p>
        </w:tc>
        <w:tc>
          <w:tcPr>
            <w:tcW w:w="1600" w:type="dxa"/>
            <w:vAlign w:val="bottom"/>
            <w:gridSpan w:val="2"/>
          </w:tcPr>
          <w:p>
            <w:pPr>
              <w:jc w:val="right"/>
              <w:ind w:right="140"/>
              <w:spacing w:after="0" w:line="192" w:lineRule="exact"/>
              <w:rPr>
                <w:sz w:val="20"/>
                <w:szCs w:val="20"/>
                <w:color w:val="auto"/>
              </w:rPr>
            </w:pPr>
            <w:r>
              <w:rPr>
                <w:rFonts w:ascii="Arial" w:cs="Arial" w:eastAsia="Arial" w:hAnsi="Arial"/>
                <w:sz w:val="17"/>
                <w:szCs w:val="17"/>
                <w:color w:val="auto"/>
              </w:rPr>
              <w:t>1,098     </w:t>
            </w:r>
          </w:p>
        </w:tc>
        <w:tc>
          <w:tcPr>
            <w:tcW w:w="240" w:type="dxa"/>
            <w:vAlign w:val="bottom"/>
          </w:tcPr>
          <w:p>
            <w:pPr>
              <w:spacing w:after="0"/>
              <w:rPr>
                <w:sz w:val="16"/>
                <w:szCs w:val="16"/>
                <w:color w:val="auto"/>
              </w:rPr>
            </w:pPr>
          </w:p>
        </w:tc>
        <w:tc>
          <w:tcPr>
            <w:tcW w:w="130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1,216   </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700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Net loss per common share, basic and diluted</w:t>
            </w:r>
          </w:p>
        </w:tc>
        <w:tc>
          <w:tcPr>
            <w:tcW w:w="26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 $</w:t>
            </w:r>
          </w:p>
        </w:tc>
        <w:tc>
          <w:tcPr>
            <w:tcW w:w="1600" w:type="dxa"/>
            <w:vAlign w:val="bottom"/>
            <w:gridSpan w:val="2"/>
            <w:shd w:val="clear" w:color="auto" w:fill="CCEEFF"/>
          </w:tcPr>
          <w:p>
            <w:pPr>
              <w:jc w:val="right"/>
              <w:ind w:right="140"/>
              <w:spacing w:after="0" w:line="192" w:lineRule="exact"/>
              <w:rPr>
                <w:sz w:val="20"/>
                <w:szCs w:val="20"/>
                <w:color w:val="auto"/>
              </w:rPr>
            </w:pPr>
            <w:r>
              <w:rPr>
                <w:rFonts w:ascii="Arial" w:cs="Arial" w:eastAsia="Arial" w:hAnsi="Arial"/>
                <w:sz w:val="17"/>
                <w:szCs w:val="17"/>
                <w:color w:val="auto"/>
              </w:rPr>
              <w:t xml:space="preserve">(41.80)    </w:t>
            </w:r>
          </w:p>
        </w:tc>
        <w:tc>
          <w:tcPr>
            <w:tcW w:w="24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 $</w:t>
            </w:r>
          </w:p>
        </w:tc>
        <w:tc>
          <w:tcPr>
            <w:tcW w:w="130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(40.65)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420" w:right="60" w:firstLine="417"/>
        <w:spacing w:after="0" w:line="252" w:lineRule="auto"/>
        <w:rPr>
          <w:sz w:val="20"/>
          <w:szCs w:val="20"/>
          <w:color w:val="auto"/>
        </w:rPr>
      </w:pPr>
      <w:r>
        <w:rPr>
          <w:rFonts w:ascii="Arial" w:cs="Arial" w:eastAsia="Arial" w:hAnsi="Arial"/>
          <w:sz w:val="17"/>
          <w:szCs w:val="17"/>
          <w:color w:val="auto"/>
        </w:rPr>
        <w:t>The Company excluded the following potential shares of its common stock, presented based on amounts outstanding at each period end, from the computation of diluted net loss per share for the periods indicated because including them would have had an anti-dilutive effect:</w:t>
      </w:r>
    </w:p>
    <w:p>
      <w:pPr>
        <w:spacing w:after="0" w:line="197" w:lineRule="exact"/>
        <w:rPr>
          <w:sz w:val="20"/>
          <w:szCs w:val="20"/>
          <w:color w:val="auto"/>
        </w:rPr>
      </w:pPr>
    </w:p>
    <w:tbl>
      <w:tblPr>
        <w:tblLayout w:type="fixed"/>
        <w:tblInd w:w="420" w:type="dxa"/>
        <w:tblCellMar>
          <w:top w:w="0" w:type="dxa"/>
          <w:left w:w="0" w:type="dxa"/>
          <w:bottom w:w="0" w:type="dxa"/>
          <w:right w:w="0" w:type="dxa"/>
        </w:tblCellMar>
      </w:tblPr>
      <w:tr>
        <w:trPr>
          <w:trHeight w:val="163"/>
        </w:trPr>
        <w:tc>
          <w:tcPr>
            <w:tcW w:w="7280" w:type="dxa"/>
            <w:vAlign w:val="bottom"/>
          </w:tcPr>
          <w:p>
            <w:pPr>
              <w:spacing w:after="0"/>
              <w:rPr>
                <w:sz w:val="14"/>
                <w:szCs w:val="14"/>
                <w:color w:val="auto"/>
              </w:rPr>
            </w:pPr>
          </w:p>
        </w:tc>
        <w:tc>
          <w:tcPr>
            <w:tcW w:w="31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Year Ended December 31,</w:t>
            </w:r>
          </w:p>
        </w:tc>
      </w:tr>
      <w:tr>
        <w:trPr>
          <w:trHeight w:val="146"/>
        </w:trPr>
        <w:tc>
          <w:tcPr>
            <w:tcW w:w="7280" w:type="dxa"/>
            <w:vAlign w:val="bottom"/>
            <w:tcBorders>
              <w:bottom w:val="single" w:sz="8" w:color="CCEEFF"/>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481"/>
              <w:spacing w:after="0" w:line="146"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18"/>
              <w:spacing w:after="0" w:line="146" w:lineRule="exact"/>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CCEEFF"/>
            </w:tcBorders>
          </w:tcPr>
          <w:p>
            <w:pPr>
              <w:spacing w:after="0"/>
              <w:rPr>
                <w:sz w:val="12"/>
                <w:szCs w:val="12"/>
                <w:color w:val="auto"/>
              </w:rPr>
            </w:pPr>
          </w:p>
        </w:tc>
      </w:tr>
      <w:tr>
        <w:trPr>
          <w:trHeight w:val="184"/>
        </w:trPr>
        <w:tc>
          <w:tcPr>
            <w:tcW w:w="728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Conversion of outstanding convertible preferred stock</w:t>
            </w:r>
          </w:p>
        </w:tc>
        <w:tc>
          <w:tcPr>
            <w:tcW w:w="142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7,414,844     </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14,740,840  </w:t>
            </w:r>
          </w:p>
        </w:tc>
        <w:tc>
          <w:tcPr>
            <w:tcW w:w="60" w:type="dxa"/>
            <w:vAlign w:val="bottom"/>
            <w:shd w:val="clear" w:color="auto" w:fill="CCEEFF"/>
          </w:tcPr>
          <w:p>
            <w:pPr>
              <w:spacing w:after="0"/>
              <w:rPr>
                <w:sz w:val="16"/>
                <w:szCs w:val="16"/>
                <w:color w:val="auto"/>
              </w:rPr>
            </w:pPr>
          </w:p>
        </w:tc>
      </w:tr>
      <w:tr>
        <w:trPr>
          <w:trHeight w:val="192"/>
        </w:trPr>
        <w:tc>
          <w:tcPr>
            <w:tcW w:w="7280" w:type="dxa"/>
            <w:vAlign w:val="bottom"/>
          </w:tcPr>
          <w:p>
            <w:pPr>
              <w:spacing w:after="0" w:line="192" w:lineRule="exact"/>
              <w:rPr>
                <w:sz w:val="20"/>
                <w:szCs w:val="20"/>
                <w:color w:val="auto"/>
              </w:rPr>
            </w:pPr>
            <w:r>
              <w:rPr>
                <w:rFonts w:ascii="Arial" w:cs="Arial" w:eastAsia="Arial" w:hAnsi="Arial"/>
                <w:sz w:val="17"/>
                <w:szCs w:val="17"/>
                <w:color w:val="auto"/>
              </w:rPr>
              <w:t>Options to purchase common stock</w:t>
            </w:r>
          </w:p>
        </w:tc>
        <w:tc>
          <w:tcPr>
            <w:tcW w:w="1960" w:type="dxa"/>
            <w:vAlign w:val="bottom"/>
            <w:gridSpan w:val="3"/>
          </w:tcPr>
          <w:p>
            <w:pPr>
              <w:jc w:val="right"/>
              <w:ind w:right="255"/>
              <w:spacing w:after="0" w:line="192" w:lineRule="exact"/>
              <w:rPr>
                <w:sz w:val="20"/>
                <w:szCs w:val="20"/>
                <w:color w:val="auto"/>
              </w:rPr>
            </w:pPr>
            <w:r>
              <w:rPr>
                <w:rFonts w:ascii="Arial" w:cs="Arial" w:eastAsia="Arial" w:hAnsi="Arial"/>
                <w:sz w:val="17"/>
                <w:szCs w:val="17"/>
                <w:color w:val="auto"/>
              </w:rPr>
              <w:t>1,340,550     </w:t>
            </w:r>
          </w:p>
        </w:tc>
        <w:tc>
          <w:tcPr>
            <w:tcW w:w="1180" w:type="dxa"/>
            <w:vAlign w:val="bottom"/>
            <w:gridSpan w:val="2"/>
          </w:tcPr>
          <w:p>
            <w:pPr>
              <w:jc w:val="right"/>
              <w:ind w:right="20"/>
              <w:spacing w:after="0" w:line="192" w:lineRule="exact"/>
              <w:rPr>
                <w:sz w:val="20"/>
                <w:szCs w:val="20"/>
                <w:color w:val="auto"/>
              </w:rPr>
            </w:pPr>
            <w:r>
              <w:rPr>
                <w:rFonts w:ascii="Arial" w:cs="Arial" w:eastAsia="Arial" w:hAnsi="Arial"/>
                <w:sz w:val="17"/>
                <w:szCs w:val="17"/>
                <w:color w:val="auto"/>
              </w:rPr>
              <w:t>2,813,937  </w:t>
            </w:r>
          </w:p>
        </w:tc>
      </w:tr>
      <w:tr>
        <w:trPr>
          <w:trHeight w:val="192"/>
        </w:trPr>
        <w:tc>
          <w:tcPr>
            <w:tcW w:w="728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Options early exercised subject to future vesting</w:t>
            </w:r>
          </w:p>
        </w:tc>
        <w:tc>
          <w:tcPr>
            <w:tcW w:w="1960" w:type="dxa"/>
            <w:vAlign w:val="bottom"/>
            <w:gridSpan w:val="3"/>
            <w:shd w:val="clear" w:color="auto" w:fill="CCEEFF"/>
          </w:tcPr>
          <w:p>
            <w:pPr>
              <w:jc w:val="right"/>
              <w:ind w:right="255"/>
              <w:spacing w:after="0" w:line="192" w:lineRule="exact"/>
              <w:rPr>
                <w:sz w:val="20"/>
                <w:szCs w:val="20"/>
                <w:color w:val="auto"/>
              </w:rPr>
            </w:pPr>
            <w:r>
              <w:rPr>
                <w:rFonts w:ascii="Arial" w:cs="Arial" w:eastAsia="Arial" w:hAnsi="Arial"/>
                <w:sz w:val="17"/>
                <w:szCs w:val="17"/>
                <w:color w:val="auto"/>
              </w:rPr>
              <w:t>32,529     </w:t>
            </w:r>
          </w:p>
        </w:tc>
        <w:tc>
          <w:tcPr>
            <w:tcW w:w="1180" w:type="dxa"/>
            <w:vAlign w:val="bottom"/>
            <w:gridSpan w:val="2"/>
            <w:shd w:val="clear" w:color="auto" w:fill="CCEEFF"/>
          </w:tcPr>
          <w:p>
            <w:pPr>
              <w:jc w:val="right"/>
              <w:ind w:right="20"/>
              <w:spacing w:after="0" w:line="192" w:lineRule="exact"/>
              <w:rPr>
                <w:sz w:val="20"/>
                <w:szCs w:val="20"/>
                <w:color w:val="auto"/>
              </w:rPr>
            </w:pPr>
            <w:r>
              <w:rPr>
                <w:rFonts w:ascii="Arial" w:cs="Arial" w:eastAsia="Arial" w:hAnsi="Arial"/>
                <w:sz w:val="17"/>
                <w:szCs w:val="17"/>
                <w:color w:val="auto"/>
              </w:rPr>
              <w:t>1,481  </w:t>
            </w:r>
          </w:p>
        </w:tc>
      </w:tr>
      <w:tr>
        <w:trPr>
          <w:trHeight w:val="197"/>
        </w:trPr>
        <w:tc>
          <w:tcPr>
            <w:tcW w:w="7280" w:type="dxa"/>
            <w:vAlign w:val="bottom"/>
          </w:tcPr>
          <w:p>
            <w:pPr>
              <w:ind w:left="340"/>
              <w:spacing w:after="0"/>
              <w:rPr>
                <w:sz w:val="20"/>
                <w:szCs w:val="20"/>
                <w:color w:val="auto"/>
              </w:rPr>
            </w:pPr>
            <w:r>
              <w:rPr>
                <w:rFonts w:ascii="Arial" w:cs="Arial" w:eastAsia="Arial" w:hAnsi="Arial"/>
                <w:sz w:val="17"/>
                <w:szCs w:val="17"/>
                <w:color w:val="auto"/>
              </w:rPr>
              <w:t>Total</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         8,787,923     </w:t>
            </w:r>
          </w:p>
        </w:tc>
        <w:tc>
          <w:tcPr>
            <w:tcW w:w="14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 xml:space="preserve">    </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   17,556,258  </w:t>
            </w:r>
          </w:p>
        </w:tc>
        <w:tc>
          <w:tcPr>
            <w:tcW w:w="60" w:type="dxa"/>
            <w:vAlign w:val="bottom"/>
          </w:tcPr>
          <w:p>
            <w:pPr>
              <w:spacing w:after="0"/>
              <w:rPr>
                <w:sz w:val="17"/>
                <w:szCs w:val="17"/>
                <w:color w:val="auto"/>
              </w:rPr>
            </w:pPr>
          </w:p>
        </w:tc>
      </w:tr>
      <w:tr>
        <w:trPr>
          <w:trHeight w:val="20"/>
        </w:trPr>
        <w:tc>
          <w:tcPr>
            <w:tcW w:w="72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6" w:lineRule="exact"/>
        <w:rPr>
          <w:sz w:val="20"/>
          <w:szCs w:val="20"/>
          <w:color w:val="auto"/>
        </w:rPr>
      </w:pPr>
    </w:p>
    <w:p>
      <w:pPr>
        <w:ind w:left="820" w:hanging="409"/>
        <w:spacing w:after="0"/>
        <w:tabs>
          <w:tab w:leader="none" w:pos="820"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98" w:lineRule="exact"/>
        <w:rPr>
          <w:sz w:val="20"/>
          <w:szCs w:val="20"/>
          <w:color w:val="auto"/>
        </w:rPr>
      </w:pPr>
    </w:p>
    <w:p>
      <w:pPr>
        <w:ind w:left="420" w:right="420" w:firstLine="417"/>
        <w:spacing w:after="0" w:line="252" w:lineRule="auto"/>
        <w:rPr>
          <w:sz w:val="20"/>
          <w:szCs w:val="20"/>
          <w:color w:val="auto"/>
        </w:rPr>
      </w:pPr>
      <w:r>
        <w:rPr>
          <w:rFonts w:ascii="Arial" w:cs="Arial" w:eastAsia="Arial" w:hAnsi="Arial"/>
          <w:sz w:val="17"/>
          <w:szCs w:val="17"/>
          <w:color w:val="auto"/>
        </w:rPr>
        <w:t>The Company has evaluated subsequent events occurring between the end of the most recent fiscal year and through March 6, 2024 (the date the Company’s financial statements were available to be issued) and has concluded that no subsequent events have occurred that require disclosure herein except as noted below.</w:t>
      </w:r>
    </w:p>
    <w:p>
      <w:pPr>
        <w:spacing w:after="0" w:line="164" w:lineRule="exact"/>
        <w:rPr>
          <w:sz w:val="20"/>
          <w:szCs w:val="20"/>
          <w:color w:val="auto"/>
        </w:rPr>
      </w:pPr>
    </w:p>
    <w:p>
      <w:pPr>
        <w:ind w:left="420" w:right="620" w:firstLine="417"/>
        <w:spacing w:after="0" w:line="270" w:lineRule="auto"/>
        <w:rPr>
          <w:sz w:val="20"/>
          <w:szCs w:val="20"/>
          <w:color w:val="auto"/>
        </w:rPr>
      </w:pPr>
      <w:r>
        <w:rPr>
          <w:rFonts w:ascii="Arial" w:cs="Arial" w:eastAsia="Arial" w:hAnsi="Arial"/>
          <w:sz w:val="17"/>
          <w:szCs w:val="17"/>
          <w:color w:val="auto"/>
        </w:rPr>
        <w:t>In February 2024, the Company granted a total of 840,292 options to employees and members of its Board of Directors at an exercise price of $8.19 per share.</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Reverse stock split</w:t>
      </w:r>
    </w:p>
    <w:p>
      <w:pPr>
        <w:spacing w:after="0" w:line="98" w:lineRule="exact"/>
        <w:rPr>
          <w:sz w:val="20"/>
          <w:szCs w:val="20"/>
          <w:color w:val="auto"/>
        </w:rPr>
      </w:pPr>
    </w:p>
    <w:p>
      <w:pPr>
        <w:ind w:left="420" w:right="20" w:firstLine="417"/>
        <w:spacing w:after="0" w:line="242" w:lineRule="auto"/>
        <w:rPr>
          <w:sz w:val="20"/>
          <w:szCs w:val="20"/>
          <w:color w:val="auto"/>
        </w:rPr>
      </w:pPr>
      <w:r>
        <w:rPr>
          <w:rFonts w:ascii="Arial" w:cs="Arial" w:eastAsia="Arial" w:hAnsi="Arial"/>
          <w:sz w:val="17"/>
          <w:szCs w:val="17"/>
          <w:color w:val="auto"/>
        </w:rPr>
        <w:t>On March 19, 2024, the Company effected a one-for-19.5 reverse stock split of its issued and outstanding shares of common stock and a proportional adjustment to the existing conversion ratios for each series of the Company’s convertible preferred stock. Accordingly, all share and per share amounts for all periods presented in the accompanying financial statements and notes thereto have been adjusted retroactively, where applicable, to reflect this reverse stock split and adjustment of the preferred stock conversion ratios. The par value and the number of authorized shares of the convertible preferred stock and common stock were not adjusted in connection with the reverse stock split.</w:t>
      </w:r>
    </w:p>
    <w:p>
      <w:pPr>
        <w:spacing w:after="0" w:line="10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0840"/>
          </w:cols>
          <w:pgMar w:left="320" w:top="439" w:right="7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236220</wp:posOffset>
            </wp:positionV>
            <wp:extent cx="6620510" cy="165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620510" cy="16510"/>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285115</wp:posOffset>
            </wp:positionV>
            <wp:extent cx="662051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620510" cy="8255"/>
                    </a:xfrm>
                    <a:prstGeom prst="rect">
                      <a:avLst/>
                    </a:prstGeom>
                    <a:noFill/>
                  </pic:spPr>
                </pic:pic>
              </a:graphicData>
            </a:graphic>
          </wp:anchor>
        </w:drawing>
      </w:r>
    </w:p>
    <w:p>
      <w:pPr>
        <w:sectPr>
          <w:pgSz w:w="11900" w:h="16838" w:orient="portrait"/>
          <w:cols w:equalWidth="0" w:num="1">
            <w:col w:w="10480"/>
          </w:cols>
          <w:pgMar w:left="320" w:top="439"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680"/>
        <w:spacing w:after="0"/>
        <w:rPr>
          <w:sz w:val="20"/>
          <w:szCs w:val="20"/>
          <w:color w:val="auto"/>
        </w:rPr>
      </w:pPr>
      <w:r>
        <w:rPr>
          <w:rFonts w:ascii="Arial" w:cs="Arial" w:eastAsia="Arial" w:hAnsi="Arial"/>
          <w:sz w:val="24"/>
          <w:szCs w:val="24"/>
          <w:color w:val="auto"/>
        </w:rPr>
        <w:t>6,250,000 Shares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24"/>
          <w:szCs w:val="24"/>
          <w:b w:val="1"/>
          <w:bCs w:val="1"/>
          <w:color w:val="auto"/>
        </w:rPr>
        <w:t>Boundless Bio, Inc.</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800"/>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2873375</wp:posOffset>
            </wp:positionH>
            <wp:positionV relativeFrom="paragraph">
              <wp:posOffset>536575</wp:posOffset>
            </wp:positionV>
            <wp:extent cx="139573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395730" cy="8255"/>
                    </a:xfrm>
                    <a:prstGeom prst="rect">
                      <a:avLst/>
                    </a:prstGeom>
                    <a:noFill/>
                  </pic:spPr>
                </pic:pic>
              </a:graphicData>
            </a:graphic>
          </wp:anchor>
        </w:drawing>
        <w:drawing>
          <wp:anchor simplePos="0" relativeHeight="251657728" behindDoc="1" locked="0" layoutInCell="0" allowOverlap="1">
            <wp:simplePos x="0" y="0"/>
            <wp:positionH relativeFrom="column">
              <wp:posOffset>2873375</wp:posOffset>
            </wp:positionH>
            <wp:positionV relativeFrom="paragraph">
              <wp:posOffset>1721485</wp:posOffset>
            </wp:positionV>
            <wp:extent cx="139573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395730" cy="8255"/>
                    </a:xfrm>
                    <a:prstGeom prst="rect">
                      <a:avLst/>
                    </a:prstGeom>
                    <a:noFill/>
                  </pic:spPr>
                </pic:pic>
              </a:graphicData>
            </a:graphic>
          </wp:anchor>
        </w:drawing>
        <w:drawing>
          <wp:anchor simplePos="0" relativeHeight="251657728" behindDoc="1" locked="0" layoutInCell="0" allowOverlap="1">
            <wp:simplePos x="0" y="0"/>
            <wp:positionH relativeFrom="column">
              <wp:posOffset>1964690</wp:posOffset>
            </wp:positionH>
            <wp:positionV relativeFrom="paragraph">
              <wp:posOffset>861060</wp:posOffset>
            </wp:positionV>
            <wp:extent cx="3220720" cy="4870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220720" cy="48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900"/>
        <w:spacing w:after="0"/>
        <w:tabs>
          <w:tab w:leader="none" w:pos="4200" w:val="left"/>
          <w:tab w:leader="none" w:pos="6420" w:val="left"/>
          <w:tab w:leader="none" w:pos="8360" w:val="left"/>
        </w:tabs>
        <w:rPr>
          <w:sz w:val="20"/>
          <w:szCs w:val="20"/>
          <w:color w:val="auto"/>
        </w:rPr>
      </w:pPr>
      <w:r>
        <w:rPr>
          <w:rFonts w:ascii="Arial" w:cs="Arial" w:eastAsia="Arial" w:hAnsi="Arial"/>
          <w:sz w:val="19"/>
          <w:szCs w:val="19"/>
          <w:b w:val="1"/>
          <w:bCs w:val="1"/>
          <w:color w:val="auto"/>
        </w:rPr>
        <w:t>Goldman Sachs &amp; Co. LLC</w:t>
      </w:r>
      <w:r>
        <w:rPr>
          <w:sz w:val="20"/>
          <w:szCs w:val="20"/>
          <w:color w:val="auto"/>
        </w:rPr>
        <w:tab/>
      </w:r>
      <w:r>
        <w:rPr>
          <w:rFonts w:ascii="Arial" w:cs="Arial" w:eastAsia="Arial" w:hAnsi="Arial"/>
          <w:sz w:val="19"/>
          <w:szCs w:val="19"/>
          <w:b w:val="1"/>
          <w:bCs w:val="1"/>
          <w:color w:val="auto"/>
        </w:rPr>
        <w:t>Leerink Partners</w:t>
      </w:r>
      <w:r>
        <w:rPr>
          <w:sz w:val="20"/>
          <w:szCs w:val="20"/>
          <w:color w:val="auto"/>
        </w:rPr>
        <w:tab/>
      </w:r>
      <w:r>
        <w:rPr>
          <w:rFonts w:ascii="Arial" w:cs="Arial" w:eastAsia="Arial" w:hAnsi="Arial"/>
          <w:sz w:val="19"/>
          <w:szCs w:val="19"/>
          <w:b w:val="1"/>
          <w:bCs w:val="1"/>
          <w:color w:val="auto"/>
        </w:rPr>
        <w:t>Piper Sandler</w:t>
      </w:r>
      <w:r>
        <w:rPr>
          <w:sz w:val="20"/>
          <w:szCs w:val="20"/>
          <w:color w:val="auto"/>
        </w:rPr>
        <w:tab/>
      </w:r>
      <w:r>
        <w:rPr>
          <w:rFonts w:ascii="Arial" w:cs="Arial" w:eastAsia="Arial" w:hAnsi="Arial"/>
          <w:sz w:val="18"/>
          <w:szCs w:val="18"/>
          <w:b w:val="1"/>
          <w:bCs w:val="1"/>
          <w:color w:val="auto"/>
        </w:rPr>
        <w:t>Guggenheim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2873375</wp:posOffset>
            </wp:positionH>
            <wp:positionV relativeFrom="paragraph">
              <wp:posOffset>1724660</wp:posOffset>
            </wp:positionV>
            <wp:extent cx="139573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395730" cy="825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2981960</wp:posOffset>
            </wp:positionV>
            <wp:extent cx="662051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620510" cy="825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3063240</wp:posOffset>
            </wp:positionV>
            <wp:extent cx="6620510" cy="165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620510" cy="16510"/>
                    </a:xfrm>
                    <a:prstGeom prst="rect">
                      <a:avLst/>
                    </a:prstGeom>
                    <a:noFill/>
                  </pic:spPr>
                </pic:pic>
              </a:graphicData>
            </a:graphic>
          </wp:anchor>
        </w:drawing>
      </w:r>
    </w:p>
    <w:p>
      <w:pPr>
        <w:sectPr>
          <w:pgSz w:w="11900" w:h="16838" w:orient="portrait"/>
          <w:cols w:equalWidth="0" w:num="1">
            <w:col w:w="10480"/>
          </w:cols>
          <w:pgMar w:left="320" w:top="439" w:right="1099" w:bottom="1440" w:gutter="0" w:footer="0" w:header="0"/>
          <w:type w:val="continuous"/>
        </w:sectPr>
      </w:pPr>
    </w:p>
    <w:bookmarkStart w:id="247" w:name="page248"/>
    <w:bookmarkEnd w:id="2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Part II</w:t>
      </w:r>
    </w:p>
    <w:p>
      <w:pPr>
        <w:spacing w:after="0" w:line="201" w:lineRule="exact"/>
        <w:rPr>
          <w:sz w:val="20"/>
          <w:szCs w:val="20"/>
          <w:color w:val="auto"/>
        </w:rPr>
      </w:pPr>
    </w:p>
    <w:p>
      <w:pPr>
        <w:ind w:left="3640"/>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Item 13. Other Expenses of Issuance and Distribution.</w:t>
      </w:r>
    </w:p>
    <w:p>
      <w:pPr>
        <w:spacing w:after="0" w:line="98" w:lineRule="exact"/>
        <w:rPr>
          <w:sz w:val="20"/>
          <w:szCs w:val="20"/>
          <w:color w:val="auto"/>
        </w:rPr>
      </w:pPr>
    </w:p>
    <w:p>
      <w:pPr>
        <w:ind w:left="420" w:right="100" w:firstLine="521"/>
        <w:spacing w:after="0" w:line="252" w:lineRule="auto"/>
        <w:rPr>
          <w:sz w:val="20"/>
          <w:szCs w:val="20"/>
          <w:color w:val="auto"/>
        </w:rPr>
      </w:pPr>
      <w:r>
        <w:rPr>
          <w:rFonts w:ascii="Arial" w:cs="Arial" w:eastAsia="Arial" w:hAnsi="Arial"/>
          <w:sz w:val="17"/>
          <w:szCs w:val="17"/>
          <w:color w:val="auto"/>
        </w:rPr>
        <w:t>The following table indicates the expenses to be incurred in connection with the offering described in this registration statement, other than underwriting discounts and commissions, all of which will be paid by us. All amounts are estimated except the SEC registration fee, the Financial Industry Regulatory Authority, Inc., or FINRA, filing fee and the Nasdaq Global Select Market listing fee.</w:t>
      </w:r>
    </w:p>
    <w:p>
      <w:pPr>
        <w:spacing w:after="0" w:line="189"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Amount Paid or</w:t>
            </w:r>
          </w:p>
        </w:tc>
      </w:tr>
      <w:tr>
        <w:trPr>
          <w:trHeight w:val="163"/>
        </w:trPr>
        <w:tc>
          <w:tcPr>
            <w:tcW w:w="60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to Be Paid</w:t>
            </w:r>
          </w:p>
        </w:tc>
      </w:tr>
      <w:tr>
        <w:trPr>
          <w:trHeight w:val="184"/>
        </w:trPr>
        <w:tc>
          <w:tcPr>
            <w:tcW w:w="6060" w:type="dxa"/>
            <w:vAlign w:val="bottom"/>
            <w:tcBorders>
              <w:top w:val="single" w:sz="8" w:color="CCEEFF"/>
            </w:tcBorders>
            <w:shd w:val="clear" w:color="auto" w:fill="CCEEFF"/>
          </w:tcPr>
          <w:p>
            <w:pPr>
              <w:spacing w:after="0" w:line="185" w:lineRule="exact"/>
              <w:rPr>
                <w:sz w:val="20"/>
                <w:szCs w:val="20"/>
                <w:color w:val="auto"/>
              </w:rPr>
            </w:pPr>
            <w:r>
              <w:rPr>
                <w:rFonts w:ascii="Arial" w:cs="Arial" w:eastAsia="Arial" w:hAnsi="Arial"/>
                <w:sz w:val="17"/>
                <w:szCs w:val="17"/>
                <w:color w:val="auto"/>
              </w:rPr>
              <w:t>SEC registration fee</w:t>
            </w:r>
          </w:p>
        </w:tc>
        <w:tc>
          <w:tcPr>
            <w:tcW w:w="3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18,035</w:t>
            </w:r>
          </w:p>
        </w:tc>
        <w:tc>
          <w:tcPr>
            <w:tcW w:w="200" w:type="dxa"/>
            <w:vAlign w:val="bottom"/>
            <w:tcBorders>
              <w:top w:val="single" w:sz="8" w:color="CCEEFF"/>
            </w:tcBorders>
            <w:shd w:val="clear" w:color="auto" w:fill="CCEEFF"/>
          </w:tcPr>
          <w:p>
            <w:pPr>
              <w:spacing w:after="0"/>
              <w:rPr>
                <w:sz w:val="16"/>
                <w:szCs w:val="16"/>
                <w:color w:val="auto"/>
              </w:rPr>
            </w:pPr>
          </w:p>
        </w:tc>
      </w:tr>
      <w:tr>
        <w:trPr>
          <w:trHeight w:val="192"/>
        </w:trPr>
        <w:tc>
          <w:tcPr>
            <w:tcW w:w="6060" w:type="dxa"/>
            <w:vAlign w:val="bottom"/>
          </w:tcPr>
          <w:p>
            <w:pPr>
              <w:spacing w:after="0" w:line="192" w:lineRule="exact"/>
              <w:rPr>
                <w:sz w:val="20"/>
                <w:szCs w:val="20"/>
                <w:color w:val="auto"/>
              </w:rPr>
            </w:pPr>
            <w:r>
              <w:rPr>
                <w:rFonts w:ascii="Arial" w:cs="Arial" w:eastAsia="Arial" w:hAnsi="Arial"/>
                <w:sz w:val="17"/>
                <w:szCs w:val="17"/>
                <w:color w:val="auto"/>
              </w:rPr>
              <w:t>FINRA filing fee</w:t>
            </w:r>
          </w:p>
        </w:tc>
        <w:tc>
          <w:tcPr>
            <w:tcW w:w="3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200"/>
              <w:spacing w:after="0" w:line="192" w:lineRule="exact"/>
              <w:rPr>
                <w:sz w:val="20"/>
                <w:szCs w:val="20"/>
                <w:color w:val="auto"/>
              </w:rPr>
            </w:pPr>
            <w:r>
              <w:rPr>
                <w:rFonts w:ascii="Arial" w:cs="Arial" w:eastAsia="Arial" w:hAnsi="Arial"/>
                <w:sz w:val="17"/>
                <w:szCs w:val="17"/>
                <w:color w:val="auto"/>
              </w:rPr>
              <w:t>18,828</w:t>
            </w:r>
          </w:p>
        </w:tc>
      </w:tr>
      <w:tr>
        <w:trPr>
          <w:trHeight w:val="192"/>
        </w:trPr>
        <w:tc>
          <w:tcPr>
            <w:tcW w:w="606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Nasdaq Global Select Market listing fee</w:t>
            </w:r>
          </w:p>
        </w:tc>
        <w:tc>
          <w:tcPr>
            <w:tcW w:w="3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line="192" w:lineRule="exact"/>
              <w:rPr>
                <w:sz w:val="20"/>
                <w:szCs w:val="20"/>
                <w:color w:val="auto"/>
              </w:rPr>
            </w:pPr>
            <w:r>
              <w:rPr>
                <w:rFonts w:ascii="Arial" w:cs="Arial" w:eastAsia="Arial" w:hAnsi="Arial"/>
                <w:sz w:val="17"/>
                <w:szCs w:val="17"/>
                <w:color w:val="auto"/>
              </w:rPr>
              <w:t>295,000</w:t>
            </w:r>
          </w:p>
        </w:tc>
      </w:tr>
      <w:tr>
        <w:trPr>
          <w:trHeight w:val="192"/>
        </w:trPr>
        <w:tc>
          <w:tcPr>
            <w:tcW w:w="6060" w:type="dxa"/>
            <w:vAlign w:val="bottom"/>
          </w:tcPr>
          <w:p>
            <w:pPr>
              <w:spacing w:after="0" w:line="192" w:lineRule="exact"/>
              <w:rPr>
                <w:sz w:val="20"/>
                <w:szCs w:val="20"/>
                <w:color w:val="auto"/>
              </w:rPr>
            </w:pPr>
            <w:r>
              <w:rPr>
                <w:rFonts w:ascii="Arial" w:cs="Arial" w:eastAsia="Arial" w:hAnsi="Arial"/>
                <w:sz w:val="17"/>
                <w:szCs w:val="17"/>
                <w:color w:val="auto"/>
              </w:rPr>
              <w:t>Accountants’ fees and expenses</w:t>
            </w:r>
          </w:p>
        </w:tc>
        <w:tc>
          <w:tcPr>
            <w:tcW w:w="3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200"/>
              <w:spacing w:after="0" w:line="192" w:lineRule="exact"/>
              <w:rPr>
                <w:sz w:val="20"/>
                <w:szCs w:val="20"/>
                <w:color w:val="auto"/>
              </w:rPr>
            </w:pPr>
            <w:r>
              <w:rPr>
                <w:rFonts w:ascii="Arial" w:cs="Arial" w:eastAsia="Arial" w:hAnsi="Arial"/>
                <w:sz w:val="17"/>
                <w:szCs w:val="17"/>
                <w:color w:val="auto"/>
              </w:rPr>
              <w:t>950,000</w:t>
            </w:r>
          </w:p>
        </w:tc>
      </w:tr>
      <w:tr>
        <w:trPr>
          <w:trHeight w:val="192"/>
        </w:trPr>
        <w:tc>
          <w:tcPr>
            <w:tcW w:w="606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Legal fees and expenses</w:t>
            </w:r>
          </w:p>
        </w:tc>
        <w:tc>
          <w:tcPr>
            <w:tcW w:w="3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line="192" w:lineRule="exact"/>
              <w:rPr>
                <w:sz w:val="20"/>
                <w:szCs w:val="20"/>
                <w:color w:val="auto"/>
              </w:rPr>
            </w:pPr>
            <w:r>
              <w:rPr>
                <w:rFonts w:ascii="Arial" w:cs="Arial" w:eastAsia="Arial" w:hAnsi="Arial"/>
                <w:sz w:val="17"/>
                <w:szCs w:val="17"/>
                <w:color w:val="auto"/>
              </w:rPr>
              <w:t>2,955,000</w:t>
            </w:r>
          </w:p>
        </w:tc>
      </w:tr>
      <w:tr>
        <w:trPr>
          <w:trHeight w:val="192"/>
        </w:trPr>
        <w:tc>
          <w:tcPr>
            <w:tcW w:w="6060" w:type="dxa"/>
            <w:vAlign w:val="bottom"/>
          </w:tcPr>
          <w:p>
            <w:pPr>
              <w:spacing w:after="0" w:line="192" w:lineRule="exact"/>
              <w:rPr>
                <w:sz w:val="20"/>
                <w:szCs w:val="20"/>
                <w:color w:val="auto"/>
              </w:rPr>
            </w:pPr>
            <w:r>
              <w:rPr>
                <w:rFonts w:ascii="Arial" w:cs="Arial" w:eastAsia="Arial" w:hAnsi="Arial"/>
                <w:sz w:val="17"/>
                <w:szCs w:val="17"/>
                <w:color w:val="auto"/>
              </w:rPr>
              <w:t>Transfer Agent’s fees and expenses</w:t>
            </w:r>
          </w:p>
        </w:tc>
        <w:tc>
          <w:tcPr>
            <w:tcW w:w="3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200"/>
              <w:spacing w:after="0" w:line="192" w:lineRule="exact"/>
              <w:rPr>
                <w:sz w:val="20"/>
                <w:szCs w:val="20"/>
                <w:color w:val="auto"/>
              </w:rPr>
            </w:pPr>
            <w:r>
              <w:rPr>
                <w:rFonts w:ascii="Arial" w:cs="Arial" w:eastAsia="Arial" w:hAnsi="Arial"/>
                <w:sz w:val="17"/>
                <w:szCs w:val="17"/>
                <w:color w:val="auto"/>
              </w:rPr>
              <w:t>10,000</w:t>
            </w:r>
          </w:p>
        </w:tc>
      </w:tr>
      <w:tr>
        <w:trPr>
          <w:trHeight w:val="192"/>
        </w:trPr>
        <w:tc>
          <w:tcPr>
            <w:tcW w:w="606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Printing and engraving expenses</w:t>
            </w:r>
          </w:p>
        </w:tc>
        <w:tc>
          <w:tcPr>
            <w:tcW w:w="3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line="192" w:lineRule="exact"/>
              <w:rPr>
                <w:sz w:val="20"/>
                <w:szCs w:val="20"/>
                <w:color w:val="auto"/>
              </w:rPr>
            </w:pPr>
            <w:r>
              <w:rPr>
                <w:rFonts w:ascii="Arial" w:cs="Arial" w:eastAsia="Arial" w:hAnsi="Arial"/>
                <w:sz w:val="17"/>
                <w:szCs w:val="17"/>
                <w:color w:val="auto"/>
              </w:rPr>
              <w:t>385,000</w:t>
            </w:r>
          </w:p>
        </w:tc>
      </w:tr>
      <w:tr>
        <w:trPr>
          <w:trHeight w:val="197"/>
        </w:trPr>
        <w:tc>
          <w:tcPr>
            <w:tcW w:w="6060" w:type="dxa"/>
            <w:vAlign w:val="bottom"/>
          </w:tcPr>
          <w:p>
            <w:pPr>
              <w:spacing w:after="0" w:line="192" w:lineRule="exact"/>
              <w:rPr>
                <w:sz w:val="20"/>
                <w:szCs w:val="20"/>
                <w:color w:val="auto"/>
              </w:rPr>
            </w:pPr>
            <w:r>
              <w:rPr>
                <w:rFonts w:ascii="Arial" w:cs="Arial" w:eastAsia="Arial" w:hAnsi="Arial"/>
                <w:sz w:val="17"/>
                <w:szCs w:val="17"/>
                <w:color w:val="auto"/>
              </w:rPr>
              <w:t>Miscellaneous</w:t>
            </w:r>
          </w:p>
        </w:tc>
        <w:tc>
          <w:tcPr>
            <w:tcW w:w="3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18,137</w:t>
            </w:r>
          </w:p>
        </w:tc>
        <w:tc>
          <w:tcPr>
            <w:tcW w:w="200" w:type="dxa"/>
            <w:vAlign w:val="bottom"/>
          </w:tcPr>
          <w:p>
            <w:pPr>
              <w:spacing w:after="0"/>
              <w:rPr>
                <w:sz w:val="17"/>
                <w:szCs w:val="17"/>
                <w:color w:val="auto"/>
              </w:rPr>
            </w:pPr>
          </w:p>
        </w:tc>
      </w:tr>
      <w:tr>
        <w:trPr>
          <w:trHeight w:val="192"/>
        </w:trPr>
        <w:tc>
          <w:tcPr>
            <w:tcW w:w="6060" w:type="dxa"/>
            <w:vAlign w:val="bottom"/>
            <w:shd w:val="clear" w:color="auto" w:fill="CCEEFF"/>
          </w:tcPr>
          <w:p>
            <w:pPr>
              <w:ind w:left="220"/>
              <w:spacing w:after="0" w:line="192" w:lineRule="exact"/>
              <w:rPr>
                <w:sz w:val="20"/>
                <w:szCs w:val="20"/>
                <w:color w:val="auto"/>
              </w:rPr>
            </w:pPr>
            <w:r>
              <w:rPr>
                <w:rFonts w:ascii="Arial" w:cs="Arial" w:eastAsia="Arial" w:hAnsi="Arial"/>
                <w:sz w:val="17"/>
                <w:szCs w:val="17"/>
                <w:color w:val="auto"/>
              </w:rPr>
              <w:t>Total expenses</w:t>
            </w:r>
          </w:p>
        </w:tc>
        <w:tc>
          <w:tcPr>
            <w:tcW w:w="324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00"/>
              <w:spacing w:after="0" w:line="192" w:lineRule="exact"/>
              <w:rPr>
                <w:sz w:val="20"/>
                <w:szCs w:val="20"/>
                <w:color w:val="auto"/>
              </w:rPr>
            </w:pPr>
            <w:r>
              <w:rPr>
                <w:rFonts w:ascii="Arial" w:cs="Arial" w:eastAsia="Arial" w:hAnsi="Arial"/>
                <w:sz w:val="17"/>
                <w:szCs w:val="17"/>
                <w:color w:val="auto"/>
              </w:rPr>
              <w:t>4,650,000</w:t>
            </w:r>
          </w:p>
        </w:tc>
      </w:tr>
      <w:tr>
        <w:trPr>
          <w:trHeight w:val="20"/>
        </w:trPr>
        <w:tc>
          <w:tcPr>
            <w:tcW w:w="60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03"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Item 14. Indemnification of Directors and Officers.</w:t>
      </w:r>
    </w:p>
    <w:p>
      <w:pPr>
        <w:spacing w:after="0" w:line="98" w:lineRule="exact"/>
        <w:rPr>
          <w:sz w:val="20"/>
          <w:szCs w:val="20"/>
          <w:color w:val="auto"/>
        </w:rPr>
      </w:pPr>
    </w:p>
    <w:p>
      <w:pPr>
        <w:ind w:left="420" w:right="20" w:firstLine="521"/>
        <w:spacing w:after="0"/>
        <w:rPr>
          <w:sz w:val="20"/>
          <w:szCs w:val="20"/>
          <w:color w:val="auto"/>
        </w:rPr>
      </w:pPr>
      <w:r>
        <w:rPr>
          <w:rFonts w:ascii="Arial" w:cs="Arial" w:eastAsia="Arial" w:hAnsi="Arial"/>
          <w:sz w:val="17"/>
          <w:szCs w:val="17"/>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174" w:lineRule="exact"/>
        <w:rPr>
          <w:sz w:val="20"/>
          <w:szCs w:val="20"/>
          <w:color w:val="auto"/>
        </w:rPr>
      </w:pPr>
    </w:p>
    <w:p>
      <w:pPr>
        <w:ind w:left="420" w:right="40" w:firstLine="521"/>
        <w:spacing w:after="0" w:line="238" w:lineRule="auto"/>
        <w:rPr>
          <w:sz w:val="20"/>
          <w:szCs w:val="20"/>
          <w:color w:val="auto"/>
        </w:rPr>
      </w:pPr>
      <w:r>
        <w:rPr>
          <w:rFonts w:ascii="Arial" w:cs="Arial" w:eastAsia="Arial" w:hAnsi="Arial"/>
          <w:sz w:val="17"/>
          <w:szCs w:val="17"/>
          <w:color w:val="auto"/>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1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0840"/>
          </w:cols>
          <w:pgMar w:left="320" w:top="440" w:right="7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firstLine="417"/>
        <w:spacing w:after="0" w:line="237" w:lineRule="auto"/>
        <w:rPr>
          <w:sz w:val="20"/>
          <w:szCs w:val="20"/>
          <w:color w:val="auto"/>
        </w:rPr>
      </w:pPr>
      <w:r>
        <w:rPr>
          <w:rFonts w:ascii="Arial" w:cs="Arial" w:eastAsia="Arial" w:hAnsi="Arial"/>
          <w:sz w:val="17"/>
          <w:szCs w:val="17"/>
          <w:color w:val="auto"/>
        </w:rPr>
        <w:t>Our amended and restated certificate of incorporation and our amended and restated bylaws, each of which will become effective immediately prior to the closing of this offering, will provide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amended and restated certificate of incorporation and our amended and restated bylaws, each as currently in effect, provide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74" w:lineRule="exact"/>
        <w:rPr>
          <w:sz w:val="20"/>
          <w:szCs w:val="20"/>
          <w:color w:val="auto"/>
        </w:rPr>
      </w:pPr>
    </w:p>
    <w:p>
      <w:pPr>
        <w:ind w:left="420" w:right="40" w:firstLine="417"/>
        <w:spacing w:after="0" w:line="247" w:lineRule="auto"/>
        <w:rPr>
          <w:sz w:val="20"/>
          <w:szCs w:val="20"/>
          <w:color w:val="auto"/>
        </w:rPr>
      </w:pPr>
      <w:r>
        <w:rPr>
          <w:rFonts w:ascii="Arial" w:cs="Arial" w:eastAsia="Arial" w:hAnsi="Arial"/>
          <w:sz w:val="17"/>
          <w:szCs w:val="17"/>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66" w:lineRule="exact"/>
        <w:rPr>
          <w:sz w:val="20"/>
          <w:szCs w:val="20"/>
          <w:color w:val="auto"/>
        </w:rPr>
      </w:pPr>
    </w:p>
    <w:p>
      <w:pPr>
        <w:ind w:left="420" w:right="120" w:firstLine="417"/>
        <w:spacing w:after="0" w:line="270" w:lineRule="auto"/>
        <w:rPr>
          <w:sz w:val="20"/>
          <w:szCs w:val="20"/>
          <w:color w:val="auto"/>
        </w:rPr>
      </w:pPr>
      <w:r>
        <w:rPr>
          <w:rFonts w:ascii="Arial" w:cs="Arial" w:eastAsia="Arial" w:hAnsi="Arial"/>
          <w:sz w:val="17"/>
          <w:szCs w:val="17"/>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48" w:lineRule="exact"/>
        <w:rPr>
          <w:sz w:val="20"/>
          <w:szCs w:val="20"/>
          <w:color w:val="auto"/>
        </w:rPr>
      </w:pPr>
    </w:p>
    <w:p>
      <w:pPr>
        <w:ind w:left="420" w:right="160" w:firstLine="417"/>
        <w:spacing w:after="0" w:line="252" w:lineRule="auto"/>
        <w:rPr>
          <w:sz w:val="20"/>
          <w:szCs w:val="20"/>
          <w:color w:val="auto"/>
        </w:rPr>
      </w:pPr>
      <w:r>
        <w:rPr>
          <w:rFonts w:ascii="Arial" w:cs="Arial" w:eastAsia="Arial" w:hAnsi="Arial"/>
          <w:sz w:val="17"/>
          <w:szCs w:val="17"/>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0820"/>
          </w:cols>
          <w:pgMar w:left="320" w:top="439" w:right="75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Item 15. Recent Sales of Unregistered Securities.</w:t>
      </w:r>
    </w:p>
    <w:p>
      <w:pPr>
        <w:spacing w:after="0" w:line="98" w:lineRule="exact"/>
        <w:rPr>
          <w:sz w:val="20"/>
          <w:szCs w:val="20"/>
          <w:color w:val="auto"/>
        </w:rPr>
      </w:pPr>
    </w:p>
    <w:p>
      <w:pPr>
        <w:jc w:val="both"/>
        <w:ind w:left="420" w:right="320" w:firstLine="417"/>
        <w:spacing w:after="0" w:line="252" w:lineRule="auto"/>
        <w:rPr>
          <w:sz w:val="20"/>
          <w:szCs w:val="20"/>
          <w:color w:val="auto"/>
        </w:rPr>
      </w:pPr>
      <w:r>
        <w:rPr>
          <w:rFonts w:ascii="Arial" w:cs="Arial" w:eastAsia="Arial" w:hAnsi="Arial"/>
          <w:sz w:val="17"/>
          <w:szCs w:val="17"/>
          <w:color w:val="auto"/>
        </w:rPr>
        <w:t>Set forth below is information regarding unregistered securities issued by us since January 1, 2021 to the date of this registration statement. Also included is the consideration received by us for such securities and information relating to the section of the Securities Act, or rule of the SEC, under which exemption from registration was claimed.</w:t>
      </w:r>
    </w:p>
    <w:p>
      <w:pPr>
        <w:spacing w:after="0" w:line="74" w:lineRule="exact"/>
        <w:rPr>
          <w:sz w:val="20"/>
          <w:szCs w:val="20"/>
          <w:color w:val="auto"/>
        </w:rPr>
      </w:pPr>
    </w:p>
    <w:p>
      <w:pPr>
        <w:ind w:left="1340" w:hanging="520"/>
        <w:spacing w:after="0"/>
        <w:tabs>
          <w:tab w:leader="none" w:pos="134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Issuances of Securities</w:t>
      </w:r>
    </w:p>
    <w:p>
      <w:pPr>
        <w:spacing w:after="0" w:line="111" w:lineRule="exact"/>
        <w:rPr>
          <w:rFonts w:ascii="Arial" w:cs="Arial" w:eastAsia="Arial" w:hAnsi="Arial"/>
          <w:sz w:val="17"/>
          <w:szCs w:val="17"/>
          <w:color w:val="auto"/>
        </w:rPr>
      </w:pPr>
    </w:p>
    <w:p>
      <w:pPr>
        <w:ind w:left="1760" w:right="400" w:hanging="416"/>
        <w:spacing w:after="0" w:line="270" w:lineRule="auto"/>
        <w:tabs>
          <w:tab w:leader="none" w:pos="1760" w:val="left"/>
        </w:tabs>
        <w:numPr>
          <w:ilvl w:val="1"/>
          <w:numId w:val="121"/>
        </w:numPr>
        <w:rPr>
          <w:rFonts w:ascii="Arial" w:cs="Arial" w:eastAsia="Arial" w:hAnsi="Arial"/>
          <w:sz w:val="17"/>
          <w:szCs w:val="17"/>
          <w:color w:val="auto"/>
        </w:rPr>
      </w:pPr>
      <w:r>
        <w:rPr>
          <w:rFonts w:ascii="Arial" w:cs="Arial" w:eastAsia="Arial" w:hAnsi="Arial"/>
          <w:sz w:val="17"/>
          <w:szCs w:val="17"/>
          <w:color w:val="auto"/>
        </w:rPr>
        <w:t>In April 2021, we issued to investors an aggregate of 78,211,116 shares of Series B convertible preferred stock at a purchase price of $1.35 per share, for aggregate consideration of approximately $105.6 million.</w:t>
      </w:r>
    </w:p>
    <w:p>
      <w:pPr>
        <w:spacing w:after="0" w:line="58" w:lineRule="exact"/>
        <w:rPr>
          <w:rFonts w:ascii="Arial" w:cs="Arial" w:eastAsia="Arial" w:hAnsi="Arial"/>
          <w:sz w:val="17"/>
          <w:szCs w:val="17"/>
          <w:color w:val="auto"/>
        </w:rPr>
      </w:pPr>
    </w:p>
    <w:p>
      <w:pPr>
        <w:ind w:left="1760" w:right="340" w:hanging="416"/>
        <w:spacing w:after="0" w:line="270" w:lineRule="auto"/>
        <w:tabs>
          <w:tab w:leader="none" w:pos="1760" w:val="left"/>
        </w:tabs>
        <w:numPr>
          <w:ilvl w:val="1"/>
          <w:numId w:val="121"/>
        </w:numPr>
        <w:rPr>
          <w:rFonts w:ascii="Arial" w:cs="Arial" w:eastAsia="Arial" w:hAnsi="Arial"/>
          <w:sz w:val="17"/>
          <w:szCs w:val="17"/>
          <w:color w:val="auto"/>
        </w:rPr>
      </w:pPr>
      <w:r>
        <w:rPr>
          <w:rFonts w:ascii="Arial" w:cs="Arial" w:eastAsia="Arial" w:hAnsi="Arial"/>
          <w:sz w:val="17"/>
          <w:szCs w:val="17"/>
          <w:color w:val="auto"/>
        </w:rPr>
        <w:t>In April and May 2023, we issued to investors an aggregate of 142,857,138 shares of Series C convertible preferred stock at a purchase price of $0.70 per share, for aggregate consideration of approximately $100.0 million.</w:t>
      </w:r>
    </w:p>
    <w:p>
      <w:pPr>
        <w:spacing w:after="0" w:line="148" w:lineRule="exact"/>
        <w:rPr>
          <w:sz w:val="20"/>
          <w:szCs w:val="20"/>
          <w:color w:val="auto"/>
        </w:rPr>
      </w:pPr>
    </w:p>
    <w:p>
      <w:pPr>
        <w:ind w:left="420" w:right="120" w:firstLine="521"/>
        <w:spacing w:after="0" w:line="239" w:lineRule="auto"/>
        <w:rPr>
          <w:sz w:val="20"/>
          <w:szCs w:val="20"/>
          <w:color w:val="auto"/>
        </w:rPr>
      </w:pPr>
      <w:r>
        <w:rPr>
          <w:rFonts w:ascii="Arial" w:cs="Arial" w:eastAsia="Arial" w:hAnsi="Arial"/>
          <w:sz w:val="17"/>
          <w:szCs w:val="17"/>
          <w:color w:val="auto"/>
        </w:rPr>
        <w:t>No underwriters were involved in the foregoing issuances of securities. The securities described in this section (a) of Item 15 were issued to investors in reliance upon the exemption from the registration requirements of the Securities Act, as set forth in Section 4(a)(2) under the Securities Act and Regulation D promulgated thereunder, for transactions by an issuer not involving any public offering, to the extent an exemption from such registration was required. All holders of securities described above represented to us in connection with their purchase or issuance that they were accredited investors and were acquiring the securities for their own account for investment purposes only and not with a view to, or for sale in connection with, any distribution thereof and that they could bear the risks of the investment and could hold the securities for an indefinite period of time. The holders received written disclosures that the securities had not been registered under the Securities Act and that any resale must be made pursuant to a registration statement or an available exemption from such registration.</w:t>
      </w:r>
    </w:p>
    <w:p>
      <w:pPr>
        <w:spacing w:after="0" w:line="88" w:lineRule="exact"/>
        <w:rPr>
          <w:sz w:val="20"/>
          <w:szCs w:val="20"/>
          <w:color w:val="auto"/>
        </w:rPr>
      </w:pPr>
    </w:p>
    <w:p>
      <w:pPr>
        <w:ind w:left="1340" w:hanging="520"/>
        <w:spacing w:after="0"/>
        <w:tabs>
          <w:tab w:leader="none" w:pos="13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Grants of Stock Options</w:t>
      </w:r>
    </w:p>
    <w:p>
      <w:pPr>
        <w:spacing w:after="0" w:line="111" w:lineRule="exact"/>
        <w:rPr>
          <w:rFonts w:ascii="Arial" w:cs="Arial" w:eastAsia="Arial" w:hAnsi="Arial"/>
          <w:sz w:val="17"/>
          <w:szCs w:val="17"/>
          <w:color w:val="auto"/>
        </w:rPr>
      </w:pPr>
    </w:p>
    <w:p>
      <w:pPr>
        <w:ind w:left="1760" w:right="60" w:hanging="416"/>
        <w:spacing w:after="0" w:line="242" w:lineRule="auto"/>
        <w:tabs>
          <w:tab w:leader="none" w:pos="176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From January 1, 2021 through the date of this registration statement, we granted stock options to purchase an aggregate of 3,499,593 shares of our common stock at a weighted-average exercise price of $5.25 per share, to certain of our employees, consultants, and directors in connection with services provided to us by such persons. The foregoing numbers give effect to a repricing of an aggregate of 1,019,029 outstanding stock options in June 2023, following which all such options as of such date were modified to have an exercise price of $4.10 per share. 38,848 of these options have been exercised and 63,689 have been cancelled through the date of this registration statement.</w:t>
      </w:r>
    </w:p>
    <w:p>
      <w:pPr>
        <w:spacing w:after="0" w:line="172" w:lineRule="exact"/>
        <w:rPr>
          <w:sz w:val="20"/>
          <w:szCs w:val="20"/>
          <w:color w:val="auto"/>
        </w:rPr>
      </w:pPr>
    </w:p>
    <w:p>
      <w:pPr>
        <w:ind w:left="420" w:firstLine="521"/>
        <w:spacing w:after="0" w:line="242" w:lineRule="auto"/>
        <w:rPr>
          <w:sz w:val="20"/>
          <w:szCs w:val="20"/>
          <w:color w:val="auto"/>
        </w:rPr>
      </w:pPr>
      <w:r>
        <w:rPr>
          <w:rFonts w:ascii="Arial" w:cs="Arial" w:eastAsia="Arial" w:hAnsi="Arial"/>
          <w:sz w:val="17"/>
          <w:szCs w:val="17"/>
          <w:color w:val="auto"/>
        </w:rPr>
        <w:t>The stock options and common stock issuable upon exercise of such options as described in this section (b) of Item 15 were issued pursuant to written compensatory plans or arrangements with our employees and directors, in reliance on the exemption from the registration requirements of the Securities Act provided by Rule 701 promulgated under the Securities Act or the exemption set forth in Section 4(a)(2) under the Securities Act and Regulation D promulgated thereunder relative to transactions by an issuer not involving any public offering. All recipients either received adequate information about us or had access, through employment or other relationships, to such information.</w:t>
      </w:r>
    </w:p>
    <w:p>
      <w:pPr>
        <w:spacing w:after="0" w:line="172" w:lineRule="exact"/>
        <w:rPr>
          <w:sz w:val="20"/>
          <w:szCs w:val="20"/>
          <w:color w:val="auto"/>
        </w:rPr>
      </w:pPr>
    </w:p>
    <w:p>
      <w:pPr>
        <w:ind w:left="420" w:right="260" w:firstLine="521"/>
        <w:spacing w:after="0" w:line="252" w:lineRule="auto"/>
        <w:rPr>
          <w:sz w:val="20"/>
          <w:szCs w:val="20"/>
          <w:color w:val="auto"/>
        </w:rPr>
      </w:pPr>
      <w:r>
        <w:rPr>
          <w:rFonts w:ascii="Arial" w:cs="Arial" w:eastAsia="Arial" w:hAnsi="Arial"/>
          <w:sz w:val="17"/>
          <w:szCs w:val="17"/>
          <w:color w:val="auto"/>
        </w:rPr>
        <w:t>All of the foregoing securities are deemed restricted securities for purposes of the Securities Act. All certificates representing the issued shares of capital stock described in this Item 15 included appropriate legends setting forth that the securities had not been registered and the applicable restrictions on transfer.</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II-3</w:t>
      </w:r>
    </w:p>
    <w:p>
      <w:pPr>
        <w:sectPr>
          <w:pgSz w:w="11900" w:h="16838" w:orient="portrait"/>
          <w:cols w:equalWidth="0" w:num="1">
            <w:col w:w="10820"/>
          </w:cols>
          <w:pgMar w:left="320" w:top="439" w:right="75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Item 16. Exhibits and Financial Statement Schedules.</w:t>
      </w:r>
    </w:p>
    <w:p>
      <w:pPr>
        <w:spacing w:after="0" w:line="111" w:lineRule="exact"/>
        <w:rPr>
          <w:sz w:val="20"/>
          <w:szCs w:val="20"/>
          <w:color w:val="auto"/>
        </w:rPr>
      </w:pPr>
    </w:p>
    <w:p>
      <w:pPr>
        <w:ind w:left="1440" w:hanging="518"/>
        <w:spacing w:after="0"/>
        <w:tabs>
          <w:tab w:leader="none" w:pos="1440" w:val="left"/>
        </w:tabs>
        <w:numPr>
          <w:ilvl w:val="0"/>
          <w:numId w:val="123"/>
        </w:numPr>
        <w:rPr>
          <w:rFonts w:ascii="Arial" w:cs="Arial" w:eastAsia="Arial" w:hAnsi="Arial"/>
          <w:sz w:val="17"/>
          <w:szCs w:val="17"/>
          <w:color w:val="auto"/>
        </w:rPr>
      </w:pPr>
      <w:r>
        <w:rPr>
          <w:rFonts w:ascii="Arial" w:cs="Arial" w:eastAsia="Arial" w:hAnsi="Arial"/>
          <w:sz w:val="17"/>
          <w:szCs w:val="17"/>
          <w:b w:val="1"/>
          <w:bCs w:val="1"/>
          <w:color w:val="auto"/>
        </w:rPr>
        <w:t xml:space="preserve">Exhibits. </w:t>
      </w:r>
      <w:r>
        <w:rPr>
          <w:rFonts w:ascii="Arial" w:cs="Arial" w:eastAsia="Arial" w:hAnsi="Arial"/>
          <w:sz w:val="17"/>
          <w:szCs w:val="17"/>
          <w:color w:val="auto"/>
        </w:rPr>
        <w:t>See Exhibit Index attached to this registration statement, which is incorporated by reference herein.</w:t>
      </w:r>
    </w:p>
    <w:p>
      <w:pPr>
        <w:spacing w:after="0" w:line="111" w:lineRule="exact"/>
        <w:rPr>
          <w:rFonts w:ascii="Arial" w:cs="Arial" w:eastAsia="Arial" w:hAnsi="Arial"/>
          <w:sz w:val="17"/>
          <w:szCs w:val="17"/>
          <w:color w:val="auto"/>
        </w:rPr>
      </w:pPr>
    </w:p>
    <w:p>
      <w:pPr>
        <w:ind w:left="1440" w:hanging="518"/>
        <w:spacing w:after="0" w:line="270" w:lineRule="auto"/>
        <w:tabs>
          <w:tab w:leader="none" w:pos="1440" w:val="left"/>
        </w:tabs>
        <w:numPr>
          <w:ilvl w:val="0"/>
          <w:numId w:val="123"/>
        </w:numPr>
        <w:rPr>
          <w:rFonts w:ascii="Arial" w:cs="Arial" w:eastAsia="Arial" w:hAnsi="Arial"/>
          <w:sz w:val="17"/>
          <w:szCs w:val="17"/>
          <w:color w:val="auto"/>
        </w:rPr>
      </w:pPr>
      <w:r>
        <w:rPr>
          <w:rFonts w:ascii="Arial" w:cs="Arial" w:eastAsia="Arial" w:hAnsi="Arial"/>
          <w:sz w:val="17"/>
          <w:szCs w:val="17"/>
          <w:b w:val="1"/>
          <w:bCs w:val="1"/>
          <w:color w:val="auto"/>
        </w:rPr>
        <w:t xml:space="preserve">Financial Statement Schedules. </w:t>
      </w:r>
      <w:r>
        <w:rPr>
          <w:rFonts w:ascii="Arial" w:cs="Arial" w:eastAsia="Arial" w:hAnsi="Arial"/>
          <w:sz w:val="17"/>
          <w:szCs w:val="17"/>
          <w:color w:val="auto"/>
        </w:rPr>
        <w:t>Schedules not listed above have been omitted because the information required to be set</w:t>
      </w:r>
      <w:r>
        <w:rPr>
          <w:rFonts w:ascii="Arial" w:cs="Arial" w:eastAsia="Arial" w:hAnsi="Arial"/>
          <w:sz w:val="17"/>
          <w:szCs w:val="17"/>
          <w:b w:val="1"/>
          <w:bCs w:val="1"/>
          <w:color w:val="auto"/>
        </w:rPr>
        <w:t xml:space="preserve"> </w:t>
      </w:r>
      <w:r>
        <w:rPr>
          <w:rFonts w:ascii="Arial" w:cs="Arial" w:eastAsia="Arial" w:hAnsi="Arial"/>
          <w:sz w:val="17"/>
          <w:szCs w:val="17"/>
          <w:color w:val="auto"/>
        </w:rPr>
        <w:t>forth therein is not applicable or is shown in the financial statements or notes thereto.</w:t>
      </w:r>
    </w:p>
    <w:p>
      <w:pPr>
        <w:spacing w:after="0" w:line="250"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Item 17. Undertakings.</w:t>
      </w:r>
    </w:p>
    <w:p>
      <w:pPr>
        <w:spacing w:after="0" w:line="98" w:lineRule="exact"/>
        <w:rPr>
          <w:sz w:val="20"/>
          <w:szCs w:val="20"/>
          <w:color w:val="auto"/>
        </w:rPr>
      </w:pPr>
    </w:p>
    <w:p>
      <w:pPr>
        <w:ind w:left="420" w:right="100" w:firstLine="521"/>
        <w:spacing w:after="0" w:line="252"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64" w:lineRule="exact"/>
        <w:rPr>
          <w:sz w:val="20"/>
          <w:szCs w:val="20"/>
          <w:color w:val="auto"/>
        </w:rPr>
      </w:pPr>
    </w:p>
    <w:p>
      <w:pPr>
        <w:ind w:left="420" w:firstLine="521"/>
        <w:spacing w:after="0"/>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4"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The undersigned hereby undertakes that:</w:t>
      </w:r>
    </w:p>
    <w:p>
      <w:pPr>
        <w:spacing w:after="0" w:line="111" w:lineRule="exact"/>
        <w:rPr>
          <w:sz w:val="20"/>
          <w:szCs w:val="20"/>
          <w:color w:val="auto"/>
        </w:rPr>
      </w:pPr>
    </w:p>
    <w:p>
      <w:pPr>
        <w:ind w:left="1440" w:hanging="518"/>
        <w:spacing w:after="0" w:line="247" w:lineRule="auto"/>
        <w:tabs>
          <w:tab w:leader="none" w:pos="144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76" w:lineRule="exact"/>
        <w:rPr>
          <w:rFonts w:ascii="Arial" w:cs="Arial" w:eastAsia="Arial" w:hAnsi="Arial"/>
          <w:sz w:val="17"/>
          <w:szCs w:val="17"/>
          <w:color w:val="auto"/>
        </w:rPr>
      </w:pPr>
    </w:p>
    <w:p>
      <w:pPr>
        <w:ind w:left="1440" w:right="60" w:hanging="518"/>
        <w:spacing w:after="0" w:line="252" w:lineRule="auto"/>
        <w:tabs>
          <w:tab w:leader="none" w:pos="144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0"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0760"/>
          </w:cols>
          <w:pgMar w:left="320" w:top="439" w:right="81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420" w:type="dxa"/>
        <w:tblCellMar>
          <w:top w:w="0" w:type="dxa"/>
          <w:left w:w="0" w:type="dxa"/>
          <w:bottom w:w="0" w:type="dxa"/>
          <w:right w:w="0" w:type="dxa"/>
        </w:tblCellMar>
      </w:tblPr>
      <w:tr>
        <w:trPr>
          <w:trHeight w:val="232"/>
        </w:trPr>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920" w:type="dxa"/>
            <w:vAlign w:val="bottom"/>
            <w:gridSpan w:val="5"/>
          </w:tcPr>
          <w:p>
            <w:pPr>
              <w:ind w:left="1180"/>
              <w:spacing w:after="0"/>
              <w:rPr>
                <w:sz w:val="20"/>
                <w:szCs w:val="20"/>
                <w:color w:val="auto"/>
              </w:rPr>
            </w:pPr>
            <w:r>
              <w:rPr>
                <w:rFonts w:ascii="Arial" w:cs="Arial" w:eastAsia="Arial" w:hAnsi="Arial"/>
                <w:sz w:val="17"/>
                <w:szCs w:val="17"/>
                <w:b w:val="1"/>
                <w:bCs w:val="1"/>
                <w:color w:val="auto"/>
              </w:rPr>
              <w:t>Exhibit Index</w:t>
            </w:r>
          </w:p>
        </w:tc>
      </w:tr>
      <w:tr>
        <w:trPr>
          <w:trHeight w:val="350"/>
        </w:trPr>
        <w:tc>
          <w:tcPr>
            <w:tcW w:w="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68"/>
        </w:trPr>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 xml:space="preserve">  Number </w:t>
            </w:r>
          </w:p>
        </w:tc>
        <w:tc>
          <w:tcPr>
            <w:tcW w:w="340" w:type="dxa"/>
            <w:vAlign w:val="bottom"/>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920" w:type="dxa"/>
            <w:vAlign w:val="bottom"/>
            <w:tcBorders>
              <w:bottom w:val="single" w:sz="8" w:color="auto"/>
            </w:tcBorders>
            <w:gridSpan w:val="5"/>
          </w:tcPr>
          <w:p>
            <w:pPr>
              <w:ind w:left="1520"/>
              <w:spacing w:after="0"/>
              <w:rPr>
                <w:sz w:val="20"/>
                <w:szCs w:val="20"/>
                <w:color w:val="auto"/>
              </w:rPr>
            </w:pPr>
            <w:r>
              <w:rPr>
                <w:rFonts w:ascii="Arial" w:cs="Arial" w:eastAsia="Arial" w:hAnsi="Arial"/>
                <w:sz w:val="14"/>
                <w:szCs w:val="14"/>
                <w:b w:val="1"/>
                <w:bCs w:val="1"/>
                <w:color w:val="auto"/>
              </w:rPr>
              <w:t>Description of Exhibit</w:t>
            </w:r>
          </w:p>
        </w:tc>
      </w:tr>
      <w:tr>
        <w:trPr>
          <w:trHeight w:val="256"/>
        </w:trPr>
        <w:tc>
          <w:tcPr>
            <w:tcW w:w="700" w:type="dxa"/>
            <w:vAlign w:val="bottom"/>
            <w:gridSpan w:val="2"/>
          </w:tcPr>
          <w:p>
            <w:pPr>
              <w:spacing w:after="0"/>
              <w:rPr>
                <w:sz w:val="20"/>
                <w:szCs w:val="20"/>
                <w:color w:val="auto"/>
              </w:rPr>
            </w:pPr>
            <w:r>
              <w:rPr>
                <w:rFonts w:ascii="Arial" w:cs="Arial" w:eastAsia="Arial" w:hAnsi="Arial"/>
                <w:sz w:val="17"/>
                <w:szCs w:val="17"/>
                <w:color w:val="auto"/>
              </w:rPr>
              <w:t>  1.1</w:t>
            </w:r>
          </w:p>
        </w:tc>
        <w:tc>
          <w:tcPr>
            <w:tcW w:w="340" w:type="dxa"/>
            <w:vAlign w:val="bottom"/>
          </w:tcPr>
          <w:p>
            <w:pPr>
              <w:spacing w:after="0"/>
              <w:rPr>
                <w:sz w:val="22"/>
                <w:szCs w:val="22"/>
                <w:color w:val="auto"/>
              </w:rPr>
            </w:pPr>
          </w:p>
        </w:tc>
        <w:tc>
          <w:tcPr>
            <w:tcW w:w="9380" w:type="dxa"/>
            <w:vAlign w:val="bottom"/>
            <w:gridSpan w:val="7"/>
          </w:tcPr>
          <w:p>
            <w:pPr>
              <w:spacing w:after="0"/>
              <w:rPr>
                <w:sz w:val="20"/>
                <w:szCs w:val="20"/>
                <w:color w:val="auto"/>
              </w:rPr>
            </w:pPr>
            <w:r>
              <w:rPr>
                <w:rFonts w:ascii="Arial" w:cs="Arial" w:eastAsia="Arial" w:hAnsi="Arial"/>
                <w:sz w:val="17"/>
                <w:szCs w:val="17"/>
                <w:color w:val="0000EE"/>
              </w:rPr>
              <w:t>Form of Underwriting Agreement</w:t>
            </w:r>
          </w:p>
        </w:tc>
      </w:tr>
      <w:tr>
        <w:trPr>
          <w:trHeight w:val="20"/>
        </w:trPr>
        <w:tc>
          <w:tcPr>
            <w:tcW w:w="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74"/>
        </w:trPr>
        <w:tc>
          <w:tcPr>
            <w:tcW w:w="700" w:type="dxa"/>
            <w:vAlign w:val="bottom"/>
            <w:gridSpan w:val="2"/>
          </w:tcPr>
          <w:p>
            <w:pPr>
              <w:spacing w:after="0"/>
              <w:rPr>
                <w:sz w:val="20"/>
                <w:szCs w:val="20"/>
                <w:color w:val="auto"/>
              </w:rPr>
            </w:pPr>
            <w:r>
              <w:rPr>
                <w:rFonts w:ascii="Arial" w:cs="Arial" w:eastAsia="Arial" w:hAnsi="Arial"/>
                <w:sz w:val="17"/>
                <w:szCs w:val="17"/>
                <w:color w:val="auto"/>
              </w:rPr>
              <w:t>  3.1</w:t>
            </w:r>
          </w:p>
        </w:tc>
        <w:tc>
          <w:tcPr>
            <w:tcW w:w="340" w:type="dxa"/>
            <w:vAlign w:val="bottom"/>
          </w:tcPr>
          <w:p>
            <w:pPr>
              <w:spacing w:after="0"/>
              <w:rPr>
                <w:sz w:val="23"/>
                <w:szCs w:val="23"/>
                <w:color w:val="auto"/>
              </w:rPr>
            </w:pPr>
          </w:p>
        </w:tc>
        <w:tc>
          <w:tcPr>
            <w:tcW w:w="632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w w:val="99"/>
              </w:rPr>
              <w:t>Amended and Restated Certificate of Incorporation, as amended (currently in effect)</w:t>
            </w:r>
          </w:p>
        </w:tc>
        <w:tc>
          <w:tcPr>
            <w:tcW w:w="3060" w:type="dxa"/>
            <w:vAlign w:val="bottom"/>
            <w:gridSpan w:val="3"/>
          </w:tcPr>
          <w:p>
            <w:pPr>
              <w:spacing w:after="0"/>
              <w:rPr>
                <w:sz w:val="23"/>
                <w:szCs w:val="23"/>
                <w:color w:val="auto"/>
              </w:rPr>
            </w:pPr>
          </w:p>
        </w:tc>
      </w:tr>
      <w:tr>
        <w:trPr>
          <w:trHeight w:val="274"/>
        </w:trPr>
        <w:tc>
          <w:tcPr>
            <w:tcW w:w="700" w:type="dxa"/>
            <w:vAlign w:val="bottom"/>
            <w:gridSpan w:val="2"/>
          </w:tcPr>
          <w:p>
            <w:pPr>
              <w:spacing w:after="0"/>
              <w:rPr>
                <w:sz w:val="20"/>
                <w:szCs w:val="20"/>
                <w:color w:val="auto"/>
              </w:rPr>
            </w:pPr>
            <w:r>
              <w:rPr>
                <w:rFonts w:ascii="Arial" w:cs="Arial" w:eastAsia="Arial" w:hAnsi="Arial"/>
                <w:sz w:val="17"/>
                <w:szCs w:val="17"/>
                <w:color w:val="auto"/>
              </w:rPr>
              <w:t>  3.2*</w:t>
            </w:r>
          </w:p>
        </w:tc>
        <w:tc>
          <w:tcPr>
            <w:tcW w:w="340" w:type="dxa"/>
            <w:vAlign w:val="bottom"/>
          </w:tcPr>
          <w:p>
            <w:pPr>
              <w:spacing w:after="0"/>
              <w:rPr>
                <w:sz w:val="23"/>
                <w:szCs w:val="23"/>
                <w:color w:val="auto"/>
              </w:rPr>
            </w:pPr>
          </w:p>
        </w:tc>
        <w:tc>
          <w:tcPr>
            <w:tcW w:w="2000" w:type="dxa"/>
            <w:vAlign w:val="bottom"/>
            <w:tcBorders>
              <w:bottom w:val="single" w:sz="8" w:color="0000EE"/>
            </w:tcBorders>
          </w:tcPr>
          <w:p>
            <w:pPr>
              <w:spacing w:after="0"/>
              <w:rPr>
                <w:rFonts w:ascii="Arial" w:cs="Arial" w:eastAsia="Arial" w:hAnsi="Arial"/>
                <w:sz w:val="17"/>
                <w:szCs w:val="17"/>
                <w:color w:val="0000EE"/>
                <w:w w:val="99"/>
              </w:rPr>
            </w:pPr>
            <w:hyperlink r:id="rId349">
              <w:r>
                <w:rPr>
                  <w:rFonts w:ascii="Arial" w:cs="Arial" w:eastAsia="Arial" w:hAnsi="Arial"/>
                  <w:sz w:val="17"/>
                  <w:szCs w:val="17"/>
                  <w:color w:val="0000EE"/>
                  <w:w w:val="99"/>
                </w:rPr>
                <w:t>Bylaws (currently in effect)</w:t>
              </w:r>
            </w:hyperlink>
          </w:p>
        </w:tc>
        <w:tc>
          <w:tcPr>
            <w:tcW w:w="7380" w:type="dxa"/>
            <w:vAlign w:val="bottom"/>
            <w:gridSpan w:val="6"/>
          </w:tcPr>
          <w:p>
            <w:pPr>
              <w:spacing w:after="0"/>
              <w:rPr>
                <w:sz w:val="23"/>
                <w:szCs w:val="23"/>
                <w:color w:val="auto"/>
              </w:rPr>
            </w:pPr>
          </w:p>
        </w:tc>
      </w:tr>
      <w:tr>
        <w:trPr>
          <w:trHeight w:val="274"/>
        </w:trPr>
        <w:tc>
          <w:tcPr>
            <w:tcW w:w="700" w:type="dxa"/>
            <w:vAlign w:val="bottom"/>
            <w:gridSpan w:val="2"/>
          </w:tcPr>
          <w:p>
            <w:pPr>
              <w:spacing w:after="0"/>
              <w:rPr>
                <w:sz w:val="20"/>
                <w:szCs w:val="20"/>
                <w:color w:val="auto"/>
              </w:rPr>
            </w:pPr>
            <w:r>
              <w:rPr>
                <w:rFonts w:ascii="Arial" w:cs="Arial" w:eastAsia="Arial" w:hAnsi="Arial"/>
                <w:sz w:val="17"/>
                <w:szCs w:val="17"/>
                <w:color w:val="auto"/>
              </w:rPr>
              <w:t>  3.3</w:t>
            </w:r>
          </w:p>
        </w:tc>
        <w:tc>
          <w:tcPr>
            <w:tcW w:w="340" w:type="dxa"/>
            <w:vAlign w:val="bottom"/>
          </w:tcPr>
          <w:p>
            <w:pPr>
              <w:spacing w:after="0"/>
              <w:rPr>
                <w:sz w:val="23"/>
                <w:szCs w:val="23"/>
                <w:color w:val="auto"/>
              </w:rPr>
            </w:pPr>
          </w:p>
        </w:tc>
        <w:tc>
          <w:tcPr>
            <w:tcW w:w="9200" w:type="dxa"/>
            <w:vAlign w:val="bottom"/>
            <w:tcBorders>
              <w:bottom w:val="single" w:sz="8" w:color="0000EE"/>
            </w:tcBorders>
            <w:gridSpan w:val="6"/>
          </w:tcPr>
          <w:p>
            <w:pPr>
              <w:spacing w:after="0"/>
              <w:rPr>
                <w:sz w:val="20"/>
                <w:szCs w:val="20"/>
                <w:color w:val="auto"/>
              </w:rPr>
            </w:pPr>
            <w:r>
              <w:rPr>
                <w:rFonts w:ascii="Arial" w:cs="Arial" w:eastAsia="Arial" w:hAnsi="Arial"/>
                <w:sz w:val="17"/>
                <w:szCs w:val="17"/>
                <w:color w:val="0000EE"/>
                <w:w w:val="99"/>
              </w:rPr>
              <w:t>Form of Amended and Restated Certificate of Incorporation (to be effective immediately prior to the closing of this offering)</w:t>
            </w:r>
          </w:p>
        </w:tc>
        <w:tc>
          <w:tcPr>
            <w:tcW w:w="180" w:type="dxa"/>
            <w:vAlign w:val="bottom"/>
          </w:tcPr>
          <w:p>
            <w:pPr>
              <w:spacing w:after="0"/>
              <w:rPr>
                <w:sz w:val="23"/>
                <w:szCs w:val="23"/>
                <w:color w:val="auto"/>
              </w:rPr>
            </w:pPr>
          </w:p>
        </w:tc>
      </w:tr>
      <w:tr>
        <w:trPr>
          <w:trHeight w:val="274"/>
        </w:trPr>
        <w:tc>
          <w:tcPr>
            <w:tcW w:w="700" w:type="dxa"/>
            <w:vAlign w:val="bottom"/>
            <w:gridSpan w:val="2"/>
          </w:tcPr>
          <w:p>
            <w:pPr>
              <w:spacing w:after="0"/>
              <w:rPr>
                <w:sz w:val="20"/>
                <w:szCs w:val="20"/>
                <w:color w:val="auto"/>
              </w:rPr>
            </w:pPr>
            <w:r>
              <w:rPr>
                <w:rFonts w:ascii="Arial" w:cs="Arial" w:eastAsia="Arial" w:hAnsi="Arial"/>
                <w:sz w:val="17"/>
                <w:szCs w:val="17"/>
                <w:color w:val="auto"/>
              </w:rPr>
              <w:t>  3.4</w:t>
            </w:r>
          </w:p>
        </w:tc>
        <w:tc>
          <w:tcPr>
            <w:tcW w:w="340" w:type="dxa"/>
            <w:vAlign w:val="bottom"/>
          </w:tcPr>
          <w:p>
            <w:pPr>
              <w:spacing w:after="0"/>
              <w:rPr>
                <w:sz w:val="23"/>
                <w:szCs w:val="23"/>
                <w:color w:val="auto"/>
              </w:rPr>
            </w:pPr>
          </w:p>
        </w:tc>
        <w:tc>
          <w:tcPr>
            <w:tcW w:w="7740" w:type="dxa"/>
            <w:vAlign w:val="bottom"/>
            <w:tcBorders>
              <w:bottom w:val="single" w:sz="8" w:color="0000EE"/>
            </w:tcBorders>
            <w:gridSpan w:val="5"/>
          </w:tcPr>
          <w:p>
            <w:pPr>
              <w:spacing w:after="0"/>
              <w:rPr>
                <w:sz w:val="20"/>
                <w:szCs w:val="20"/>
                <w:color w:val="auto"/>
              </w:rPr>
            </w:pPr>
            <w:r>
              <w:rPr>
                <w:rFonts w:ascii="Arial" w:cs="Arial" w:eastAsia="Arial" w:hAnsi="Arial"/>
                <w:sz w:val="17"/>
                <w:szCs w:val="17"/>
                <w:color w:val="0000EE"/>
                <w:w w:val="99"/>
              </w:rPr>
              <w:t>Form of Amended and Restated Bylaws (to be effective immediately prior to the closing of this offering)</w:t>
            </w:r>
          </w:p>
        </w:tc>
        <w:tc>
          <w:tcPr>
            <w:tcW w:w="1640" w:type="dxa"/>
            <w:vAlign w:val="bottom"/>
            <w:gridSpan w:val="2"/>
          </w:tcPr>
          <w:p>
            <w:pPr>
              <w:spacing w:after="0"/>
              <w:rPr>
                <w:sz w:val="23"/>
                <w:szCs w:val="23"/>
                <w:color w:val="auto"/>
              </w:rPr>
            </w:pPr>
          </w:p>
        </w:tc>
      </w:tr>
      <w:tr>
        <w:trPr>
          <w:trHeight w:val="274"/>
        </w:trPr>
        <w:tc>
          <w:tcPr>
            <w:tcW w:w="700" w:type="dxa"/>
            <w:vAlign w:val="bottom"/>
            <w:gridSpan w:val="2"/>
          </w:tcPr>
          <w:p>
            <w:pPr>
              <w:spacing w:after="0"/>
              <w:rPr>
                <w:sz w:val="20"/>
                <w:szCs w:val="20"/>
                <w:color w:val="auto"/>
              </w:rPr>
            </w:pPr>
            <w:r>
              <w:rPr>
                <w:rFonts w:ascii="Arial" w:cs="Arial" w:eastAsia="Arial" w:hAnsi="Arial"/>
                <w:sz w:val="17"/>
                <w:szCs w:val="17"/>
                <w:color w:val="auto"/>
              </w:rPr>
              <w:t>  4.1</w:t>
            </w:r>
          </w:p>
        </w:tc>
        <w:tc>
          <w:tcPr>
            <w:tcW w:w="340" w:type="dxa"/>
            <w:vAlign w:val="bottom"/>
          </w:tcPr>
          <w:p>
            <w:pPr>
              <w:spacing w:after="0"/>
              <w:rPr>
                <w:sz w:val="23"/>
                <w:szCs w:val="23"/>
                <w:color w:val="auto"/>
              </w:rPr>
            </w:pPr>
          </w:p>
        </w:tc>
        <w:tc>
          <w:tcPr>
            <w:tcW w:w="5020" w:type="dxa"/>
            <w:vAlign w:val="bottom"/>
            <w:tcBorders>
              <w:bottom w:val="single" w:sz="8" w:color="0000EE"/>
            </w:tcBorders>
            <w:gridSpan w:val="3"/>
          </w:tcPr>
          <w:p>
            <w:pPr>
              <w:spacing w:after="0"/>
              <w:rPr>
                <w:sz w:val="20"/>
                <w:szCs w:val="20"/>
                <w:color w:val="auto"/>
              </w:rPr>
            </w:pPr>
            <w:r>
              <w:rPr>
                <w:rFonts w:ascii="Arial" w:cs="Arial" w:eastAsia="Arial" w:hAnsi="Arial"/>
                <w:sz w:val="17"/>
                <w:szCs w:val="17"/>
                <w:color w:val="0000EE"/>
                <w:w w:val="99"/>
              </w:rPr>
              <w:t>Specimen stock certificate evidencing the shares of common stock</w:t>
            </w:r>
          </w:p>
        </w:tc>
        <w:tc>
          <w:tcPr>
            <w:tcW w:w="4360" w:type="dxa"/>
            <w:vAlign w:val="bottom"/>
            <w:gridSpan w:val="4"/>
          </w:tcPr>
          <w:p>
            <w:pPr>
              <w:spacing w:after="0"/>
              <w:rPr>
                <w:sz w:val="23"/>
                <w:szCs w:val="23"/>
                <w:color w:val="auto"/>
              </w:rPr>
            </w:pPr>
          </w:p>
        </w:tc>
      </w:tr>
    </w:tbl>
    <w:p>
      <w:pPr>
        <w:spacing w:after="0" w:line="98" w:lineRule="exact"/>
        <w:rPr>
          <w:sz w:val="20"/>
          <w:szCs w:val="20"/>
          <w:color w:val="auto"/>
        </w:rPr>
      </w:pPr>
    </w:p>
    <w:p>
      <w:pPr>
        <w:ind w:left="1460" w:right="340" w:hanging="1049"/>
        <w:spacing w:after="0" w:line="270" w:lineRule="auto"/>
        <w:tabs>
          <w:tab w:leader="none" w:pos="507" w:val="left"/>
        </w:tabs>
        <w:numPr>
          <w:ilvl w:val="0"/>
          <w:numId w:val="125"/>
        </w:numPr>
        <w:rPr>
          <w:rFonts w:ascii="Arial" w:cs="Arial" w:eastAsia="Arial" w:hAnsi="Arial"/>
          <w:sz w:val="17"/>
          <w:szCs w:val="17"/>
          <w:u w:val="single" w:color="auto"/>
          <w:color w:val="0000EE"/>
        </w:rPr>
      </w:pPr>
      <w:r>
        <w:rPr>
          <w:rFonts w:ascii="Arial" w:cs="Arial" w:eastAsia="Arial" w:hAnsi="Arial"/>
          <w:sz w:val="17"/>
          <w:szCs w:val="17"/>
          <w:color w:val="auto"/>
        </w:rPr>
        <w:t>4.2*</w:t>
      </w:r>
      <w:hyperlink r:id="rId350">
        <w:r>
          <w:rPr>
            <w:rFonts w:ascii="Arial" w:cs="Arial" w:eastAsia="Arial" w:hAnsi="Arial"/>
            <w:sz w:val="17"/>
            <w:szCs w:val="17"/>
            <w:u w:val="single" w:color="auto"/>
            <w:color w:val="0000EE"/>
          </w:rPr>
          <w:t>Amended and Restated Investor Rights’ Agreement, dated April 5, 2023, by and among the Registrant and certain of its</w:t>
        </w:r>
      </w:hyperlink>
      <w:r>
        <w:rPr>
          <w:rFonts w:ascii="Arial" w:cs="Arial" w:eastAsia="Arial" w:hAnsi="Arial"/>
          <w:sz w:val="17"/>
          <w:szCs w:val="17"/>
          <w:u w:val="single" w:color="auto"/>
          <w:color w:val="0000EE"/>
        </w:rPr>
        <w:t xml:space="preserve"> </w:t>
      </w:r>
      <w:hyperlink r:id="rId350">
        <w:r>
          <w:rPr>
            <w:rFonts w:ascii="Arial" w:cs="Arial" w:eastAsia="Arial" w:hAnsi="Arial"/>
            <w:sz w:val="17"/>
            <w:szCs w:val="17"/>
            <w:u w:val="single" w:color="auto"/>
            <w:color w:val="0000EE"/>
          </w:rPr>
          <w:t>stockholders</w:t>
        </w:r>
      </w:hyperlink>
    </w:p>
    <w:p>
      <w:pPr>
        <w:spacing w:after="0" w:line="33" w:lineRule="exact"/>
        <w:rPr>
          <w:rFonts w:ascii="Arial" w:cs="Arial" w:eastAsia="Arial" w:hAnsi="Arial"/>
          <w:sz w:val="17"/>
          <w:szCs w:val="17"/>
          <w:color w:val="auto"/>
        </w:rPr>
      </w:pPr>
    </w:p>
    <w:tbl>
      <w:tblPr>
        <w:tblLayout w:type="fixed"/>
        <w:tblInd w:w="420" w:type="dxa"/>
        <w:tblCellMar>
          <w:top w:w="0" w:type="dxa"/>
          <w:left w:w="0" w:type="dxa"/>
          <w:bottom w:w="0" w:type="dxa"/>
          <w:right w:w="0" w:type="dxa"/>
        </w:tblCellMar>
      </w:tblPr>
      <w:tr>
        <w:trPr>
          <w:trHeight w:val="195"/>
        </w:trPr>
        <w:tc>
          <w:tcPr>
            <w:tcW w:w="1040" w:type="dxa"/>
            <w:vAlign w:val="bottom"/>
          </w:tcPr>
          <w:p>
            <w:pPr>
              <w:spacing w:after="0"/>
              <w:rPr>
                <w:sz w:val="20"/>
                <w:szCs w:val="20"/>
                <w:color w:val="auto"/>
              </w:rPr>
            </w:pPr>
            <w:r>
              <w:rPr>
                <w:rFonts w:ascii="Arial" w:cs="Arial" w:eastAsia="Arial" w:hAnsi="Arial"/>
                <w:sz w:val="17"/>
                <w:szCs w:val="17"/>
                <w:color w:val="auto"/>
              </w:rPr>
              <w:t>  5.1</w:t>
            </w:r>
          </w:p>
        </w:tc>
        <w:tc>
          <w:tcPr>
            <w:tcW w:w="9300" w:type="dxa"/>
            <w:vAlign w:val="bottom"/>
            <w:gridSpan w:val="20"/>
          </w:tcPr>
          <w:p>
            <w:pPr>
              <w:spacing w:after="0"/>
              <w:rPr>
                <w:sz w:val="20"/>
                <w:szCs w:val="20"/>
                <w:color w:val="auto"/>
              </w:rPr>
            </w:pPr>
            <w:r>
              <w:rPr>
                <w:rFonts w:ascii="Arial" w:cs="Arial" w:eastAsia="Arial" w:hAnsi="Arial"/>
                <w:sz w:val="17"/>
                <w:szCs w:val="17"/>
                <w:color w:val="0000EE"/>
              </w:rPr>
              <w:t>Opinion of Latham &amp; Watkins LLP</w:t>
            </w:r>
          </w:p>
        </w:tc>
      </w:tr>
      <w:tr>
        <w:trPr>
          <w:trHeight w:val="20"/>
        </w:trPr>
        <w:tc>
          <w:tcPr>
            <w:tcW w:w="10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4"/>
        </w:trPr>
        <w:tc>
          <w:tcPr>
            <w:tcW w:w="1040" w:type="dxa"/>
            <w:vAlign w:val="bottom"/>
          </w:tcPr>
          <w:p>
            <w:pPr>
              <w:spacing w:after="0"/>
              <w:rPr>
                <w:sz w:val="20"/>
                <w:szCs w:val="20"/>
                <w:color w:val="auto"/>
              </w:rPr>
            </w:pPr>
            <w:r>
              <w:rPr>
                <w:rFonts w:ascii="Arial" w:cs="Arial" w:eastAsia="Arial" w:hAnsi="Arial"/>
                <w:sz w:val="17"/>
                <w:szCs w:val="17"/>
                <w:color w:val="auto"/>
              </w:rPr>
              <w:t>10.1#*</w:t>
            </w:r>
          </w:p>
        </w:tc>
        <w:tc>
          <w:tcPr>
            <w:tcW w:w="9300" w:type="dxa"/>
            <w:vAlign w:val="bottom"/>
            <w:gridSpan w:val="20"/>
          </w:tcPr>
          <w:p>
            <w:pPr>
              <w:spacing w:after="0"/>
              <w:rPr>
                <w:rFonts w:ascii="Arial" w:cs="Arial" w:eastAsia="Arial" w:hAnsi="Arial"/>
                <w:sz w:val="17"/>
                <w:szCs w:val="17"/>
                <w:color w:val="0000EE"/>
              </w:rPr>
            </w:pPr>
            <w:hyperlink r:id="rId351">
              <w:r>
                <w:rPr>
                  <w:rFonts w:ascii="Arial" w:cs="Arial" w:eastAsia="Arial" w:hAnsi="Arial"/>
                  <w:sz w:val="17"/>
                  <w:szCs w:val="17"/>
                  <w:color w:val="0000EE"/>
                </w:rPr>
                <w:t>Boundless Bio, Inc. 2018 Equity Incentive Plan, as amended, and form of stock option agreement and form of restricted</w:t>
              </w:r>
            </w:hyperlink>
          </w:p>
        </w:tc>
      </w:tr>
      <w:tr>
        <w:trPr>
          <w:trHeight w:val="172"/>
        </w:trPr>
        <w:tc>
          <w:tcPr>
            <w:tcW w:w="1040" w:type="dxa"/>
            <w:vAlign w:val="bottom"/>
          </w:tcPr>
          <w:p>
            <w:pPr>
              <w:spacing w:after="0"/>
              <w:rPr>
                <w:sz w:val="14"/>
                <w:szCs w:val="14"/>
                <w:color w:val="auto"/>
              </w:rPr>
            </w:pPr>
          </w:p>
        </w:tc>
        <w:tc>
          <w:tcPr>
            <w:tcW w:w="8980" w:type="dxa"/>
            <w:vAlign w:val="bottom"/>
            <w:tcBorders>
              <w:top w:val="single" w:sz="8" w:color="0000EE"/>
            </w:tcBorders>
            <w:gridSpan w:val="15"/>
          </w:tcPr>
          <w:p>
            <w:pPr>
              <w:spacing w:after="0" w:line="172" w:lineRule="exact"/>
              <w:rPr>
                <w:rFonts w:ascii="Arial" w:cs="Arial" w:eastAsia="Arial" w:hAnsi="Arial"/>
                <w:sz w:val="17"/>
                <w:szCs w:val="17"/>
                <w:color w:val="0000EE"/>
              </w:rPr>
            </w:pPr>
            <w:hyperlink r:id="rId351">
              <w:r>
                <w:rPr>
                  <w:rFonts w:ascii="Arial" w:cs="Arial" w:eastAsia="Arial" w:hAnsi="Arial"/>
                  <w:sz w:val="17"/>
                  <w:szCs w:val="17"/>
                  <w:color w:val="0000EE"/>
                </w:rPr>
                <w:t>stock agreement thereunder</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4"/>
        </w:trPr>
        <w:tc>
          <w:tcPr>
            <w:tcW w:w="1040" w:type="dxa"/>
            <w:vAlign w:val="bottom"/>
          </w:tcPr>
          <w:p>
            <w:pPr>
              <w:spacing w:after="0"/>
              <w:rPr>
                <w:sz w:val="20"/>
                <w:szCs w:val="20"/>
                <w:color w:val="auto"/>
              </w:rPr>
            </w:pPr>
            <w:r>
              <w:rPr>
                <w:rFonts w:ascii="Arial" w:cs="Arial" w:eastAsia="Arial" w:hAnsi="Arial"/>
                <w:sz w:val="17"/>
                <w:szCs w:val="17"/>
                <w:color w:val="auto"/>
              </w:rPr>
              <w:t>10.2#</w:t>
            </w:r>
          </w:p>
        </w:tc>
        <w:tc>
          <w:tcPr>
            <w:tcW w:w="9300" w:type="dxa"/>
            <w:vAlign w:val="bottom"/>
            <w:gridSpan w:val="20"/>
          </w:tcPr>
          <w:p>
            <w:pPr>
              <w:spacing w:after="0"/>
              <w:rPr>
                <w:sz w:val="20"/>
                <w:szCs w:val="20"/>
                <w:color w:val="auto"/>
              </w:rPr>
            </w:pPr>
            <w:r>
              <w:rPr>
                <w:rFonts w:ascii="Arial" w:cs="Arial" w:eastAsia="Arial" w:hAnsi="Arial"/>
                <w:sz w:val="17"/>
                <w:szCs w:val="17"/>
                <w:color w:val="0000EE"/>
              </w:rPr>
              <w:t>Boundless Bio, Inc. 2024 Incentive Award Plan and form of stock option agreement and form of restricted stock unit</w:t>
            </w:r>
          </w:p>
        </w:tc>
      </w:tr>
      <w:tr>
        <w:trPr>
          <w:trHeight w:val="172"/>
        </w:trPr>
        <w:tc>
          <w:tcPr>
            <w:tcW w:w="1040" w:type="dxa"/>
            <w:vAlign w:val="bottom"/>
          </w:tcPr>
          <w:p>
            <w:pPr>
              <w:spacing w:after="0"/>
              <w:rPr>
                <w:sz w:val="14"/>
                <w:szCs w:val="14"/>
                <w:color w:val="auto"/>
              </w:rPr>
            </w:pPr>
          </w:p>
        </w:tc>
        <w:tc>
          <w:tcPr>
            <w:tcW w:w="8680" w:type="dxa"/>
            <w:vAlign w:val="bottom"/>
            <w:tcBorders>
              <w:top w:val="single" w:sz="8" w:color="0000EE"/>
            </w:tcBorders>
            <w:gridSpan w:val="12"/>
          </w:tcPr>
          <w:p>
            <w:pPr>
              <w:spacing w:after="0" w:line="172" w:lineRule="exact"/>
              <w:rPr>
                <w:sz w:val="20"/>
                <w:szCs w:val="20"/>
                <w:color w:val="auto"/>
              </w:rPr>
            </w:pPr>
            <w:r>
              <w:rPr>
                <w:rFonts w:ascii="Arial" w:cs="Arial" w:eastAsia="Arial" w:hAnsi="Arial"/>
                <w:sz w:val="17"/>
                <w:szCs w:val="17"/>
                <w:color w:val="0000EE"/>
              </w:rPr>
              <w:t>agreement thereunder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4"/>
        </w:trPr>
        <w:tc>
          <w:tcPr>
            <w:tcW w:w="1040" w:type="dxa"/>
            <w:vAlign w:val="bottom"/>
          </w:tcPr>
          <w:p>
            <w:pPr>
              <w:spacing w:after="0"/>
              <w:rPr>
                <w:sz w:val="20"/>
                <w:szCs w:val="20"/>
                <w:color w:val="auto"/>
              </w:rPr>
            </w:pPr>
            <w:r>
              <w:rPr>
                <w:rFonts w:ascii="Arial" w:cs="Arial" w:eastAsia="Arial" w:hAnsi="Arial"/>
                <w:sz w:val="17"/>
                <w:szCs w:val="17"/>
                <w:color w:val="auto"/>
              </w:rPr>
              <w:t>10.3#</w:t>
            </w:r>
          </w:p>
        </w:tc>
        <w:tc>
          <w:tcPr>
            <w:tcW w:w="4320" w:type="dxa"/>
            <w:vAlign w:val="bottom"/>
            <w:tcBorders>
              <w:bottom w:val="single" w:sz="8" w:color="0000EE"/>
            </w:tcBorders>
            <w:gridSpan w:val="8"/>
          </w:tcPr>
          <w:p>
            <w:pPr>
              <w:spacing w:after="0"/>
              <w:rPr>
                <w:sz w:val="20"/>
                <w:szCs w:val="20"/>
                <w:color w:val="auto"/>
              </w:rPr>
            </w:pPr>
            <w:r>
              <w:rPr>
                <w:rFonts w:ascii="Arial" w:cs="Arial" w:eastAsia="Arial" w:hAnsi="Arial"/>
                <w:sz w:val="17"/>
                <w:szCs w:val="17"/>
                <w:color w:val="0000EE"/>
                <w:w w:val="99"/>
              </w:rPr>
              <w:t>Boundless Bio, Inc. 2024 Employee Stock Purchase Plan</w:t>
            </w:r>
          </w:p>
        </w:tc>
        <w:tc>
          <w:tcPr>
            <w:tcW w:w="4980" w:type="dxa"/>
            <w:vAlign w:val="bottom"/>
            <w:gridSpan w:val="12"/>
          </w:tcPr>
          <w:p>
            <w:pPr>
              <w:spacing w:after="0"/>
              <w:rPr>
                <w:sz w:val="23"/>
                <w:szCs w:val="23"/>
                <w:color w:val="auto"/>
              </w:rPr>
            </w:pPr>
          </w:p>
        </w:tc>
      </w:tr>
      <w:tr>
        <w:trPr>
          <w:trHeight w:val="274"/>
        </w:trPr>
        <w:tc>
          <w:tcPr>
            <w:tcW w:w="1040" w:type="dxa"/>
            <w:vAlign w:val="bottom"/>
          </w:tcPr>
          <w:p>
            <w:pPr>
              <w:spacing w:after="0"/>
              <w:rPr>
                <w:sz w:val="20"/>
                <w:szCs w:val="20"/>
                <w:color w:val="auto"/>
              </w:rPr>
            </w:pPr>
            <w:r>
              <w:rPr>
                <w:rFonts w:ascii="Arial" w:cs="Arial" w:eastAsia="Arial" w:hAnsi="Arial"/>
                <w:sz w:val="17"/>
                <w:szCs w:val="17"/>
                <w:color w:val="auto"/>
              </w:rPr>
              <w:t>10.4#</w:t>
            </w:r>
          </w:p>
        </w:tc>
        <w:tc>
          <w:tcPr>
            <w:tcW w:w="3620" w:type="dxa"/>
            <w:vAlign w:val="bottom"/>
            <w:tcBorders>
              <w:bottom w:val="single" w:sz="8" w:color="0000EE"/>
            </w:tcBorders>
            <w:gridSpan w:val="7"/>
          </w:tcPr>
          <w:p>
            <w:pPr>
              <w:spacing w:after="0"/>
              <w:rPr>
                <w:sz w:val="20"/>
                <w:szCs w:val="20"/>
                <w:color w:val="auto"/>
              </w:rPr>
            </w:pPr>
            <w:r>
              <w:rPr>
                <w:rFonts w:ascii="Arial" w:cs="Arial" w:eastAsia="Arial" w:hAnsi="Arial"/>
                <w:sz w:val="17"/>
                <w:szCs w:val="17"/>
                <w:color w:val="0000EE"/>
                <w:w w:val="99"/>
              </w:rPr>
              <w:t>Non-Employee Director Compensation Program</w:t>
            </w:r>
          </w:p>
        </w:tc>
        <w:tc>
          <w:tcPr>
            <w:tcW w:w="5680" w:type="dxa"/>
            <w:vAlign w:val="bottom"/>
            <w:gridSpan w:val="13"/>
          </w:tcPr>
          <w:p>
            <w:pPr>
              <w:spacing w:after="0"/>
              <w:rPr>
                <w:sz w:val="23"/>
                <w:szCs w:val="23"/>
                <w:color w:val="auto"/>
              </w:rPr>
            </w:pPr>
          </w:p>
        </w:tc>
      </w:tr>
      <w:tr>
        <w:trPr>
          <w:trHeight w:val="274"/>
        </w:trPr>
        <w:tc>
          <w:tcPr>
            <w:tcW w:w="1040" w:type="dxa"/>
            <w:vAlign w:val="bottom"/>
          </w:tcPr>
          <w:p>
            <w:pPr>
              <w:spacing w:after="0"/>
              <w:rPr>
                <w:sz w:val="20"/>
                <w:szCs w:val="20"/>
                <w:color w:val="auto"/>
              </w:rPr>
            </w:pPr>
            <w:r>
              <w:rPr>
                <w:rFonts w:ascii="Arial" w:cs="Arial" w:eastAsia="Arial" w:hAnsi="Arial"/>
                <w:sz w:val="17"/>
                <w:szCs w:val="17"/>
                <w:color w:val="auto"/>
              </w:rPr>
              <w:t>10.5#*</w:t>
            </w:r>
          </w:p>
        </w:tc>
        <w:tc>
          <w:tcPr>
            <w:tcW w:w="8180" w:type="dxa"/>
            <w:vAlign w:val="bottom"/>
            <w:tcBorders>
              <w:bottom w:val="single" w:sz="8" w:color="0000EE"/>
            </w:tcBorders>
            <w:gridSpan w:val="11"/>
          </w:tcPr>
          <w:p>
            <w:pPr>
              <w:spacing w:after="0"/>
              <w:rPr>
                <w:rFonts w:ascii="Arial" w:cs="Arial" w:eastAsia="Arial" w:hAnsi="Arial"/>
                <w:sz w:val="17"/>
                <w:szCs w:val="17"/>
                <w:color w:val="0000EE"/>
                <w:w w:val="99"/>
              </w:rPr>
            </w:pPr>
            <w:hyperlink r:id="rId352">
              <w:r>
                <w:rPr>
                  <w:rFonts w:ascii="Arial" w:cs="Arial" w:eastAsia="Arial" w:hAnsi="Arial"/>
                  <w:sz w:val="17"/>
                  <w:szCs w:val="17"/>
                  <w:color w:val="0000EE"/>
                  <w:w w:val="99"/>
                </w:rPr>
                <w:t>Employment Offer Letter Agreement, dated January 1, 2020, between Zachary D. Hornby and the Registrant</w:t>
              </w:r>
            </w:hyperlink>
          </w:p>
        </w:tc>
        <w:tc>
          <w:tcPr>
            <w:tcW w:w="1120" w:type="dxa"/>
            <w:vAlign w:val="bottom"/>
            <w:gridSpan w:val="9"/>
          </w:tcPr>
          <w:p>
            <w:pPr>
              <w:spacing w:after="0"/>
              <w:rPr>
                <w:sz w:val="23"/>
                <w:szCs w:val="23"/>
                <w:color w:val="auto"/>
              </w:rPr>
            </w:pPr>
          </w:p>
        </w:tc>
      </w:tr>
      <w:tr>
        <w:trPr>
          <w:trHeight w:val="274"/>
        </w:trPr>
        <w:tc>
          <w:tcPr>
            <w:tcW w:w="1040" w:type="dxa"/>
            <w:vAlign w:val="bottom"/>
          </w:tcPr>
          <w:p>
            <w:pPr>
              <w:spacing w:after="0"/>
              <w:rPr>
                <w:sz w:val="20"/>
                <w:szCs w:val="20"/>
                <w:color w:val="auto"/>
              </w:rPr>
            </w:pPr>
            <w:r>
              <w:rPr>
                <w:rFonts w:ascii="Arial" w:cs="Arial" w:eastAsia="Arial" w:hAnsi="Arial"/>
                <w:sz w:val="17"/>
                <w:szCs w:val="17"/>
                <w:color w:val="auto"/>
              </w:rPr>
              <w:t>10.6#*</w:t>
            </w:r>
          </w:p>
        </w:tc>
        <w:tc>
          <w:tcPr>
            <w:tcW w:w="9300" w:type="dxa"/>
            <w:vAlign w:val="bottom"/>
            <w:gridSpan w:val="20"/>
          </w:tcPr>
          <w:p>
            <w:pPr>
              <w:spacing w:after="0"/>
              <w:rPr>
                <w:rFonts w:ascii="Arial" w:cs="Arial" w:eastAsia="Arial" w:hAnsi="Arial"/>
                <w:sz w:val="17"/>
                <w:szCs w:val="17"/>
                <w:color w:val="0000EE"/>
              </w:rPr>
            </w:pPr>
            <w:hyperlink r:id="rId353">
              <w:r>
                <w:rPr>
                  <w:rFonts w:ascii="Arial" w:cs="Arial" w:eastAsia="Arial" w:hAnsi="Arial"/>
                  <w:sz w:val="17"/>
                  <w:szCs w:val="17"/>
                  <w:color w:val="0000EE"/>
                </w:rPr>
                <w:t>Amended and Restated Employment Offer Letter Agreement, dated March 5, 2024, between Zachary D. Hornby and the</w:t>
              </w:r>
            </w:hyperlink>
          </w:p>
        </w:tc>
      </w:tr>
      <w:tr>
        <w:trPr>
          <w:trHeight w:val="172"/>
        </w:trPr>
        <w:tc>
          <w:tcPr>
            <w:tcW w:w="1040" w:type="dxa"/>
            <w:vAlign w:val="bottom"/>
          </w:tcPr>
          <w:p>
            <w:pPr>
              <w:spacing w:after="0"/>
              <w:rPr>
                <w:sz w:val="14"/>
                <w:szCs w:val="14"/>
                <w:color w:val="auto"/>
              </w:rPr>
            </w:pPr>
          </w:p>
        </w:tc>
        <w:tc>
          <w:tcPr>
            <w:tcW w:w="780" w:type="dxa"/>
            <w:vAlign w:val="bottom"/>
            <w:tcBorders>
              <w:top w:val="single" w:sz="8" w:color="0000EE"/>
              <w:bottom w:val="single" w:sz="8" w:color="0000EE"/>
            </w:tcBorders>
          </w:tcPr>
          <w:p>
            <w:pPr>
              <w:spacing w:after="0" w:line="172" w:lineRule="exact"/>
              <w:rPr>
                <w:rFonts w:ascii="Arial" w:cs="Arial" w:eastAsia="Arial" w:hAnsi="Arial"/>
                <w:sz w:val="17"/>
                <w:szCs w:val="17"/>
                <w:color w:val="0000EE"/>
                <w:w w:val="98"/>
              </w:rPr>
            </w:pPr>
            <w:hyperlink r:id="rId353">
              <w:r>
                <w:rPr>
                  <w:rFonts w:ascii="Arial" w:cs="Arial" w:eastAsia="Arial" w:hAnsi="Arial"/>
                  <w:sz w:val="17"/>
                  <w:szCs w:val="17"/>
                  <w:color w:val="0000EE"/>
                  <w:w w:val="98"/>
                </w:rPr>
                <w:t>Registrant</w:t>
              </w:r>
            </w:hyperlink>
          </w:p>
        </w:tc>
        <w:tc>
          <w:tcPr>
            <w:tcW w:w="8280" w:type="dxa"/>
            <w:vAlign w:val="bottom"/>
            <w:tcBorders>
              <w:top w:val="single" w:sz="8" w:color="0000EE"/>
            </w:tcBorders>
            <w:gridSpan w:val="1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74"/>
        </w:trPr>
        <w:tc>
          <w:tcPr>
            <w:tcW w:w="1040" w:type="dxa"/>
            <w:vAlign w:val="bottom"/>
          </w:tcPr>
          <w:p>
            <w:pPr>
              <w:spacing w:after="0"/>
              <w:rPr>
                <w:sz w:val="20"/>
                <w:szCs w:val="20"/>
                <w:color w:val="auto"/>
              </w:rPr>
            </w:pPr>
            <w:r>
              <w:rPr>
                <w:rFonts w:ascii="Arial" w:cs="Arial" w:eastAsia="Arial" w:hAnsi="Arial"/>
                <w:sz w:val="17"/>
                <w:szCs w:val="17"/>
                <w:color w:val="auto"/>
              </w:rPr>
              <w:t>10.7#*</w:t>
            </w:r>
          </w:p>
        </w:tc>
        <w:tc>
          <w:tcPr>
            <w:tcW w:w="7300" w:type="dxa"/>
            <w:vAlign w:val="bottom"/>
            <w:tcBorders>
              <w:bottom w:val="single" w:sz="8" w:color="0000EE"/>
            </w:tcBorders>
            <w:gridSpan w:val="9"/>
          </w:tcPr>
          <w:p>
            <w:pPr>
              <w:spacing w:after="0"/>
              <w:rPr>
                <w:rFonts w:ascii="Arial" w:cs="Arial" w:eastAsia="Arial" w:hAnsi="Arial"/>
                <w:sz w:val="17"/>
                <w:szCs w:val="17"/>
                <w:color w:val="0000EE"/>
                <w:w w:val="99"/>
              </w:rPr>
            </w:pPr>
            <w:hyperlink r:id="rId354">
              <w:r>
                <w:rPr>
                  <w:rFonts w:ascii="Arial" w:cs="Arial" w:eastAsia="Arial" w:hAnsi="Arial"/>
                  <w:sz w:val="17"/>
                  <w:szCs w:val="17"/>
                  <w:color w:val="0000EE"/>
                  <w:w w:val="99"/>
                </w:rPr>
                <w:t>Employment Offer Letter Agreement, dated July 7, 2023, between Jami Rubin and the Registrant</w:t>
              </w:r>
            </w:hyperlink>
          </w:p>
        </w:tc>
        <w:tc>
          <w:tcPr>
            <w:tcW w:w="2000" w:type="dxa"/>
            <w:vAlign w:val="bottom"/>
            <w:gridSpan w:val="11"/>
          </w:tcPr>
          <w:p>
            <w:pPr>
              <w:spacing w:after="0"/>
              <w:rPr>
                <w:sz w:val="23"/>
                <w:szCs w:val="23"/>
                <w:color w:val="auto"/>
              </w:rPr>
            </w:pPr>
          </w:p>
        </w:tc>
      </w:tr>
      <w:tr>
        <w:trPr>
          <w:trHeight w:val="274"/>
        </w:trPr>
        <w:tc>
          <w:tcPr>
            <w:tcW w:w="1040" w:type="dxa"/>
            <w:vAlign w:val="bottom"/>
          </w:tcPr>
          <w:p>
            <w:pPr>
              <w:spacing w:after="0"/>
              <w:rPr>
                <w:sz w:val="20"/>
                <w:szCs w:val="20"/>
                <w:color w:val="auto"/>
              </w:rPr>
            </w:pPr>
            <w:r>
              <w:rPr>
                <w:rFonts w:ascii="Arial" w:cs="Arial" w:eastAsia="Arial" w:hAnsi="Arial"/>
                <w:sz w:val="17"/>
                <w:szCs w:val="17"/>
                <w:color w:val="auto"/>
              </w:rPr>
              <w:t>10.8#*</w:t>
            </w:r>
          </w:p>
        </w:tc>
        <w:tc>
          <w:tcPr>
            <w:tcW w:w="9300" w:type="dxa"/>
            <w:vAlign w:val="bottom"/>
            <w:tcBorders>
              <w:bottom w:val="single" w:sz="8" w:color="0000EE"/>
            </w:tcBorders>
            <w:gridSpan w:val="20"/>
          </w:tcPr>
          <w:p>
            <w:pPr>
              <w:spacing w:after="0"/>
              <w:rPr>
                <w:rFonts w:ascii="Arial" w:cs="Arial" w:eastAsia="Arial" w:hAnsi="Arial"/>
                <w:sz w:val="17"/>
                <w:szCs w:val="17"/>
                <w:color w:val="0000EE"/>
                <w:w w:val="99"/>
              </w:rPr>
            </w:pPr>
            <w:hyperlink r:id="rId355">
              <w:r>
                <w:rPr>
                  <w:rFonts w:ascii="Arial" w:cs="Arial" w:eastAsia="Arial" w:hAnsi="Arial"/>
                  <w:sz w:val="17"/>
                  <w:szCs w:val="17"/>
                  <w:color w:val="0000EE"/>
                  <w:w w:val="99"/>
                </w:rPr>
                <w:t>Amended and Restated Employment Offer Letter Agreement, dated March 5, 2024, between Jami Rubin and the Registrant</w:t>
              </w:r>
            </w:hyperlink>
          </w:p>
        </w:tc>
      </w:tr>
      <w:tr>
        <w:trPr>
          <w:trHeight w:val="274"/>
        </w:trPr>
        <w:tc>
          <w:tcPr>
            <w:tcW w:w="1040" w:type="dxa"/>
            <w:vAlign w:val="bottom"/>
          </w:tcPr>
          <w:p>
            <w:pPr>
              <w:spacing w:after="0"/>
              <w:rPr>
                <w:sz w:val="20"/>
                <w:szCs w:val="20"/>
                <w:color w:val="auto"/>
              </w:rPr>
            </w:pPr>
            <w:r>
              <w:rPr>
                <w:rFonts w:ascii="Arial" w:cs="Arial" w:eastAsia="Arial" w:hAnsi="Arial"/>
                <w:sz w:val="17"/>
                <w:szCs w:val="17"/>
                <w:color w:val="auto"/>
              </w:rPr>
              <w:t>10.9#*</w:t>
            </w:r>
          </w:p>
        </w:tc>
        <w:tc>
          <w:tcPr>
            <w:tcW w:w="8960" w:type="dxa"/>
            <w:vAlign w:val="bottom"/>
            <w:tcBorders>
              <w:bottom w:val="single" w:sz="8" w:color="0000EE"/>
            </w:tcBorders>
            <w:gridSpan w:val="14"/>
          </w:tcPr>
          <w:p>
            <w:pPr>
              <w:spacing w:after="0"/>
              <w:rPr>
                <w:rFonts w:ascii="Arial" w:cs="Arial" w:eastAsia="Arial" w:hAnsi="Arial"/>
                <w:sz w:val="17"/>
                <w:szCs w:val="17"/>
                <w:color w:val="0000EE"/>
                <w:w w:val="99"/>
              </w:rPr>
            </w:pPr>
            <w:hyperlink r:id="rId356">
              <w:r>
                <w:rPr>
                  <w:rFonts w:ascii="Arial" w:cs="Arial" w:eastAsia="Arial" w:hAnsi="Arial"/>
                  <w:sz w:val="17"/>
                  <w:szCs w:val="17"/>
                  <w:color w:val="0000EE"/>
                  <w:w w:val="99"/>
                </w:rPr>
                <w:t>Employment Offer Letter Agreement, dated December 3, 2021, between Klaus Wagner, M.D., Ph.D. and the Registrant</w:t>
              </w:r>
            </w:hyperlink>
          </w:p>
        </w:tc>
        <w:tc>
          <w:tcPr>
            <w:tcW w:w="340" w:type="dxa"/>
            <w:vAlign w:val="bottom"/>
            <w:gridSpan w:val="6"/>
          </w:tcPr>
          <w:p>
            <w:pPr>
              <w:spacing w:after="0"/>
              <w:rPr>
                <w:sz w:val="23"/>
                <w:szCs w:val="23"/>
                <w:color w:val="auto"/>
              </w:rPr>
            </w:pPr>
          </w:p>
        </w:tc>
      </w:tr>
      <w:tr>
        <w:trPr>
          <w:trHeight w:val="274"/>
        </w:trPr>
        <w:tc>
          <w:tcPr>
            <w:tcW w:w="1040" w:type="dxa"/>
            <w:vAlign w:val="bottom"/>
          </w:tcPr>
          <w:p>
            <w:pPr>
              <w:spacing w:after="0"/>
              <w:rPr>
                <w:sz w:val="20"/>
                <w:szCs w:val="20"/>
                <w:color w:val="auto"/>
              </w:rPr>
            </w:pPr>
            <w:r>
              <w:rPr>
                <w:rFonts w:ascii="Arial" w:cs="Arial" w:eastAsia="Arial" w:hAnsi="Arial"/>
                <w:sz w:val="17"/>
                <w:szCs w:val="17"/>
                <w:color w:val="auto"/>
              </w:rPr>
              <w:t>10.10#*</w:t>
            </w:r>
          </w:p>
        </w:tc>
        <w:tc>
          <w:tcPr>
            <w:tcW w:w="9300" w:type="dxa"/>
            <w:vAlign w:val="bottom"/>
            <w:gridSpan w:val="20"/>
          </w:tcPr>
          <w:p>
            <w:pPr>
              <w:spacing w:after="0"/>
              <w:rPr>
                <w:rFonts w:ascii="Arial" w:cs="Arial" w:eastAsia="Arial" w:hAnsi="Arial"/>
                <w:sz w:val="17"/>
                <w:szCs w:val="17"/>
                <w:color w:val="0000EE"/>
              </w:rPr>
            </w:pPr>
            <w:hyperlink r:id="rId357">
              <w:r>
                <w:rPr>
                  <w:rFonts w:ascii="Arial" w:cs="Arial" w:eastAsia="Arial" w:hAnsi="Arial"/>
                  <w:sz w:val="17"/>
                  <w:szCs w:val="17"/>
                  <w:color w:val="0000EE"/>
                </w:rPr>
                <w:t>Amended and Restated Employment Offer Letter Agreement, dated March 5, 2024, between Klaus Wagner, M.D., Ph.D.</w:t>
              </w:r>
            </w:hyperlink>
          </w:p>
        </w:tc>
      </w:tr>
      <w:tr>
        <w:trPr>
          <w:trHeight w:val="172"/>
        </w:trPr>
        <w:tc>
          <w:tcPr>
            <w:tcW w:w="1040" w:type="dxa"/>
            <w:vAlign w:val="bottom"/>
          </w:tcPr>
          <w:p>
            <w:pPr>
              <w:spacing w:after="0"/>
              <w:rPr>
                <w:sz w:val="14"/>
                <w:szCs w:val="14"/>
                <w:color w:val="auto"/>
              </w:rPr>
            </w:pPr>
          </w:p>
        </w:tc>
        <w:tc>
          <w:tcPr>
            <w:tcW w:w="1400" w:type="dxa"/>
            <w:vAlign w:val="bottom"/>
            <w:tcBorders>
              <w:top w:val="single" w:sz="8" w:color="0000EE"/>
              <w:bottom w:val="single" w:sz="8" w:color="0000EE"/>
            </w:tcBorders>
            <w:gridSpan w:val="3"/>
          </w:tcPr>
          <w:p>
            <w:pPr>
              <w:spacing w:after="0" w:line="172" w:lineRule="exact"/>
              <w:rPr>
                <w:rFonts w:ascii="Arial" w:cs="Arial" w:eastAsia="Arial" w:hAnsi="Arial"/>
                <w:sz w:val="17"/>
                <w:szCs w:val="17"/>
                <w:color w:val="0000EE"/>
                <w:w w:val="99"/>
              </w:rPr>
            </w:pPr>
            <w:hyperlink r:id="rId357">
              <w:r>
                <w:rPr>
                  <w:rFonts w:ascii="Arial" w:cs="Arial" w:eastAsia="Arial" w:hAnsi="Arial"/>
                  <w:sz w:val="17"/>
                  <w:szCs w:val="17"/>
                  <w:color w:val="0000EE"/>
                  <w:w w:val="99"/>
                </w:rPr>
                <w:t>and the Registrant</w:t>
              </w:r>
            </w:hyperlink>
          </w:p>
        </w:tc>
        <w:tc>
          <w:tcPr>
            <w:tcW w:w="7680" w:type="dxa"/>
            <w:vAlign w:val="bottom"/>
            <w:tcBorders>
              <w:top w:val="single" w:sz="8" w:color="0000EE"/>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74"/>
        </w:trPr>
        <w:tc>
          <w:tcPr>
            <w:tcW w:w="1040" w:type="dxa"/>
            <w:vAlign w:val="bottom"/>
          </w:tcPr>
          <w:p>
            <w:pPr>
              <w:spacing w:after="0"/>
              <w:rPr>
                <w:sz w:val="20"/>
                <w:szCs w:val="20"/>
                <w:color w:val="auto"/>
              </w:rPr>
            </w:pPr>
            <w:r>
              <w:rPr>
                <w:rFonts w:ascii="Arial" w:cs="Arial" w:eastAsia="Arial" w:hAnsi="Arial"/>
                <w:sz w:val="17"/>
                <w:szCs w:val="17"/>
                <w:color w:val="auto"/>
              </w:rPr>
              <w:t>10.11#*</w:t>
            </w:r>
          </w:p>
        </w:tc>
        <w:tc>
          <w:tcPr>
            <w:tcW w:w="9240" w:type="dxa"/>
            <w:vAlign w:val="bottom"/>
            <w:tcBorders>
              <w:bottom w:val="single" w:sz="8" w:color="0000EE"/>
            </w:tcBorders>
            <w:gridSpan w:val="19"/>
          </w:tcPr>
          <w:p>
            <w:pPr>
              <w:spacing w:after="0"/>
              <w:rPr>
                <w:rFonts w:ascii="Arial" w:cs="Arial" w:eastAsia="Arial" w:hAnsi="Arial"/>
                <w:sz w:val="17"/>
                <w:szCs w:val="17"/>
                <w:color w:val="0000EE"/>
                <w:w w:val="99"/>
              </w:rPr>
            </w:pPr>
            <w:hyperlink r:id="rId358">
              <w:r>
                <w:rPr>
                  <w:rFonts w:ascii="Arial" w:cs="Arial" w:eastAsia="Arial" w:hAnsi="Arial"/>
                  <w:sz w:val="17"/>
                  <w:szCs w:val="17"/>
                  <w:color w:val="0000EE"/>
                  <w:w w:val="99"/>
                </w:rPr>
                <w:t>Restated Employment Offer Letter Agreement, dated January 1, 2020, between Christian Hassig, Ph.D. and the Registrant</w:t>
              </w:r>
            </w:hyperlink>
          </w:p>
        </w:tc>
        <w:tc>
          <w:tcPr>
            <w:tcW w:w="60" w:type="dxa"/>
            <w:vAlign w:val="bottom"/>
          </w:tcPr>
          <w:p>
            <w:pPr>
              <w:spacing w:after="0"/>
              <w:rPr>
                <w:sz w:val="23"/>
                <w:szCs w:val="23"/>
                <w:color w:val="auto"/>
              </w:rPr>
            </w:pPr>
          </w:p>
        </w:tc>
      </w:tr>
      <w:tr>
        <w:trPr>
          <w:trHeight w:val="274"/>
        </w:trPr>
        <w:tc>
          <w:tcPr>
            <w:tcW w:w="1040" w:type="dxa"/>
            <w:vAlign w:val="bottom"/>
          </w:tcPr>
          <w:p>
            <w:pPr>
              <w:spacing w:after="0"/>
              <w:rPr>
                <w:sz w:val="20"/>
                <w:szCs w:val="20"/>
                <w:color w:val="auto"/>
              </w:rPr>
            </w:pPr>
            <w:r>
              <w:rPr>
                <w:rFonts w:ascii="Arial" w:cs="Arial" w:eastAsia="Arial" w:hAnsi="Arial"/>
                <w:sz w:val="17"/>
                <w:szCs w:val="17"/>
                <w:color w:val="auto"/>
              </w:rPr>
              <w:t>10.12#*</w:t>
            </w:r>
          </w:p>
        </w:tc>
        <w:tc>
          <w:tcPr>
            <w:tcW w:w="9300" w:type="dxa"/>
            <w:vAlign w:val="bottom"/>
            <w:gridSpan w:val="20"/>
          </w:tcPr>
          <w:p>
            <w:pPr>
              <w:spacing w:after="0"/>
              <w:rPr>
                <w:rFonts w:ascii="Arial" w:cs="Arial" w:eastAsia="Arial" w:hAnsi="Arial"/>
                <w:sz w:val="17"/>
                <w:szCs w:val="17"/>
                <w:color w:val="0000EE"/>
              </w:rPr>
            </w:pPr>
            <w:hyperlink r:id="rId359">
              <w:r>
                <w:rPr>
                  <w:rFonts w:ascii="Arial" w:cs="Arial" w:eastAsia="Arial" w:hAnsi="Arial"/>
                  <w:sz w:val="17"/>
                  <w:szCs w:val="17"/>
                  <w:color w:val="0000EE"/>
                </w:rPr>
                <w:t>Amended and Restated Employment Offer Letter Agreement, dated March 5, 2024, between Christian Hassig, Ph.D. and</w:t>
              </w:r>
            </w:hyperlink>
          </w:p>
        </w:tc>
      </w:tr>
      <w:tr>
        <w:trPr>
          <w:trHeight w:val="172"/>
        </w:trPr>
        <w:tc>
          <w:tcPr>
            <w:tcW w:w="1040" w:type="dxa"/>
            <w:vAlign w:val="bottom"/>
          </w:tcPr>
          <w:p>
            <w:pPr>
              <w:spacing w:after="0"/>
              <w:rPr>
                <w:sz w:val="14"/>
                <w:szCs w:val="14"/>
                <w:color w:val="auto"/>
              </w:rPr>
            </w:pPr>
          </w:p>
        </w:tc>
        <w:tc>
          <w:tcPr>
            <w:tcW w:w="1060" w:type="dxa"/>
            <w:vAlign w:val="bottom"/>
            <w:tcBorders>
              <w:top w:val="single" w:sz="8" w:color="0000EE"/>
              <w:bottom w:val="single" w:sz="8" w:color="0000EE"/>
            </w:tcBorders>
            <w:gridSpan w:val="2"/>
          </w:tcPr>
          <w:p>
            <w:pPr>
              <w:spacing w:after="0" w:line="172" w:lineRule="exact"/>
              <w:rPr>
                <w:rFonts w:ascii="Arial" w:cs="Arial" w:eastAsia="Arial" w:hAnsi="Arial"/>
                <w:sz w:val="17"/>
                <w:szCs w:val="17"/>
                <w:color w:val="0000EE"/>
                <w:w w:val="98"/>
              </w:rPr>
            </w:pPr>
            <w:hyperlink r:id="rId359">
              <w:r>
                <w:rPr>
                  <w:rFonts w:ascii="Arial" w:cs="Arial" w:eastAsia="Arial" w:hAnsi="Arial"/>
                  <w:sz w:val="17"/>
                  <w:szCs w:val="17"/>
                  <w:color w:val="0000EE"/>
                  <w:w w:val="98"/>
                </w:rPr>
                <w:t>the Registrant</w:t>
              </w:r>
            </w:hyperlink>
          </w:p>
        </w:tc>
        <w:tc>
          <w:tcPr>
            <w:tcW w:w="8040" w:type="dxa"/>
            <w:vAlign w:val="bottom"/>
            <w:tcBorders>
              <w:top w:val="single" w:sz="8" w:color="0000EE"/>
            </w:tcBorders>
            <w:gridSpan w:val="16"/>
          </w:tcPr>
          <w:p>
            <w:pPr>
              <w:spacing w:after="0"/>
              <w:rPr>
                <w:sz w:val="14"/>
                <w:szCs w:val="14"/>
                <w:color w:val="auto"/>
              </w:rPr>
            </w:pPr>
          </w:p>
        </w:tc>
        <w:tc>
          <w:tcPr>
            <w:tcW w:w="200" w:type="dxa"/>
            <w:vAlign w:val="bottom"/>
            <w:gridSpan w:val="2"/>
          </w:tcPr>
          <w:p>
            <w:pPr>
              <w:spacing w:after="0"/>
              <w:rPr>
                <w:sz w:val="14"/>
                <w:szCs w:val="14"/>
                <w:color w:val="auto"/>
              </w:rPr>
            </w:pPr>
          </w:p>
        </w:tc>
      </w:tr>
      <w:tr>
        <w:trPr>
          <w:trHeight w:val="274"/>
        </w:trPr>
        <w:tc>
          <w:tcPr>
            <w:tcW w:w="1040" w:type="dxa"/>
            <w:vAlign w:val="bottom"/>
          </w:tcPr>
          <w:p>
            <w:pPr>
              <w:spacing w:after="0"/>
              <w:rPr>
                <w:sz w:val="20"/>
                <w:szCs w:val="20"/>
                <w:color w:val="auto"/>
              </w:rPr>
            </w:pPr>
            <w:r>
              <w:rPr>
                <w:rFonts w:ascii="Arial" w:cs="Arial" w:eastAsia="Arial" w:hAnsi="Arial"/>
                <w:sz w:val="17"/>
                <w:szCs w:val="17"/>
                <w:color w:val="auto"/>
              </w:rPr>
              <w:t>10.13#*</w:t>
            </w:r>
          </w:p>
        </w:tc>
        <w:tc>
          <w:tcPr>
            <w:tcW w:w="7840" w:type="dxa"/>
            <w:vAlign w:val="bottom"/>
            <w:tcBorders>
              <w:bottom w:val="single" w:sz="8" w:color="0000EE"/>
            </w:tcBorders>
            <w:gridSpan w:val="10"/>
          </w:tcPr>
          <w:p>
            <w:pPr>
              <w:spacing w:after="0"/>
              <w:rPr>
                <w:rFonts w:ascii="Arial" w:cs="Arial" w:eastAsia="Arial" w:hAnsi="Arial"/>
                <w:sz w:val="17"/>
                <w:szCs w:val="17"/>
                <w:color w:val="0000EE"/>
                <w:w w:val="99"/>
              </w:rPr>
            </w:pPr>
            <w:hyperlink r:id="rId360">
              <w:r>
                <w:rPr>
                  <w:rFonts w:ascii="Arial" w:cs="Arial" w:eastAsia="Arial" w:hAnsi="Arial"/>
                  <w:sz w:val="17"/>
                  <w:szCs w:val="17"/>
                  <w:color w:val="0000EE"/>
                  <w:w w:val="99"/>
                </w:rPr>
                <w:t>Employment Offer Letter Agreement, dated June 29, 2021, between Neil Abdollahian and the Registrant</w:t>
              </w:r>
            </w:hyperlink>
          </w:p>
        </w:tc>
        <w:tc>
          <w:tcPr>
            <w:tcW w:w="1460" w:type="dxa"/>
            <w:vAlign w:val="bottom"/>
            <w:gridSpan w:val="10"/>
          </w:tcPr>
          <w:p>
            <w:pPr>
              <w:spacing w:after="0"/>
              <w:rPr>
                <w:sz w:val="23"/>
                <w:szCs w:val="23"/>
                <w:color w:val="auto"/>
              </w:rPr>
            </w:pPr>
          </w:p>
        </w:tc>
      </w:tr>
      <w:tr>
        <w:trPr>
          <w:trHeight w:val="274"/>
        </w:trPr>
        <w:tc>
          <w:tcPr>
            <w:tcW w:w="1040" w:type="dxa"/>
            <w:vAlign w:val="bottom"/>
          </w:tcPr>
          <w:p>
            <w:pPr>
              <w:spacing w:after="0"/>
              <w:rPr>
                <w:sz w:val="20"/>
                <w:szCs w:val="20"/>
                <w:color w:val="auto"/>
              </w:rPr>
            </w:pPr>
            <w:r>
              <w:rPr>
                <w:rFonts w:ascii="Arial" w:cs="Arial" w:eastAsia="Arial" w:hAnsi="Arial"/>
                <w:sz w:val="17"/>
                <w:szCs w:val="17"/>
                <w:color w:val="auto"/>
              </w:rPr>
              <w:t>10.14#*</w:t>
            </w:r>
          </w:p>
        </w:tc>
        <w:tc>
          <w:tcPr>
            <w:tcW w:w="9300" w:type="dxa"/>
            <w:vAlign w:val="bottom"/>
            <w:gridSpan w:val="20"/>
          </w:tcPr>
          <w:p>
            <w:pPr>
              <w:spacing w:after="0"/>
              <w:rPr>
                <w:rFonts w:ascii="Arial" w:cs="Arial" w:eastAsia="Arial" w:hAnsi="Arial"/>
                <w:sz w:val="17"/>
                <w:szCs w:val="17"/>
                <w:color w:val="0000EE"/>
              </w:rPr>
            </w:pPr>
            <w:hyperlink r:id="rId361">
              <w:r>
                <w:rPr>
                  <w:rFonts w:ascii="Arial" w:cs="Arial" w:eastAsia="Arial" w:hAnsi="Arial"/>
                  <w:sz w:val="17"/>
                  <w:szCs w:val="17"/>
                  <w:color w:val="0000EE"/>
                </w:rPr>
                <w:t>Amended and Restated Employment Offer Letter Agreement, dated March 5, 2024, between Neil Abdollahian and the</w:t>
              </w:r>
            </w:hyperlink>
          </w:p>
        </w:tc>
      </w:tr>
      <w:tr>
        <w:trPr>
          <w:trHeight w:val="172"/>
        </w:trPr>
        <w:tc>
          <w:tcPr>
            <w:tcW w:w="1040" w:type="dxa"/>
            <w:vAlign w:val="bottom"/>
          </w:tcPr>
          <w:p>
            <w:pPr>
              <w:spacing w:after="0"/>
              <w:rPr>
                <w:sz w:val="14"/>
                <w:szCs w:val="14"/>
                <w:color w:val="auto"/>
              </w:rPr>
            </w:pPr>
          </w:p>
        </w:tc>
        <w:tc>
          <w:tcPr>
            <w:tcW w:w="780" w:type="dxa"/>
            <w:vAlign w:val="bottom"/>
            <w:tcBorders>
              <w:top w:val="single" w:sz="8" w:color="0000EE"/>
              <w:bottom w:val="single" w:sz="8" w:color="0000EE"/>
            </w:tcBorders>
          </w:tcPr>
          <w:p>
            <w:pPr>
              <w:spacing w:after="0" w:line="172" w:lineRule="exact"/>
              <w:rPr>
                <w:rFonts w:ascii="Arial" w:cs="Arial" w:eastAsia="Arial" w:hAnsi="Arial"/>
                <w:sz w:val="17"/>
                <w:szCs w:val="17"/>
                <w:color w:val="0000EE"/>
                <w:w w:val="98"/>
              </w:rPr>
            </w:pPr>
            <w:hyperlink r:id="rId361">
              <w:r>
                <w:rPr>
                  <w:rFonts w:ascii="Arial" w:cs="Arial" w:eastAsia="Arial" w:hAnsi="Arial"/>
                  <w:sz w:val="17"/>
                  <w:szCs w:val="17"/>
                  <w:color w:val="0000EE"/>
                  <w:w w:val="98"/>
                </w:rPr>
                <w:t>Registrant</w:t>
              </w:r>
            </w:hyperlink>
          </w:p>
        </w:tc>
        <w:tc>
          <w:tcPr>
            <w:tcW w:w="8080" w:type="dxa"/>
            <w:vAlign w:val="bottom"/>
            <w:tcBorders>
              <w:top w:val="single" w:sz="8" w:color="0000EE"/>
            </w:tcBorders>
            <w:gridSpan w:val="12"/>
          </w:tcPr>
          <w:p>
            <w:pPr>
              <w:spacing w:after="0"/>
              <w:rPr>
                <w:sz w:val="14"/>
                <w:szCs w:val="14"/>
                <w:color w:val="auto"/>
              </w:rPr>
            </w:pPr>
          </w:p>
        </w:tc>
        <w:tc>
          <w:tcPr>
            <w:tcW w:w="440" w:type="dxa"/>
            <w:vAlign w:val="bottom"/>
            <w:gridSpan w:val="7"/>
          </w:tcPr>
          <w:p>
            <w:pPr>
              <w:spacing w:after="0"/>
              <w:rPr>
                <w:sz w:val="14"/>
                <w:szCs w:val="14"/>
                <w:color w:val="auto"/>
              </w:rPr>
            </w:pPr>
          </w:p>
        </w:tc>
      </w:tr>
    </w:tbl>
    <w:p>
      <w:pPr>
        <w:spacing w:after="0" w:line="13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II-5</w:t>
      </w:r>
    </w:p>
    <w:p>
      <w:pPr>
        <w:sectPr>
          <w:pgSz w:w="11900" w:h="16838" w:orient="portrait"/>
          <w:cols w:equalWidth="0" w:num="1">
            <w:col w:w="10840"/>
          </w:cols>
          <w:pgMar w:left="320" w:top="439" w:right="7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7"/>
              </w:rPr>
              <w:t xml:space="preserve">  Number </w:t>
            </w:r>
          </w:p>
        </w:tc>
        <w:tc>
          <w:tcPr>
            <w:tcW w:w="3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56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rPr>
              <w:t>Description of Exhibit</w:t>
            </w:r>
          </w:p>
        </w:tc>
      </w:tr>
      <w:tr>
        <w:trPr>
          <w:trHeight w:val="256"/>
        </w:trPr>
        <w:tc>
          <w:tcPr>
            <w:tcW w:w="700" w:type="dxa"/>
            <w:vAlign w:val="bottom"/>
            <w:gridSpan w:val="2"/>
          </w:tcPr>
          <w:p>
            <w:pPr>
              <w:spacing w:after="0"/>
              <w:rPr>
                <w:sz w:val="20"/>
                <w:szCs w:val="20"/>
                <w:color w:val="auto"/>
              </w:rPr>
            </w:pPr>
            <w:r>
              <w:rPr>
                <w:rFonts w:ascii="Arial" w:cs="Arial" w:eastAsia="Arial" w:hAnsi="Arial"/>
                <w:sz w:val="17"/>
                <w:szCs w:val="17"/>
                <w:color w:val="auto"/>
              </w:rPr>
              <w:t>10.15#*</w:t>
            </w:r>
          </w:p>
        </w:tc>
        <w:tc>
          <w:tcPr>
            <w:tcW w:w="340" w:type="dxa"/>
            <w:vAlign w:val="bottom"/>
          </w:tcPr>
          <w:p>
            <w:pPr>
              <w:spacing w:after="0"/>
              <w:rPr>
                <w:sz w:val="22"/>
                <w:szCs w:val="22"/>
                <w:color w:val="auto"/>
              </w:rPr>
            </w:pPr>
          </w:p>
        </w:tc>
        <w:tc>
          <w:tcPr>
            <w:tcW w:w="7580" w:type="dxa"/>
            <w:vAlign w:val="bottom"/>
            <w:tcBorders>
              <w:bottom w:val="single" w:sz="8" w:color="0000EE"/>
            </w:tcBorders>
            <w:gridSpan w:val="10"/>
          </w:tcPr>
          <w:p>
            <w:pPr>
              <w:spacing w:after="0"/>
              <w:rPr>
                <w:rFonts w:ascii="Arial" w:cs="Arial" w:eastAsia="Arial" w:hAnsi="Arial"/>
                <w:sz w:val="17"/>
                <w:szCs w:val="17"/>
                <w:color w:val="0000EE"/>
                <w:w w:val="99"/>
              </w:rPr>
            </w:pPr>
            <w:hyperlink r:id="rId363">
              <w:r>
                <w:rPr>
                  <w:rFonts w:ascii="Arial" w:cs="Arial" w:eastAsia="Arial" w:hAnsi="Arial"/>
                  <w:sz w:val="17"/>
                  <w:szCs w:val="17"/>
                  <w:color w:val="0000EE"/>
                  <w:w w:val="99"/>
                </w:rPr>
                <w:t>Employment Offer Letter Agreement, dated June 23, 2021, between Jessica Oien and the Registrant</w:t>
              </w:r>
            </w:hyperlink>
          </w:p>
        </w:tc>
        <w:tc>
          <w:tcPr>
            <w:tcW w:w="1800" w:type="dxa"/>
            <w:vAlign w:val="bottom"/>
            <w:gridSpan w:val="2"/>
          </w:tcPr>
          <w:p>
            <w:pPr>
              <w:spacing w:after="0"/>
              <w:rPr>
                <w:sz w:val="22"/>
                <w:szCs w:val="22"/>
                <w:color w:val="auto"/>
              </w:rPr>
            </w:pPr>
          </w:p>
        </w:tc>
      </w:tr>
      <w:tr>
        <w:trPr>
          <w:trHeight w:val="274"/>
        </w:trPr>
        <w:tc>
          <w:tcPr>
            <w:tcW w:w="700" w:type="dxa"/>
            <w:vAlign w:val="bottom"/>
            <w:gridSpan w:val="2"/>
          </w:tcPr>
          <w:p>
            <w:pPr>
              <w:spacing w:after="0"/>
              <w:rPr>
                <w:sz w:val="20"/>
                <w:szCs w:val="20"/>
                <w:color w:val="auto"/>
              </w:rPr>
            </w:pPr>
            <w:r>
              <w:rPr>
                <w:rFonts w:ascii="Arial" w:cs="Arial" w:eastAsia="Arial" w:hAnsi="Arial"/>
                <w:sz w:val="17"/>
                <w:szCs w:val="17"/>
                <w:color w:val="auto"/>
              </w:rPr>
              <w:t>10.16#*</w:t>
            </w:r>
          </w:p>
        </w:tc>
        <w:tc>
          <w:tcPr>
            <w:tcW w:w="340" w:type="dxa"/>
            <w:vAlign w:val="bottom"/>
          </w:tcPr>
          <w:p>
            <w:pPr>
              <w:spacing w:after="0"/>
              <w:rPr>
                <w:sz w:val="23"/>
                <w:szCs w:val="23"/>
                <w:color w:val="auto"/>
              </w:rPr>
            </w:pPr>
          </w:p>
        </w:tc>
        <w:tc>
          <w:tcPr>
            <w:tcW w:w="9380" w:type="dxa"/>
            <w:vAlign w:val="bottom"/>
            <w:gridSpan w:val="12"/>
          </w:tcPr>
          <w:p>
            <w:pPr>
              <w:spacing w:after="0"/>
              <w:rPr>
                <w:rFonts w:ascii="Arial" w:cs="Arial" w:eastAsia="Arial" w:hAnsi="Arial"/>
                <w:sz w:val="17"/>
                <w:szCs w:val="17"/>
                <w:color w:val="0000EE"/>
              </w:rPr>
            </w:pPr>
            <w:hyperlink r:id="rId364">
              <w:r>
                <w:rPr>
                  <w:rFonts w:ascii="Arial" w:cs="Arial" w:eastAsia="Arial" w:hAnsi="Arial"/>
                  <w:sz w:val="17"/>
                  <w:szCs w:val="17"/>
                  <w:color w:val="0000EE"/>
                </w:rPr>
                <w:t>Amended and Restated Employment Offer Letter Agreement, dated March 5, 2024, between Jessica Oien and the</w:t>
              </w:r>
            </w:hyperlink>
          </w:p>
        </w:tc>
      </w:tr>
      <w:tr>
        <w:trPr>
          <w:trHeight w:val="172"/>
        </w:trPr>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Borders>
              <w:top w:val="single" w:sz="8" w:color="0000EE"/>
              <w:bottom w:val="single" w:sz="8" w:color="0000EE"/>
            </w:tcBorders>
          </w:tcPr>
          <w:p>
            <w:pPr>
              <w:spacing w:after="0" w:line="172" w:lineRule="exact"/>
              <w:rPr>
                <w:rFonts w:ascii="Arial" w:cs="Arial" w:eastAsia="Arial" w:hAnsi="Arial"/>
                <w:sz w:val="17"/>
                <w:szCs w:val="17"/>
                <w:color w:val="0000EE"/>
                <w:w w:val="98"/>
              </w:rPr>
            </w:pPr>
            <w:hyperlink r:id="rId364">
              <w:r>
                <w:rPr>
                  <w:rFonts w:ascii="Arial" w:cs="Arial" w:eastAsia="Arial" w:hAnsi="Arial"/>
                  <w:sz w:val="17"/>
                  <w:szCs w:val="17"/>
                  <w:color w:val="0000EE"/>
                  <w:w w:val="98"/>
                </w:rPr>
                <w:t>Registrant</w:t>
              </w:r>
            </w:hyperlink>
          </w:p>
        </w:tc>
        <w:tc>
          <w:tcPr>
            <w:tcW w:w="7820" w:type="dxa"/>
            <w:vAlign w:val="bottom"/>
            <w:tcBorders>
              <w:top w:val="single" w:sz="8" w:color="0000EE"/>
            </w:tcBorders>
            <w:gridSpan w:val="10"/>
          </w:tcPr>
          <w:p>
            <w:pPr>
              <w:spacing w:after="0"/>
              <w:rPr>
                <w:sz w:val="14"/>
                <w:szCs w:val="14"/>
                <w:color w:val="auto"/>
              </w:rPr>
            </w:pPr>
          </w:p>
        </w:tc>
        <w:tc>
          <w:tcPr>
            <w:tcW w:w="780" w:type="dxa"/>
            <w:vAlign w:val="bottom"/>
          </w:tcPr>
          <w:p>
            <w:pPr>
              <w:spacing w:after="0"/>
              <w:rPr>
                <w:sz w:val="14"/>
                <w:szCs w:val="14"/>
                <w:color w:val="auto"/>
              </w:rPr>
            </w:pPr>
          </w:p>
        </w:tc>
      </w:tr>
      <w:tr>
        <w:trPr>
          <w:trHeight w:val="274"/>
        </w:trPr>
        <w:tc>
          <w:tcPr>
            <w:tcW w:w="700" w:type="dxa"/>
            <w:vAlign w:val="bottom"/>
            <w:gridSpan w:val="2"/>
          </w:tcPr>
          <w:p>
            <w:pPr>
              <w:spacing w:after="0"/>
              <w:rPr>
                <w:sz w:val="20"/>
                <w:szCs w:val="20"/>
                <w:color w:val="auto"/>
              </w:rPr>
            </w:pPr>
            <w:r>
              <w:rPr>
                <w:rFonts w:ascii="Arial" w:cs="Arial" w:eastAsia="Arial" w:hAnsi="Arial"/>
                <w:sz w:val="17"/>
                <w:szCs w:val="17"/>
                <w:color w:val="auto"/>
              </w:rPr>
              <w:t>10.17#*</w:t>
            </w:r>
          </w:p>
        </w:tc>
        <w:tc>
          <w:tcPr>
            <w:tcW w:w="340" w:type="dxa"/>
            <w:vAlign w:val="bottom"/>
          </w:tcPr>
          <w:p>
            <w:pPr>
              <w:spacing w:after="0"/>
              <w:rPr>
                <w:sz w:val="23"/>
                <w:szCs w:val="23"/>
                <w:color w:val="auto"/>
              </w:rPr>
            </w:pPr>
          </w:p>
        </w:tc>
        <w:tc>
          <w:tcPr>
            <w:tcW w:w="3820" w:type="dxa"/>
            <w:vAlign w:val="bottom"/>
            <w:tcBorders>
              <w:bottom w:val="single" w:sz="8" w:color="0000EE"/>
            </w:tcBorders>
            <w:gridSpan w:val="5"/>
          </w:tcPr>
          <w:p>
            <w:pPr>
              <w:spacing w:after="0"/>
              <w:rPr>
                <w:rFonts w:ascii="Arial" w:cs="Arial" w:eastAsia="Arial" w:hAnsi="Arial"/>
                <w:sz w:val="17"/>
                <w:szCs w:val="17"/>
                <w:color w:val="0000EE"/>
                <w:w w:val="99"/>
              </w:rPr>
            </w:pPr>
            <w:hyperlink r:id="rId365">
              <w:r>
                <w:rPr>
                  <w:rFonts w:ascii="Arial" w:cs="Arial" w:eastAsia="Arial" w:hAnsi="Arial"/>
                  <w:sz w:val="17"/>
                  <w:szCs w:val="17"/>
                  <w:color w:val="0000EE"/>
                  <w:w w:val="99"/>
                </w:rPr>
                <w:t>Severance and Change in Control Severance Plan</w:t>
              </w:r>
            </w:hyperlink>
          </w:p>
        </w:tc>
        <w:tc>
          <w:tcPr>
            <w:tcW w:w="5560" w:type="dxa"/>
            <w:vAlign w:val="bottom"/>
            <w:gridSpan w:val="7"/>
          </w:tcPr>
          <w:p>
            <w:pPr>
              <w:spacing w:after="0"/>
              <w:rPr>
                <w:sz w:val="23"/>
                <w:szCs w:val="23"/>
                <w:color w:val="auto"/>
              </w:rPr>
            </w:pPr>
          </w:p>
        </w:tc>
      </w:tr>
      <w:tr>
        <w:trPr>
          <w:trHeight w:val="274"/>
        </w:trPr>
        <w:tc>
          <w:tcPr>
            <w:tcW w:w="700" w:type="dxa"/>
            <w:vAlign w:val="bottom"/>
            <w:gridSpan w:val="2"/>
          </w:tcPr>
          <w:p>
            <w:pPr>
              <w:spacing w:after="0"/>
              <w:rPr>
                <w:sz w:val="20"/>
                <w:szCs w:val="20"/>
                <w:color w:val="auto"/>
              </w:rPr>
            </w:pPr>
            <w:r>
              <w:rPr>
                <w:rFonts w:ascii="Arial" w:cs="Arial" w:eastAsia="Arial" w:hAnsi="Arial"/>
                <w:sz w:val="17"/>
                <w:szCs w:val="17"/>
                <w:color w:val="auto"/>
              </w:rPr>
              <w:t>10.18#*</w:t>
            </w:r>
          </w:p>
        </w:tc>
        <w:tc>
          <w:tcPr>
            <w:tcW w:w="340" w:type="dxa"/>
            <w:vAlign w:val="bottom"/>
          </w:tcPr>
          <w:p>
            <w:pPr>
              <w:spacing w:after="0"/>
              <w:rPr>
                <w:sz w:val="23"/>
                <w:szCs w:val="23"/>
                <w:color w:val="auto"/>
              </w:rPr>
            </w:pPr>
          </w:p>
        </w:tc>
        <w:tc>
          <w:tcPr>
            <w:tcW w:w="1680" w:type="dxa"/>
            <w:vAlign w:val="bottom"/>
            <w:tcBorders>
              <w:bottom w:val="single" w:sz="8" w:color="0000EE"/>
            </w:tcBorders>
            <w:gridSpan w:val="2"/>
          </w:tcPr>
          <w:p>
            <w:pPr>
              <w:spacing w:after="0"/>
              <w:rPr>
                <w:rFonts w:ascii="Arial" w:cs="Arial" w:eastAsia="Arial" w:hAnsi="Arial"/>
                <w:sz w:val="17"/>
                <w:szCs w:val="17"/>
                <w:color w:val="0000EE"/>
                <w:w w:val="99"/>
              </w:rPr>
            </w:pPr>
            <w:hyperlink r:id="rId366">
              <w:r>
                <w:rPr>
                  <w:rFonts w:ascii="Arial" w:cs="Arial" w:eastAsia="Arial" w:hAnsi="Arial"/>
                  <w:sz w:val="17"/>
                  <w:szCs w:val="17"/>
                  <w:color w:val="0000EE"/>
                  <w:w w:val="99"/>
                </w:rPr>
                <w:t>Corporate Bonus Plan</w:t>
              </w:r>
            </w:hyperlink>
          </w:p>
        </w:tc>
        <w:tc>
          <w:tcPr>
            <w:tcW w:w="7700" w:type="dxa"/>
            <w:vAlign w:val="bottom"/>
            <w:gridSpan w:val="10"/>
          </w:tcPr>
          <w:p>
            <w:pPr>
              <w:spacing w:after="0"/>
              <w:rPr>
                <w:sz w:val="23"/>
                <w:szCs w:val="23"/>
                <w:color w:val="auto"/>
              </w:rPr>
            </w:pPr>
          </w:p>
        </w:tc>
      </w:tr>
      <w:tr>
        <w:trPr>
          <w:trHeight w:val="274"/>
        </w:trPr>
        <w:tc>
          <w:tcPr>
            <w:tcW w:w="700" w:type="dxa"/>
            <w:vAlign w:val="bottom"/>
            <w:gridSpan w:val="2"/>
          </w:tcPr>
          <w:p>
            <w:pPr>
              <w:spacing w:after="0"/>
              <w:rPr>
                <w:sz w:val="20"/>
                <w:szCs w:val="20"/>
                <w:color w:val="auto"/>
              </w:rPr>
            </w:pPr>
            <w:r>
              <w:rPr>
                <w:rFonts w:ascii="Arial" w:cs="Arial" w:eastAsia="Arial" w:hAnsi="Arial"/>
                <w:sz w:val="17"/>
                <w:szCs w:val="17"/>
                <w:color w:val="auto"/>
              </w:rPr>
              <w:t>10.19#</w:t>
            </w:r>
          </w:p>
        </w:tc>
        <w:tc>
          <w:tcPr>
            <w:tcW w:w="340" w:type="dxa"/>
            <w:vAlign w:val="bottom"/>
          </w:tcPr>
          <w:p>
            <w:pPr>
              <w:spacing w:after="0"/>
              <w:rPr>
                <w:sz w:val="23"/>
                <w:szCs w:val="23"/>
                <w:color w:val="auto"/>
              </w:rPr>
            </w:pPr>
          </w:p>
        </w:tc>
        <w:tc>
          <w:tcPr>
            <w:tcW w:w="4600" w:type="dxa"/>
            <w:vAlign w:val="bottom"/>
            <w:tcBorders>
              <w:bottom w:val="single" w:sz="8" w:color="0000EE"/>
            </w:tcBorders>
            <w:gridSpan w:val="7"/>
          </w:tcPr>
          <w:p>
            <w:pPr>
              <w:spacing w:after="0"/>
              <w:rPr>
                <w:sz w:val="20"/>
                <w:szCs w:val="20"/>
                <w:color w:val="auto"/>
              </w:rPr>
            </w:pPr>
            <w:r>
              <w:rPr>
                <w:rFonts w:ascii="Arial" w:cs="Arial" w:eastAsia="Arial" w:hAnsi="Arial"/>
                <w:sz w:val="17"/>
                <w:szCs w:val="17"/>
                <w:color w:val="0000EE"/>
                <w:w w:val="99"/>
              </w:rPr>
              <w:t>Form of Indemnification Agreement for Directors and Officers</w:t>
            </w:r>
          </w:p>
        </w:tc>
        <w:tc>
          <w:tcPr>
            <w:tcW w:w="4780" w:type="dxa"/>
            <w:vAlign w:val="bottom"/>
            <w:gridSpan w:val="5"/>
          </w:tcPr>
          <w:p>
            <w:pPr>
              <w:spacing w:after="0"/>
              <w:rPr>
                <w:sz w:val="23"/>
                <w:szCs w:val="23"/>
                <w:color w:val="auto"/>
              </w:rPr>
            </w:pPr>
          </w:p>
        </w:tc>
      </w:tr>
      <w:tr>
        <w:trPr>
          <w:trHeight w:val="274"/>
        </w:trPr>
        <w:tc>
          <w:tcPr>
            <w:tcW w:w="700" w:type="dxa"/>
            <w:vAlign w:val="bottom"/>
            <w:gridSpan w:val="2"/>
          </w:tcPr>
          <w:p>
            <w:pPr>
              <w:spacing w:after="0"/>
              <w:rPr>
                <w:sz w:val="20"/>
                <w:szCs w:val="20"/>
                <w:color w:val="auto"/>
              </w:rPr>
            </w:pPr>
            <w:r>
              <w:rPr>
                <w:rFonts w:ascii="Arial" w:cs="Arial" w:eastAsia="Arial" w:hAnsi="Arial"/>
                <w:sz w:val="17"/>
                <w:szCs w:val="17"/>
                <w:color w:val="auto"/>
              </w:rPr>
              <w:t>10.20#*</w:t>
            </w:r>
          </w:p>
        </w:tc>
        <w:tc>
          <w:tcPr>
            <w:tcW w:w="340" w:type="dxa"/>
            <w:vAlign w:val="bottom"/>
          </w:tcPr>
          <w:p>
            <w:pPr>
              <w:spacing w:after="0"/>
              <w:rPr>
                <w:sz w:val="23"/>
                <w:szCs w:val="23"/>
                <w:color w:val="auto"/>
              </w:rPr>
            </w:pPr>
          </w:p>
        </w:tc>
        <w:tc>
          <w:tcPr>
            <w:tcW w:w="4760" w:type="dxa"/>
            <w:vAlign w:val="bottom"/>
            <w:tcBorders>
              <w:bottom w:val="single" w:sz="8" w:color="0000EE"/>
            </w:tcBorders>
            <w:gridSpan w:val="8"/>
          </w:tcPr>
          <w:p>
            <w:pPr>
              <w:spacing w:after="0"/>
              <w:rPr>
                <w:rFonts w:ascii="Arial" w:cs="Arial" w:eastAsia="Arial" w:hAnsi="Arial"/>
                <w:sz w:val="17"/>
                <w:szCs w:val="17"/>
                <w:color w:val="0000EE"/>
                <w:w w:val="99"/>
              </w:rPr>
            </w:pPr>
            <w:hyperlink r:id="rId367">
              <w:r>
                <w:rPr>
                  <w:rFonts w:ascii="Arial" w:cs="Arial" w:eastAsia="Arial" w:hAnsi="Arial"/>
                  <w:sz w:val="17"/>
                  <w:szCs w:val="17"/>
                  <w:color w:val="0000EE"/>
                  <w:w w:val="99"/>
                </w:rPr>
                <w:t>Policy for the Recovery of Erroneously Awarded Compensation</w:t>
              </w:r>
            </w:hyperlink>
          </w:p>
        </w:tc>
        <w:tc>
          <w:tcPr>
            <w:tcW w:w="4620" w:type="dxa"/>
            <w:vAlign w:val="bottom"/>
            <w:gridSpan w:val="4"/>
          </w:tcPr>
          <w:p>
            <w:pPr>
              <w:spacing w:after="0"/>
              <w:rPr>
                <w:sz w:val="23"/>
                <w:szCs w:val="23"/>
                <w:color w:val="auto"/>
              </w:rPr>
            </w:pPr>
          </w:p>
        </w:tc>
      </w:tr>
      <w:tr>
        <w:trPr>
          <w:trHeight w:val="274"/>
        </w:trPr>
        <w:tc>
          <w:tcPr>
            <w:tcW w:w="700" w:type="dxa"/>
            <w:vAlign w:val="bottom"/>
            <w:gridSpan w:val="2"/>
          </w:tcPr>
          <w:p>
            <w:pPr>
              <w:spacing w:after="0"/>
              <w:rPr>
                <w:sz w:val="20"/>
                <w:szCs w:val="20"/>
                <w:color w:val="auto"/>
              </w:rPr>
            </w:pPr>
            <w:r>
              <w:rPr>
                <w:rFonts w:ascii="Arial" w:cs="Arial" w:eastAsia="Arial" w:hAnsi="Arial"/>
                <w:sz w:val="17"/>
                <w:szCs w:val="17"/>
                <w:color w:val="auto"/>
              </w:rPr>
              <w:t>23.1</w:t>
            </w:r>
          </w:p>
        </w:tc>
        <w:tc>
          <w:tcPr>
            <w:tcW w:w="340" w:type="dxa"/>
            <w:vAlign w:val="bottom"/>
          </w:tcPr>
          <w:p>
            <w:pPr>
              <w:spacing w:after="0"/>
              <w:rPr>
                <w:sz w:val="23"/>
                <w:szCs w:val="23"/>
                <w:color w:val="auto"/>
              </w:rPr>
            </w:pPr>
          </w:p>
        </w:tc>
        <w:tc>
          <w:tcPr>
            <w:tcW w:w="5240" w:type="dxa"/>
            <w:vAlign w:val="bottom"/>
            <w:tcBorders>
              <w:bottom w:val="single" w:sz="8" w:color="0000EE"/>
            </w:tcBorders>
            <w:gridSpan w:val="9"/>
          </w:tcPr>
          <w:p>
            <w:pPr>
              <w:spacing w:after="0"/>
              <w:rPr>
                <w:sz w:val="20"/>
                <w:szCs w:val="20"/>
                <w:color w:val="auto"/>
              </w:rPr>
            </w:pPr>
            <w:r>
              <w:rPr>
                <w:rFonts w:ascii="Arial" w:cs="Arial" w:eastAsia="Arial" w:hAnsi="Arial"/>
                <w:sz w:val="17"/>
                <w:szCs w:val="17"/>
                <w:color w:val="0000EE"/>
                <w:w w:val="99"/>
              </w:rPr>
              <w:t>Consent of KPMG LLP, independent registered public accounting firm</w:t>
            </w:r>
          </w:p>
        </w:tc>
        <w:tc>
          <w:tcPr>
            <w:tcW w:w="4140" w:type="dxa"/>
            <w:vAlign w:val="bottom"/>
            <w:gridSpan w:val="3"/>
          </w:tcPr>
          <w:p>
            <w:pPr>
              <w:spacing w:after="0"/>
              <w:rPr>
                <w:sz w:val="23"/>
                <w:szCs w:val="23"/>
                <w:color w:val="auto"/>
              </w:rPr>
            </w:pPr>
          </w:p>
        </w:tc>
      </w:tr>
      <w:tr>
        <w:trPr>
          <w:trHeight w:val="274"/>
        </w:trPr>
        <w:tc>
          <w:tcPr>
            <w:tcW w:w="700" w:type="dxa"/>
            <w:vAlign w:val="bottom"/>
            <w:gridSpan w:val="2"/>
          </w:tcPr>
          <w:p>
            <w:pPr>
              <w:spacing w:after="0"/>
              <w:rPr>
                <w:sz w:val="20"/>
                <w:szCs w:val="20"/>
                <w:color w:val="auto"/>
              </w:rPr>
            </w:pPr>
            <w:r>
              <w:rPr>
                <w:rFonts w:ascii="Arial" w:cs="Arial" w:eastAsia="Arial" w:hAnsi="Arial"/>
                <w:sz w:val="17"/>
                <w:szCs w:val="17"/>
                <w:color w:val="auto"/>
              </w:rPr>
              <w:t>23.2</w:t>
            </w:r>
          </w:p>
        </w:tc>
        <w:tc>
          <w:tcPr>
            <w:tcW w:w="340" w:type="dxa"/>
            <w:vAlign w:val="bottom"/>
          </w:tcPr>
          <w:p>
            <w:pPr>
              <w:spacing w:after="0"/>
              <w:rPr>
                <w:sz w:val="23"/>
                <w:szCs w:val="23"/>
                <w:color w:val="auto"/>
              </w:rPr>
            </w:pPr>
          </w:p>
        </w:tc>
        <w:tc>
          <w:tcPr>
            <w:tcW w:w="9380" w:type="dxa"/>
            <w:vAlign w:val="bottom"/>
            <w:gridSpan w:val="12"/>
          </w:tcPr>
          <w:p>
            <w:pPr>
              <w:spacing w:after="0"/>
              <w:rPr>
                <w:sz w:val="20"/>
                <w:szCs w:val="20"/>
                <w:color w:val="auto"/>
              </w:rPr>
            </w:pPr>
            <w:r>
              <w:rPr>
                <w:rFonts w:ascii="Arial" w:cs="Arial" w:eastAsia="Arial" w:hAnsi="Arial"/>
                <w:sz w:val="17"/>
                <w:szCs w:val="17"/>
                <w:color w:val="auto"/>
              </w:rPr>
              <w:t>Consent of Latham &amp; Watkins LLP (</w:t>
            </w:r>
            <w:r>
              <w:rPr>
                <w:rFonts w:ascii="Arial" w:cs="Arial" w:eastAsia="Arial" w:hAnsi="Arial"/>
                <w:sz w:val="17"/>
                <w:szCs w:val="17"/>
                <w:color w:val="0000EE"/>
              </w:rPr>
              <w:t>included in Exhibit 5.1</w:t>
            </w:r>
            <w:r>
              <w:rPr>
                <w:rFonts w:ascii="Arial" w:cs="Arial" w:eastAsia="Arial" w:hAnsi="Arial"/>
                <w:sz w:val="17"/>
                <w:szCs w:val="17"/>
                <w:color w:val="auto"/>
              </w:rPr>
              <w:t>)</w:t>
            </w:r>
          </w:p>
        </w:tc>
      </w:tr>
      <w:tr>
        <w:trPr>
          <w:trHeight w:val="20"/>
        </w:trPr>
        <w:tc>
          <w:tcPr>
            <w:tcW w:w="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r>
      <w:tr>
        <w:trPr>
          <w:trHeight w:val="274"/>
        </w:trPr>
        <w:tc>
          <w:tcPr>
            <w:tcW w:w="700" w:type="dxa"/>
            <w:vAlign w:val="bottom"/>
            <w:gridSpan w:val="2"/>
          </w:tcPr>
          <w:p>
            <w:pPr>
              <w:spacing w:after="0"/>
              <w:rPr>
                <w:sz w:val="20"/>
                <w:szCs w:val="20"/>
                <w:color w:val="auto"/>
              </w:rPr>
            </w:pPr>
            <w:r>
              <w:rPr>
                <w:rFonts w:ascii="Arial" w:cs="Arial" w:eastAsia="Arial" w:hAnsi="Arial"/>
                <w:sz w:val="17"/>
                <w:szCs w:val="17"/>
                <w:color w:val="auto"/>
              </w:rPr>
              <w:t>24.1*</w:t>
            </w:r>
          </w:p>
        </w:tc>
        <w:tc>
          <w:tcPr>
            <w:tcW w:w="340" w:type="dxa"/>
            <w:vAlign w:val="bottom"/>
          </w:tcPr>
          <w:p>
            <w:pPr>
              <w:spacing w:after="0"/>
              <w:rPr>
                <w:sz w:val="23"/>
                <w:szCs w:val="23"/>
                <w:color w:val="auto"/>
              </w:rPr>
            </w:pPr>
          </w:p>
        </w:tc>
        <w:tc>
          <w:tcPr>
            <w:tcW w:w="3560" w:type="dxa"/>
            <w:vAlign w:val="bottom"/>
            <w:tcBorders>
              <w:bottom w:val="single" w:sz="8" w:color="0000EE"/>
            </w:tcBorders>
            <w:gridSpan w:val="4"/>
          </w:tcPr>
          <w:p>
            <w:pPr>
              <w:spacing w:after="0"/>
              <w:rPr>
                <w:rFonts w:ascii="Arial" w:cs="Arial" w:eastAsia="Arial" w:hAnsi="Arial"/>
                <w:sz w:val="17"/>
                <w:szCs w:val="17"/>
                <w:color w:val="0000EE"/>
                <w:w w:val="99"/>
              </w:rPr>
            </w:pPr>
            <w:hyperlink r:id="rId368">
              <w:r>
                <w:rPr>
                  <w:rFonts w:ascii="Arial" w:cs="Arial" w:eastAsia="Arial" w:hAnsi="Arial"/>
                  <w:sz w:val="17"/>
                  <w:szCs w:val="17"/>
                  <w:color w:val="0000EE"/>
                  <w:w w:val="99"/>
                </w:rPr>
                <w:t>Power of Attorney (included on signature page)</w:t>
              </w:r>
            </w:hyperlink>
          </w:p>
        </w:tc>
        <w:tc>
          <w:tcPr>
            <w:tcW w:w="5820" w:type="dxa"/>
            <w:vAlign w:val="bottom"/>
            <w:gridSpan w:val="8"/>
          </w:tcPr>
          <w:p>
            <w:pPr>
              <w:spacing w:after="0"/>
              <w:rPr>
                <w:sz w:val="23"/>
                <w:szCs w:val="23"/>
                <w:color w:val="auto"/>
              </w:rPr>
            </w:pPr>
          </w:p>
        </w:tc>
      </w:tr>
    </w:tbl>
    <w:p>
      <w:pPr>
        <w:spacing w:after="0" w:line="98" w:lineRule="exact"/>
        <w:rPr>
          <w:sz w:val="20"/>
          <w:szCs w:val="20"/>
          <w:color w:val="auto"/>
        </w:rPr>
      </w:pPr>
    </w:p>
    <w:p>
      <w:pPr>
        <w:ind w:left="1460" w:hanging="1049"/>
        <w:spacing w:after="0"/>
        <w:tabs>
          <w:tab w:leader="none" w:pos="1460"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97790</wp:posOffset>
            </wp:positionV>
            <wp:extent cx="73025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9">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177" w:lineRule="exact"/>
        <w:rPr>
          <w:sz w:val="20"/>
          <w:szCs w:val="20"/>
          <w:color w:val="auto"/>
        </w:rPr>
      </w:pPr>
    </w:p>
    <w:p>
      <w:pPr>
        <w:ind w:left="820" w:hanging="409"/>
        <w:spacing w:after="0"/>
        <w:tabs>
          <w:tab w:leader="none" w:pos="82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Previously filed</w:t>
      </w:r>
    </w:p>
    <w:p>
      <w:pPr>
        <w:spacing w:after="0" w:line="4" w:lineRule="exact"/>
        <w:rPr>
          <w:sz w:val="20"/>
          <w:szCs w:val="20"/>
          <w:color w:val="auto"/>
        </w:rPr>
      </w:pPr>
    </w:p>
    <w:p>
      <w:pPr>
        <w:ind w:left="820" w:hanging="409"/>
        <w:spacing w:after="0"/>
        <w:tabs>
          <w:tab w:leader="none" w:pos="82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112"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II-6</w:t>
      </w:r>
    </w:p>
    <w:p>
      <w:pPr>
        <w:sectPr>
          <w:pgSz w:w="11900" w:h="16838" w:orient="portrait"/>
          <w:cols w:equalWidth="0" w:num="1">
            <w:col w:w="10840"/>
          </w:cols>
          <w:pgMar w:left="320" w:top="439" w:right="7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3"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SIGNATURES</w:t>
      </w:r>
    </w:p>
    <w:p>
      <w:pPr>
        <w:spacing w:after="0" w:line="201" w:lineRule="exact"/>
        <w:rPr>
          <w:sz w:val="20"/>
          <w:szCs w:val="20"/>
          <w:color w:val="auto"/>
        </w:rPr>
      </w:pPr>
    </w:p>
    <w:p>
      <w:pPr>
        <w:ind w:left="420" w:right="220" w:firstLine="521"/>
        <w:spacing w:after="0" w:line="285" w:lineRule="auto"/>
        <w:rPr>
          <w:sz w:val="20"/>
          <w:szCs w:val="20"/>
          <w:color w:val="auto"/>
        </w:rPr>
      </w:pPr>
      <w:r>
        <w:rPr>
          <w:rFonts w:ascii="Arial" w:cs="Arial" w:eastAsia="Arial" w:hAnsi="Arial"/>
          <w:sz w:val="17"/>
          <w:szCs w:val="17"/>
          <w:color w:val="auto"/>
        </w:rPr>
        <w:t>Pursuant to the requirements of the Securities Act, the registrant has duly caused this registration statement to be signed on its behalf by the undersigned, thereunto duly authorized, in the City of San Diego, State of California, on this 21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day of March, 2024</w:t>
      </w:r>
    </w:p>
    <w:p>
      <w:pPr>
        <w:spacing w:after="0" w:line="40" w:lineRule="exact"/>
        <w:rPr>
          <w:sz w:val="20"/>
          <w:szCs w:val="20"/>
          <w:color w:val="auto"/>
        </w:rPr>
      </w:pPr>
    </w:p>
    <w:p>
      <w:pPr>
        <w:ind w:left="6680"/>
        <w:spacing w:after="0"/>
        <w:rPr>
          <w:sz w:val="20"/>
          <w:szCs w:val="20"/>
          <w:color w:val="auto"/>
        </w:rPr>
      </w:pPr>
      <w:r>
        <w:rPr>
          <w:rFonts w:ascii="Arial" w:cs="Arial" w:eastAsia="Arial" w:hAnsi="Arial"/>
          <w:sz w:val="17"/>
          <w:szCs w:val="17"/>
          <w:b w:val="1"/>
          <w:bCs w:val="1"/>
          <w:color w:val="auto"/>
        </w:rPr>
        <w:t>BOUNDLESS BIO, INC.</w:t>
      </w:r>
    </w:p>
    <w:p>
      <w:pPr>
        <w:spacing w:after="0" w:line="12"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By: /s/ Zachary D. Hornby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-1270</wp:posOffset>
            </wp:positionV>
            <wp:extent cx="242570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ind w:left="7020"/>
        <w:spacing w:after="0"/>
        <w:rPr>
          <w:sz w:val="20"/>
          <w:szCs w:val="20"/>
          <w:color w:val="auto"/>
        </w:rPr>
      </w:pPr>
      <w:r>
        <w:rPr>
          <w:rFonts w:ascii="Arial" w:cs="Arial" w:eastAsia="Arial" w:hAnsi="Arial"/>
          <w:sz w:val="17"/>
          <w:szCs w:val="17"/>
          <w:color w:val="auto"/>
        </w:rPr>
        <w:t>Zachary D. Hornby</w:t>
      </w:r>
    </w:p>
    <w:p>
      <w:pPr>
        <w:spacing w:after="0" w:line="5"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President and Chief Executive Officer</w:t>
      </w:r>
    </w:p>
    <w:p>
      <w:pPr>
        <w:spacing w:after="0" w:line="185" w:lineRule="exact"/>
        <w:rPr>
          <w:sz w:val="20"/>
          <w:szCs w:val="20"/>
          <w:color w:val="auto"/>
        </w:rPr>
      </w:pPr>
    </w:p>
    <w:p>
      <w:pPr>
        <w:ind w:left="420" w:firstLine="521"/>
        <w:spacing w:after="0" w:line="270"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by the following persons in the capacities held on the dates indicated.</w:t>
      </w:r>
    </w:p>
    <w:p>
      <w:pPr>
        <w:spacing w:after="0" w:line="166"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9"/>
              </w:rPr>
              <w:t>Signature</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20" w:type="dxa"/>
            <w:vAlign w:val="bottom"/>
          </w:tcPr>
          <w:p>
            <w:pPr>
              <w:ind w:left="2380"/>
              <w:spacing w:after="0"/>
              <w:rPr>
                <w:sz w:val="20"/>
                <w:szCs w:val="20"/>
                <w:color w:val="auto"/>
              </w:rPr>
            </w:pPr>
            <w:r>
              <w:rPr>
                <w:rFonts w:ascii="Arial" w:cs="Arial" w:eastAsia="Arial" w:hAnsi="Arial"/>
                <w:sz w:val="14"/>
                <w:szCs w:val="14"/>
                <w:b w:val="1"/>
                <w:bCs w:val="1"/>
                <w:color w:val="auto"/>
              </w:rPr>
              <w:t>Title</w:t>
            </w:r>
          </w:p>
        </w:tc>
        <w:tc>
          <w:tcPr>
            <w:tcW w:w="2120" w:type="dxa"/>
            <w:vAlign w:val="bottom"/>
          </w:tcPr>
          <w:p>
            <w:pPr>
              <w:jc w:val="center"/>
              <w:ind w:left="856"/>
              <w:spacing w:after="0"/>
              <w:rPr>
                <w:sz w:val="20"/>
                <w:szCs w:val="20"/>
                <w:color w:val="auto"/>
              </w:rPr>
            </w:pPr>
            <w:r>
              <w:rPr>
                <w:rFonts w:ascii="Arial" w:cs="Arial" w:eastAsia="Arial" w:hAnsi="Arial"/>
                <w:sz w:val="14"/>
                <w:szCs w:val="14"/>
                <w:b w:val="1"/>
                <w:bCs w:val="1"/>
                <w:color w:val="auto"/>
                <w:w w:val="98"/>
              </w:rPr>
              <w:t>Date</w:t>
            </w:r>
          </w:p>
        </w:tc>
      </w:tr>
      <w:tr>
        <w:trPr>
          <w:trHeight w:val="201"/>
        </w:trPr>
        <w:tc>
          <w:tcPr>
            <w:tcW w:w="4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7"/>
                <w:szCs w:val="17"/>
                <w:color w:val="auto"/>
              </w:rPr>
              <w:t>/s/ Zachary D. Hornby</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620" w:type="dxa"/>
            <w:vAlign w:val="bottom"/>
          </w:tcPr>
          <w:p>
            <w:pPr>
              <w:ind w:left="120"/>
              <w:spacing w:after="0" w:line="194" w:lineRule="exact"/>
              <w:rPr>
                <w:sz w:val="20"/>
                <w:szCs w:val="20"/>
                <w:color w:val="auto"/>
              </w:rPr>
            </w:pPr>
            <w:r>
              <w:rPr>
                <w:rFonts w:ascii="Arial" w:cs="Arial" w:eastAsia="Arial" w:hAnsi="Arial"/>
                <w:sz w:val="17"/>
                <w:szCs w:val="17"/>
                <w:color w:val="auto"/>
              </w:rPr>
              <w:t>President, Chief Executive Officer, and Director</w:t>
            </w:r>
          </w:p>
        </w:tc>
        <w:tc>
          <w:tcPr>
            <w:tcW w:w="2120" w:type="dxa"/>
            <w:vAlign w:val="bottom"/>
          </w:tcPr>
          <w:p>
            <w:pPr>
              <w:jc w:val="center"/>
              <w:ind w:left="856"/>
              <w:spacing w:after="0" w:line="194" w:lineRule="exact"/>
              <w:rPr>
                <w:sz w:val="20"/>
                <w:szCs w:val="20"/>
                <w:color w:val="auto"/>
              </w:rPr>
            </w:pPr>
            <w:r>
              <w:rPr>
                <w:rFonts w:ascii="Arial" w:cs="Arial" w:eastAsia="Arial" w:hAnsi="Arial"/>
                <w:sz w:val="17"/>
                <w:szCs w:val="17"/>
                <w:color w:val="auto"/>
                <w:w w:val="99"/>
              </w:rPr>
              <w:t>March 21, 2024</w:t>
            </w:r>
          </w:p>
        </w:tc>
      </w:tr>
      <w:tr>
        <w:trPr>
          <w:trHeight w:val="224"/>
        </w:trPr>
        <w:tc>
          <w:tcPr>
            <w:tcW w:w="48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7"/>
                <w:szCs w:val="17"/>
                <w:color w:val="auto"/>
              </w:rPr>
              <w:t>Zachary D. Hornby</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20" w:type="dxa"/>
            <w:vAlign w:val="bottom"/>
          </w:tcPr>
          <w:p>
            <w:pPr>
              <w:ind w:left="120"/>
              <w:spacing w:after="0"/>
              <w:rPr>
                <w:sz w:val="20"/>
                <w:szCs w:val="20"/>
                <w:color w:val="auto"/>
              </w:rPr>
            </w:pPr>
            <w:r>
              <w:rPr>
                <w:rFonts w:ascii="Arial" w:cs="Arial" w:eastAsia="Arial" w:hAnsi="Arial"/>
                <w:sz w:val="17"/>
                <w:szCs w:val="17"/>
                <w:i w:val="1"/>
                <w:iCs w:val="1"/>
                <w:color w:val="auto"/>
              </w:rPr>
              <w:t>(principal executive officer)</w:t>
            </w:r>
          </w:p>
        </w:tc>
        <w:tc>
          <w:tcPr>
            <w:tcW w:w="2120" w:type="dxa"/>
            <w:vAlign w:val="bottom"/>
          </w:tcPr>
          <w:p>
            <w:pPr>
              <w:spacing w:after="0"/>
              <w:rPr>
                <w:sz w:val="19"/>
                <w:szCs w:val="19"/>
                <w:color w:val="auto"/>
              </w:rPr>
            </w:pPr>
          </w:p>
        </w:tc>
      </w:tr>
      <w:tr>
        <w:trPr>
          <w:trHeight w:val="267"/>
        </w:trPr>
        <w:tc>
          <w:tcPr>
            <w:tcW w:w="48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Jami Rubin</w:t>
            </w:r>
          </w:p>
        </w:tc>
        <w:tc>
          <w:tcPr>
            <w:tcW w:w="1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4620" w:type="dxa"/>
            <w:vAlign w:val="bottom"/>
          </w:tcPr>
          <w:p>
            <w:pPr>
              <w:ind w:left="120"/>
              <w:spacing w:after="0"/>
              <w:rPr>
                <w:sz w:val="20"/>
                <w:szCs w:val="20"/>
                <w:color w:val="auto"/>
              </w:rPr>
            </w:pPr>
            <w:r>
              <w:rPr>
                <w:rFonts w:ascii="Arial" w:cs="Arial" w:eastAsia="Arial" w:hAnsi="Arial"/>
                <w:sz w:val="17"/>
                <w:szCs w:val="17"/>
                <w:color w:val="auto"/>
              </w:rPr>
              <w:t>Chief Financial Officer</w:t>
            </w:r>
          </w:p>
        </w:tc>
        <w:tc>
          <w:tcPr>
            <w:tcW w:w="2120" w:type="dxa"/>
            <w:vAlign w:val="bottom"/>
          </w:tcPr>
          <w:p>
            <w:pPr>
              <w:jc w:val="center"/>
              <w:ind w:left="856"/>
              <w:spacing w:after="0"/>
              <w:rPr>
                <w:sz w:val="20"/>
                <w:szCs w:val="20"/>
                <w:color w:val="auto"/>
              </w:rPr>
            </w:pPr>
            <w:r>
              <w:rPr>
                <w:rFonts w:ascii="Arial" w:cs="Arial" w:eastAsia="Arial" w:hAnsi="Arial"/>
                <w:sz w:val="17"/>
                <w:szCs w:val="17"/>
                <w:color w:val="auto"/>
                <w:w w:val="99"/>
              </w:rPr>
              <w:t>March 21, 2024</w:t>
            </w:r>
          </w:p>
        </w:tc>
      </w:tr>
      <w:tr>
        <w:trPr>
          <w:trHeight w:val="224"/>
        </w:trPr>
        <w:tc>
          <w:tcPr>
            <w:tcW w:w="48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7"/>
                <w:szCs w:val="17"/>
                <w:color w:val="auto"/>
                <w:w w:val="98"/>
              </w:rPr>
              <w:t>Jami Rubin</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20" w:type="dxa"/>
            <w:vAlign w:val="bottom"/>
          </w:tcPr>
          <w:p>
            <w:pPr>
              <w:ind w:left="120"/>
              <w:spacing w:after="0"/>
              <w:rPr>
                <w:sz w:val="20"/>
                <w:szCs w:val="20"/>
                <w:color w:val="auto"/>
              </w:rPr>
            </w:pPr>
            <w:r>
              <w:rPr>
                <w:rFonts w:ascii="Arial" w:cs="Arial" w:eastAsia="Arial" w:hAnsi="Arial"/>
                <w:sz w:val="17"/>
                <w:szCs w:val="17"/>
                <w:i w:val="1"/>
                <w:iCs w:val="1"/>
                <w:color w:val="auto"/>
              </w:rPr>
              <w:t>(principal financial and accounting officer)</w:t>
            </w:r>
          </w:p>
        </w:tc>
        <w:tc>
          <w:tcPr>
            <w:tcW w:w="2120" w:type="dxa"/>
            <w:vAlign w:val="bottom"/>
          </w:tcPr>
          <w:p>
            <w:pPr>
              <w:spacing w:after="0"/>
              <w:rPr>
                <w:sz w:val="19"/>
                <w:szCs w:val="19"/>
                <w:color w:val="auto"/>
              </w:rPr>
            </w:pPr>
          </w:p>
        </w:tc>
      </w:tr>
      <w:tr>
        <w:trPr>
          <w:trHeight w:val="274"/>
        </w:trPr>
        <w:tc>
          <w:tcPr>
            <w:tcW w:w="2640" w:type="dxa"/>
            <w:vAlign w:val="bottom"/>
            <w:tcBorders>
              <w:bottom w:val="single" w:sz="8" w:color="auto"/>
            </w:tcBorders>
            <w:gridSpan w:val="2"/>
          </w:tcPr>
          <w:p>
            <w:pPr>
              <w:jc w:val="center"/>
              <w:ind w:left="375"/>
              <w:spacing w:after="0"/>
              <w:rPr>
                <w:sz w:val="20"/>
                <w:szCs w:val="20"/>
                <w:color w:val="auto"/>
              </w:rPr>
            </w:pPr>
            <w:r>
              <w:rPr>
                <w:rFonts w:ascii="Arial" w:cs="Arial" w:eastAsia="Arial" w:hAnsi="Arial"/>
                <w:sz w:val="17"/>
                <w:szCs w:val="17"/>
                <w:color w:val="auto"/>
                <w:w w:val="89"/>
              </w:rPr>
              <w:t>*</w:t>
            </w:r>
          </w:p>
        </w:tc>
        <w:tc>
          <w:tcPr>
            <w:tcW w:w="1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4620" w:type="dxa"/>
            <w:vAlign w:val="bottom"/>
          </w:tcPr>
          <w:p>
            <w:pPr>
              <w:ind w:left="120"/>
              <w:spacing w:after="0"/>
              <w:rPr>
                <w:sz w:val="20"/>
                <w:szCs w:val="20"/>
                <w:color w:val="auto"/>
              </w:rPr>
            </w:pPr>
            <w:r>
              <w:rPr>
                <w:rFonts w:ascii="Arial" w:cs="Arial" w:eastAsia="Arial" w:hAnsi="Arial"/>
                <w:sz w:val="17"/>
                <w:szCs w:val="17"/>
                <w:color w:val="auto"/>
              </w:rPr>
              <w:t>Chairman</w:t>
            </w:r>
          </w:p>
        </w:tc>
        <w:tc>
          <w:tcPr>
            <w:tcW w:w="2120" w:type="dxa"/>
            <w:vAlign w:val="bottom"/>
          </w:tcPr>
          <w:p>
            <w:pPr>
              <w:jc w:val="center"/>
              <w:ind w:left="856"/>
              <w:spacing w:after="0"/>
              <w:rPr>
                <w:sz w:val="20"/>
                <w:szCs w:val="20"/>
                <w:color w:val="auto"/>
              </w:rPr>
            </w:pPr>
            <w:r>
              <w:rPr>
                <w:rFonts w:ascii="Arial" w:cs="Arial" w:eastAsia="Arial" w:hAnsi="Arial"/>
                <w:sz w:val="17"/>
                <w:szCs w:val="17"/>
                <w:color w:val="auto"/>
                <w:w w:val="99"/>
              </w:rPr>
              <w:t>March 21, 2024</w:t>
            </w:r>
          </w:p>
        </w:tc>
      </w:tr>
      <w:tr>
        <w:trPr>
          <w:trHeight w:val="217"/>
        </w:trPr>
        <w:tc>
          <w:tcPr>
            <w:tcW w:w="4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7"/>
                <w:szCs w:val="17"/>
                <w:color w:val="auto"/>
                <w:w w:val="99"/>
              </w:rPr>
              <w:t>Jonathan E. Lim, M.D.</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74"/>
        </w:trPr>
        <w:tc>
          <w:tcPr>
            <w:tcW w:w="2640" w:type="dxa"/>
            <w:vAlign w:val="bottom"/>
            <w:tcBorders>
              <w:bottom w:val="single" w:sz="8" w:color="auto"/>
            </w:tcBorders>
            <w:gridSpan w:val="2"/>
          </w:tcPr>
          <w:p>
            <w:pPr>
              <w:jc w:val="center"/>
              <w:ind w:left="375"/>
              <w:spacing w:after="0"/>
              <w:rPr>
                <w:sz w:val="20"/>
                <w:szCs w:val="20"/>
                <w:color w:val="auto"/>
              </w:rPr>
            </w:pPr>
            <w:r>
              <w:rPr>
                <w:rFonts w:ascii="Arial" w:cs="Arial" w:eastAsia="Arial" w:hAnsi="Arial"/>
                <w:sz w:val="17"/>
                <w:szCs w:val="17"/>
                <w:color w:val="auto"/>
                <w:w w:val="89"/>
              </w:rPr>
              <w:t>*</w:t>
            </w:r>
          </w:p>
        </w:tc>
        <w:tc>
          <w:tcPr>
            <w:tcW w:w="1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4620" w:type="dxa"/>
            <w:vAlign w:val="bottom"/>
          </w:tcPr>
          <w:p>
            <w:pPr>
              <w:ind w:left="120"/>
              <w:spacing w:after="0"/>
              <w:rPr>
                <w:sz w:val="20"/>
                <w:szCs w:val="20"/>
                <w:color w:val="auto"/>
              </w:rPr>
            </w:pPr>
            <w:r>
              <w:rPr>
                <w:rFonts w:ascii="Arial" w:cs="Arial" w:eastAsia="Arial" w:hAnsi="Arial"/>
                <w:sz w:val="17"/>
                <w:szCs w:val="17"/>
                <w:color w:val="auto"/>
              </w:rPr>
              <w:t>Director</w:t>
            </w:r>
          </w:p>
        </w:tc>
        <w:tc>
          <w:tcPr>
            <w:tcW w:w="2120" w:type="dxa"/>
            <w:vAlign w:val="bottom"/>
          </w:tcPr>
          <w:p>
            <w:pPr>
              <w:jc w:val="center"/>
              <w:ind w:left="856"/>
              <w:spacing w:after="0"/>
              <w:rPr>
                <w:sz w:val="20"/>
                <w:szCs w:val="20"/>
                <w:color w:val="auto"/>
              </w:rPr>
            </w:pPr>
            <w:r>
              <w:rPr>
                <w:rFonts w:ascii="Arial" w:cs="Arial" w:eastAsia="Arial" w:hAnsi="Arial"/>
                <w:sz w:val="17"/>
                <w:szCs w:val="17"/>
                <w:color w:val="auto"/>
                <w:w w:val="99"/>
              </w:rPr>
              <w:t>March 21, 2024</w:t>
            </w:r>
          </w:p>
        </w:tc>
      </w:tr>
      <w:tr>
        <w:trPr>
          <w:trHeight w:val="217"/>
        </w:trPr>
        <w:tc>
          <w:tcPr>
            <w:tcW w:w="4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7"/>
                <w:szCs w:val="17"/>
                <w:color w:val="auto"/>
                <w:w w:val="99"/>
              </w:rPr>
              <w:t>Christine Brennan, Ph.D.</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74"/>
        </w:trPr>
        <w:tc>
          <w:tcPr>
            <w:tcW w:w="2640" w:type="dxa"/>
            <w:vAlign w:val="bottom"/>
            <w:tcBorders>
              <w:bottom w:val="single" w:sz="8" w:color="auto"/>
            </w:tcBorders>
            <w:gridSpan w:val="2"/>
          </w:tcPr>
          <w:p>
            <w:pPr>
              <w:jc w:val="center"/>
              <w:ind w:left="375"/>
              <w:spacing w:after="0"/>
              <w:rPr>
                <w:sz w:val="20"/>
                <w:szCs w:val="20"/>
                <w:color w:val="auto"/>
              </w:rPr>
            </w:pPr>
            <w:r>
              <w:rPr>
                <w:rFonts w:ascii="Arial" w:cs="Arial" w:eastAsia="Arial" w:hAnsi="Arial"/>
                <w:sz w:val="17"/>
                <w:szCs w:val="17"/>
                <w:color w:val="auto"/>
                <w:w w:val="89"/>
              </w:rPr>
              <w:t>*</w:t>
            </w:r>
          </w:p>
        </w:tc>
        <w:tc>
          <w:tcPr>
            <w:tcW w:w="1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4620" w:type="dxa"/>
            <w:vAlign w:val="bottom"/>
          </w:tcPr>
          <w:p>
            <w:pPr>
              <w:ind w:left="120"/>
              <w:spacing w:after="0"/>
              <w:rPr>
                <w:sz w:val="20"/>
                <w:szCs w:val="20"/>
                <w:color w:val="auto"/>
              </w:rPr>
            </w:pPr>
            <w:r>
              <w:rPr>
                <w:rFonts w:ascii="Arial" w:cs="Arial" w:eastAsia="Arial" w:hAnsi="Arial"/>
                <w:sz w:val="17"/>
                <w:szCs w:val="17"/>
                <w:color w:val="auto"/>
              </w:rPr>
              <w:t>Director</w:t>
            </w:r>
          </w:p>
        </w:tc>
        <w:tc>
          <w:tcPr>
            <w:tcW w:w="2120" w:type="dxa"/>
            <w:vAlign w:val="bottom"/>
          </w:tcPr>
          <w:p>
            <w:pPr>
              <w:jc w:val="center"/>
              <w:ind w:left="856"/>
              <w:spacing w:after="0"/>
              <w:rPr>
                <w:sz w:val="20"/>
                <w:szCs w:val="20"/>
                <w:color w:val="auto"/>
              </w:rPr>
            </w:pPr>
            <w:r>
              <w:rPr>
                <w:rFonts w:ascii="Arial" w:cs="Arial" w:eastAsia="Arial" w:hAnsi="Arial"/>
                <w:sz w:val="17"/>
                <w:szCs w:val="17"/>
                <w:color w:val="auto"/>
                <w:w w:val="99"/>
              </w:rPr>
              <w:t>March 21, 2024</w:t>
            </w:r>
          </w:p>
        </w:tc>
      </w:tr>
      <w:tr>
        <w:trPr>
          <w:trHeight w:val="217"/>
        </w:trPr>
        <w:tc>
          <w:tcPr>
            <w:tcW w:w="4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7"/>
                <w:szCs w:val="17"/>
                <w:color w:val="auto"/>
              </w:rPr>
              <w:t>Kristina Burow</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74"/>
        </w:trPr>
        <w:tc>
          <w:tcPr>
            <w:tcW w:w="2640" w:type="dxa"/>
            <w:vAlign w:val="bottom"/>
            <w:tcBorders>
              <w:bottom w:val="single" w:sz="8" w:color="auto"/>
            </w:tcBorders>
            <w:gridSpan w:val="2"/>
          </w:tcPr>
          <w:p>
            <w:pPr>
              <w:jc w:val="center"/>
              <w:ind w:left="375"/>
              <w:spacing w:after="0"/>
              <w:rPr>
                <w:sz w:val="20"/>
                <w:szCs w:val="20"/>
                <w:color w:val="auto"/>
              </w:rPr>
            </w:pPr>
            <w:r>
              <w:rPr>
                <w:rFonts w:ascii="Arial" w:cs="Arial" w:eastAsia="Arial" w:hAnsi="Arial"/>
                <w:sz w:val="17"/>
                <w:szCs w:val="17"/>
                <w:color w:val="auto"/>
                <w:w w:val="89"/>
              </w:rPr>
              <w:t>*</w:t>
            </w:r>
          </w:p>
        </w:tc>
        <w:tc>
          <w:tcPr>
            <w:tcW w:w="1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4620" w:type="dxa"/>
            <w:vAlign w:val="bottom"/>
          </w:tcPr>
          <w:p>
            <w:pPr>
              <w:ind w:left="120"/>
              <w:spacing w:after="0"/>
              <w:rPr>
                <w:sz w:val="20"/>
                <w:szCs w:val="20"/>
                <w:color w:val="auto"/>
              </w:rPr>
            </w:pPr>
            <w:r>
              <w:rPr>
                <w:rFonts w:ascii="Arial" w:cs="Arial" w:eastAsia="Arial" w:hAnsi="Arial"/>
                <w:sz w:val="17"/>
                <w:szCs w:val="17"/>
                <w:color w:val="auto"/>
              </w:rPr>
              <w:t>Director</w:t>
            </w:r>
          </w:p>
        </w:tc>
        <w:tc>
          <w:tcPr>
            <w:tcW w:w="2120" w:type="dxa"/>
            <w:vAlign w:val="bottom"/>
          </w:tcPr>
          <w:p>
            <w:pPr>
              <w:jc w:val="center"/>
              <w:ind w:left="856"/>
              <w:spacing w:after="0"/>
              <w:rPr>
                <w:sz w:val="20"/>
                <w:szCs w:val="20"/>
                <w:color w:val="auto"/>
              </w:rPr>
            </w:pPr>
            <w:r>
              <w:rPr>
                <w:rFonts w:ascii="Arial" w:cs="Arial" w:eastAsia="Arial" w:hAnsi="Arial"/>
                <w:sz w:val="17"/>
                <w:szCs w:val="17"/>
                <w:color w:val="auto"/>
                <w:w w:val="99"/>
              </w:rPr>
              <w:t>March 21, 2024</w:t>
            </w:r>
          </w:p>
        </w:tc>
      </w:tr>
      <w:tr>
        <w:trPr>
          <w:trHeight w:val="217"/>
        </w:trPr>
        <w:tc>
          <w:tcPr>
            <w:tcW w:w="4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7"/>
                <w:szCs w:val="17"/>
                <w:color w:val="auto"/>
              </w:rPr>
              <w:t>James Christensen, Ph.D.</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74"/>
        </w:trPr>
        <w:tc>
          <w:tcPr>
            <w:tcW w:w="2640" w:type="dxa"/>
            <w:vAlign w:val="bottom"/>
            <w:tcBorders>
              <w:bottom w:val="single" w:sz="8" w:color="auto"/>
            </w:tcBorders>
            <w:gridSpan w:val="2"/>
          </w:tcPr>
          <w:p>
            <w:pPr>
              <w:jc w:val="center"/>
              <w:ind w:left="375"/>
              <w:spacing w:after="0"/>
              <w:rPr>
                <w:sz w:val="20"/>
                <w:szCs w:val="20"/>
                <w:color w:val="auto"/>
              </w:rPr>
            </w:pPr>
            <w:r>
              <w:rPr>
                <w:rFonts w:ascii="Arial" w:cs="Arial" w:eastAsia="Arial" w:hAnsi="Arial"/>
                <w:sz w:val="17"/>
                <w:szCs w:val="17"/>
                <w:color w:val="auto"/>
                <w:w w:val="89"/>
              </w:rPr>
              <w:t>*</w:t>
            </w:r>
          </w:p>
        </w:tc>
        <w:tc>
          <w:tcPr>
            <w:tcW w:w="1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4620" w:type="dxa"/>
            <w:vAlign w:val="bottom"/>
          </w:tcPr>
          <w:p>
            <w:pPr>
              <w:ind w:left="120"/>
              <w:spacing w:after="0"/>
              <w:rPr>
                <w:sz w:val="20"/>
                <w:szCs w:val="20"/>
                <w:color w:val="auto"/>
              </w:rPr>
            </w:pPr>
            <w:r>
              <w:rPr>
                <w:rFonts w:ascii="Arial" w:cs="Arial" w:eastAsia="Arial" w:hAnsi="Arial"/>
                <w:sz w:val="17"/>
                <w:szCs w:val="17"/>
                <w:color w:val="auto"/>
              </w:rPr>
              <w:t>Director</w:t>
            </w:r>
          </w:p>
        </w:tc>
        <w:tc>
          <w:tcPr>
            <w:tcW w:w="2120" w:type="dxa"/>
            <w:vAlign w:val="bottom"/>
          </w:tcPr>
          <w:p>
            <w:pPr>
              <w:jc w:val="center"/>
              <w:ind w:left="856"/>
              <w:spacing w:after="0"/>
              <w:rPr>
                <w:sz w:val="20"/>
                <w:szCs w:val="20"/>
                <w:color w:val="auto"/>
              </w:rPr>
            </w:pPr>
            <w:r>
              <w:rPr>
                <w:rFonts w:ascii="Arial" w:cs="Arial" w:eastAsia="Arial" w:hAnsi="Arial"/>
                <w:sz w:val="17"/>
                <w:szCs w:val="17"/>
                <w:color w:val="auto"/>
                <w:w w:val="99"/>
              </w:rPr>
              <w:t>March 21, 2024</w:t>
            </w:r>
          </w:p>
        </w:tc>
      </w:tr>
      <w:tr>
        <w:trPr>
          <w:trHeight w:val="217"/>
        </w:trPr>
        <w:tc>
          <w:tcPr>
            <w:tcW w:w="4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7"/>
                <w:szCs w:val="17"/>
                <w:color w:val="auto"/>
                <w:w w:val="99"/>
              </w:rPr>
              <w:t>Jennifer Lew</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74"/>
        </w:trPr>
        <w:tc>
          <w:tcPr>
            <w:tcW w:w="2640" w:type="dxa"/>
            <w:vAlign w:val="bottom"/>
            <w:tcBorders>
              <w:bottom w:val="single" w:sz="8" w:color="auto"/>
            </w:tcBorders>
            <w:gridSpan w:val="2"/>
          </w:tcPr>
          <w:p>
            <w:pPr>
              <w:jc w:val="center"/>
              <w:ind w:left="375"/>
              <w:spacing w:after="0"/>
              <w:rPr>
                <w:sz w:val="20"/>
                <w:szCs w:val="20"/>
                <w:color w:val="auto"/>
              </w:rPr>
            </w:pPr>
            <w:r>
              <w:rPr>
                <w:rFonts w:ascii="Arial" w:cs="Arial" w:eastAsia="Arial" w:hAnsi="Arial"/>
                <w:sz w:val="17"/>
                <w:szCs w:val="17"/>
                <w:color w:val="auto"/>
                <w:w w:val="89"/>
              </w:rPr>
              <w:t>*</w:t>
            </w:r>
          </w:p>
        </w:tc>
        <w:tc>
          <w:tcPr>
            <w:tcW w:w="1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4620" w:type="dxa"/>
            <w:vAlign w:val="bottom"/>
          </w:tcPr>
          <w:p>
            <w:pPr>
              <w:ind w:left="120"/>
              <w:spacing w:after="0"/>
              <w:rPr>
                <w:sz w:val="20"/>
                <w:szCs w:val="20"/>
                <w:color w:val="auto"/>
              </w:rPr>
            </w:pPr>
            <w:r>
              <w:rPr>
                <w:rFonts w:ascii="Arial" w:cs="Arial" w:eastAsia="Arial" w:hAnsi="Arial"/>
                <w:sz w:val="17"/>
                <w:szCs w:val="17"/>
                <w:color w:val="auto"/>
              </w:rPr>
              <w:t>Director</w:t>
            </w:r>
          </w:p>
        </w:tc>
        <w:tc>
          <w:tcPr>
            <w:tcW w:w="2120" w:type="dxa"/>
            <w:vAlign w:val="bottom"/>
          </w:tcPr>
          <w:p>
            <w:pPr>
              <w:jc w:val="center"/>
              <w:ind w:left="856"/>
              <w:spacing w:after="0"/>
              <w:rPr>
                <w:sz w:val="20"/>
                <w:szCs w:val="20"/>
                <w:color w:val="auto"/>
              </w:rPr>
            </w:pPr>
            <w:r>
              <w:rPr>
                <w:rFonts w:ascii="Arial" w:cs="Arial" w:eastAsia="Arial" w:hAnsi="Arial"/>
                <w:sz w:val="17"/>
                <w:szCs w:val="17"/>
                <w:color w:val="auto"/>
                <w:w w:val="99"/>
              </w:rPr>
              <w:t>March 21, 2024</w:t>
            </w:r>
          </w:p>
        </w:tc>
      </w:tr>
      <w:tr>
        <w:trPr>
          <w:trHeight w:val="217"/>
        </w:trPr>
        <w:tc>
          <w:tcPr>
            <w:tcW w:w="4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7"/>
                <w:szCs w:val="17"/>
                <w:color w:val="auto"/>
                <w:w w:val="99"/>
              </w:rPr>
              <w:t>Jakob Loven, Ph.D.</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74"/>
        </w:trPr>
        <w:tc>
          <w:tcPr>
            <w:tcW w:w="2640" w:type="dxa"/>
            <w:vAlign w:val="bottom"/>
            <w:tcBorders>
              <w:bottom w:val="single" w:sz="8" w:color="auto"/>
            </w:tcBorders>
            <w:gridSpan w:val="2"/>
          </w:tcPr>
          <w:p>
            <w:pPr>
              <w:jc w:val="center"/>
              <w:ind w:left="375"/>
              <w:spacing w:after="0"/>
              <w:rPr>
                <w:sz w:val="20"/>
                <w:szCs w:val="20"/>
                <w:color w:val="auto"/>
              </w:rPr>
            </w:pPr>
            <w:r>
              <w:rPr>
                <w:rFonts w:ascii="Arial" w:cs="Arial" w:eastAsia="Arial" w:hAnsi="Arial"/>
                <w:sz w:val="17"/>
                <w:szCs w:val="17"/>
                <w:color w:val="auto"/>
                <w:w w:val="89"/>
              </w:rPr>
              <w:t>*</w:t>
            </w:r>
          </w:p>
        </w:tc>
        <w:tc>
          <w:tcPr>
            <w:tcW w:w="1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4620" w:type="dxa"/>
            <w:vAlign w:val="bottom"/>
          </w:tcPr>
          <w:p>
            <w:pPr>
              <w:ind w:left="120"/>
              <w:spacing w:after="0"/>
              <w:rPr>
                <w:sz w:val="20"/>
                <w:szCs w:val="20"/>
                <w:color w:val="auto"/>
              </w:rPr>
            </w:pPr>
            <w:r>
              <w:rPr>
                <w:rFonts w:ascii="Arial" w:cs="Arial" w:eastAsia="Arial" w:hAnsi="Arial"/>
                <w:sz w:val="17"/>
                <w:szCs w:val="17"/>
                <w:color w:val="auto"/>
              </w:rPr>
              <w:t>Director</w:t>
            </w:r>
          </w:p>
        </w:tc>
        <w:tc>
          <w:tcPr>
            <w:tcW w:w="2120" w:type="dxa"/>
            <w:vAlign w:val="bottom"/>
          </w:tcPr>
          <w:p>
            <w:pPr>
              <w:jc w:val="center"/>
              <w:ind w:left="856"/>
              <w:spacing w:after="0"/>
              <w:rPr>
                <w:sz w:val="20"/>
                <w:szCs w:val="20"/>
                <w:color w:val="auto"/>
              </w:rPr>
            </w:pPr>
            <w:r>
              <w:rPr>
                <w:rFonts w:ascii="Arial" w:cs="Arial" w:eastAsia="Arial" w:hAnsi="Arial"/>
                <w:sz w:val="17"/>
                <w:szCs w:val="17"/>
                <w:color w:val="auto"/>
                <w:w w:val="99"/>
              </w:rPr>
              <w:t>March 21, 2024</w:t>
            </w:r>
          </w:p>
        </w:tc>
      </w:tr>
      <w:tr>
        <w:trPr>
          <w:trHeight w:val="217"/>
        </w:trPr>
        <w:tc>
          <w:tcPr>
            <w:tcW w:w="4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7"/>
                <w:szCs w:val="17"/>
                <w:color w:val="auto"/>
                <w:w w:val="99"/>
              </w:rPr>
              <w:t>Fabio Pucci, Ph.D.</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74"/>
        </w:trPr>
        <w:tc>
          <w:tcPr>
            <w:tcW w:w="2640" w:type="dxa"/>
            <w:vAlign w:val="bottom"/>
            <w:tcBorders>
              <w:bottom w:val="single" w:sz="8" w:color="auto"/>
            </w:tcBorders>
            <w:gridSpan w:val="2"/>
          </w:tcPr>
          <w:p>
            <w:pPr>
              <w:jc w:val="center"/>
              <w:ind w:left="375"/>
              <w:spacing w:after="0"/>
              <w:rPr>
                <w:sz w:val="20"/>
                <w:szCs w:val="20"/>
                <w:color w:val="auto"/>
              </w:rPr>
            </w:pPr>
            <w:r>
              <w:rPr>
                <w:rFonts w:ascii="Arial" w:cs="Arial" w:eastAsia="Arial" w:hAnsi="Arial"/>
                <w:sz w:val="17"/>
                <w:szCs w:val="17"/>
                <w:color w:val="auto"/>
                <w:w w:val="89"/>
              </w:rPr>
              <w:t>*</w:t>
            </w:r>
          </w:p>
        </w:tc>
        <w:tc>
          <w:tcPr>
            <w:tcW w:w="1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4620" w:type="dxa"/>
            <w:vAlign w:val="bottom"/>
          </w:tcPr>
          <w:p>
            <w:pPr>
              <w:ind w:left="120"/>
              <w:spacing w:after="0"/>
              <w:rPr>
                <w:sz w:val="20"/>
                <w:szCs w:val="20"/>
                <w:color w:val="auto"/>
              </w:rPr>
            </w:pPr>
            <w:r>
              <w:rPr>
                <w:rFonts w:ascii="Arial" w:cs="Arial" w:eastAsia="Arial" w:hAnsi="Arial"/>
                <w:sz w:val="17"/>
                <w:szCs w:val="17"/>
                <w:color w:val="auto"/>
              </w:rPr>
              <w:t>Director</w:t>
            </w:r>
          </w:p>
        </w:tc>
        <w:tc>
          <w:tcPr>
            <w:tcW w:w="2120" w:type="dxa"/>
            <w:vAlign w:val="bottom"/>
          </w:tcPr>
          <w:p>
            <w:pPr>
              <w:jc w:val="center"/>
              <w:ind w:left="856"/>
              <w:spacing w:after="0"/>
              <w:rPr>
                <w:sz w:val="20"/>
                <w:szCs w:val="20"/>
                <w:color w:val="auto"/>
              </w:rPr>
            </w:pPr>
            <w:r>
              <w:rPr>
                <w:rFonts w:ascii="Arial" w:cs="Arial" w:eastAsia="Arial" w:hAnsi="Arial"/>
                <w:sz w:val="17"/>
                <w:szCs w:val="17"/>
                <w:color w:val="auto"/>
                <w:w w:val="99"/>
              </w:rPr>
              <w:t>March 21, 2024</w:t>
            </w:r>
          </w:p>
        </w:tc>
      </w:tr>
      <w:tr>
        <w:trPr>
          <w:trHeight w:val="217"/>
        </w:trPr>
        <w:tc>
          <w:tcPr>
            <w:tcW w:w="4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7"/>
                <w:szCs w:val="17"/>
                <w:color w:val="auto"/>
              </w:rPr>
              <w:t>Nancy Whiting, Pharm.D.</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606"/>
        </w:trPr>
        <w:tc>
          <w:tcPr>
            <w:tcW w:w="2640" w:type="dxa"/>
            <w:vAlign w:val="bottom"/>
            <w:gridSpan w:val="2"/>
          </w:tcPr>
          <w:p>
            <w:pPr>
              <w:spacing w:after="0"/>
              <w:rPr>
                <w:sz w:val="20"/>
                <w:szCs w:val="20"/>
                <w:color w:val="auto"/>
              </w:rPr>
            </w:pPr>
            <w:r>
              <w:rPr>
                <w:rFonts w:ascii="Arial" w:cs="Arial" w:eastAsia="Arial" w:hAnsi="Arial"/>
                <w:sz w:val="17"/>
                <w:szCs w:val="17"/>
                <w:color w:val="auto"/>
              </w:rPr>
              <w:t>*By:   /s/ Zachary D. Hornby</w:t>
            </w:r>
          </w:p>
        </w:tc>
        <w:tc>
          <w:tcPr>
            <w:tcW w:w="5100" w:type="dxa"/>
            <w:vAlign w:val="bottom"/>
            <w:gridSpan w:val="3"/>
          </w:tcPr>
          <w:p>
            <w:pPr>
              <w:ind w:left="100"/>
              <w:spacing w:after="0"/>
              <w:rPr>
                <w:sz w:val="20"/>
                <w:szCs w:val="20"/>
                <w:color w:val="auto"/>
              </w:rPr>
            </w:pPr>
            <w:r>
              <w:rPr>
                <w:rFonts w:ascii="Arial" w:cs="Arial" w:eastAsia="Arial" w:hAnsi="Arial"/>
                <w:sz w:val="17"/>
                <w:szCs w:val="17"/>
                <w:color w:val="auto"/>
              </w:rPr>
              <w:t xml:space="preserve">                    </w:t>
            </w:r>
          </w:p>
        </w:tc>
        <w:tc>
          <w:tcPr>
            <w:tcW w:w="2120" w:type="dxa"/>
            <w:vAlign w:val="bottom"/>
          </w:tcPr>
          <w:p>
            <w:pPr>
              <w:spacing w:after="0"/>
              <w:rPr>
                <w:sz w:val="24"/>
                <w:szCs w:val="24"/>
                <w:color w:val="auto"/>
              </w:rPr>
            </w:pPr>
          </w:p>
        </w:tc>
      </w:tr>
      <w:tr>
        <w:trPr>
          <w:trHeight w:val="168"/>
        </w:trPr>
        <w:tc>
          <w:tcPr>
            <w:tcW w:w="480" w:type="dxa"/>
            <w:vAlign w:val="bottom"/>
          </w:tcPr>
          <w:p>
            <w:pPr>
              <w:spacing w:after="0"/>
              <w:rPr>
                <w:sz w:val="14"/>
                <w:szCs w:val="14"/>
                <w:color w:val="auto"/>
              </w:rPr>
            </w:pPr>
          </w:p>
        </w:tc>
        <w:tc>
          <w:tcPr>
            <w:tcW w:w="2160" w:type="dxa"/>
            <w:vAlign w:val="bottom"/>
            <w:tcBorders>
              <w:top w:val="single" w:sz="8" w:color="auto"/>
            </w:tcBorders>
          </w:tcPr>
          <w:p>
            <w:pPr>
              <w:ind w:left="60"/>
              <w:spacing w:after="0" w:line="167" w:lineRule="exact"/>
              <w:rPr>
                <w:sz w:val="20"/>
                <w:szCs w:val="20"/>
                <w:color w:val="auto"/>
              </w:rPr>
            </w:pPr>
            <w:r>
              <w:rPr>
                <w:rFonts w:ascii="Arial" w:cs="Arial" w:eastAsia="Arial" w:hAnsi="Arial"/>
                <w:sz w:val="17"/>
                <w:szCs w:val="17"/>
                <w:color w:val="auto"/>
              </w:rPr>
              <w:t>Zachary D. Hornby</w:t>
            </w:r>
          </w:p>
        </w:tc>
        <w:tc>
          <w:tcPr>
            <w:tcW w:w="10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224"/>
        </w:trPr>
        <w:tc>
          <w:tcPr>
            <w:tcW w:w="480" w:type="dxa"/>
            <w:vAlign w:val="bottom"/>
          </w:tcPr>
          <w:p>
            <w:pPr>
              <w:spacing w:after="0"/>
              <w:rPr>
                <w:sz w:val="19"/>
                <w:szCs w:val="19"/>
                <w:color w:val="auto"/>
              </w:rPr>
            </w:pPr>
          </w:p>
        </w:tc>
        <w:tc>
          <w:tcPr>
            <w:tcW w:w="2160" w:type="dxa"/>
            <w:vAlign w:val="bottom"/>
          </w:tcPr>
          <w:p>
            <w:pPr>
              <w:ind w:left="60"/>
              <w:spacing w:after="0"/>
              <w:rPr>
                <w:sz w:val="20"/>
                <w:szCs w:val="20"/>
                <w:color w:val="auto"/>
              </w:rPr>
            </w:pPr>
            <w:r>
              <w:rPr>
                <w:rFonts w:ascii="Arial" w:cs="Arial" w:eastAsia="Arial" w:hAnsi="Arial"/>
                <w:sz w:val="17"/>
                <w:szCs w:val="17"/>
                <w:color w:val="auto"/>
              </w:rPr>
              <w:t>Attorney-in-fact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332"/>
        </w:trPr>
        <w:tc>
          <w:tcPr>
            <w:tcW w:w="4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20" w:type="dxa"/>
            <w:vAlign w:val="bottom"/>
          </w:tcPr>
          <w:p>
            <w:pPr>
              <w:ind w:left="1960"/>
              <w:spacing w:after="0"/>
              <w:rPr>
                <w:sz w:val="20"/>
                <w:szCs w:val="20"/>
                <w:color w:val="auto"/>
              </w:rPr>
            </w:pPr>
            <w:r>
              <w:rPr>
                <w:rFonts w:ascii="Arial" w:cs="Arial" w:eastAsia="Arial" w:hAnsi="Arial"/>
                <w:sz w:val="17"/>
                <w:szCs w:val="17"/>
                <w:color w:val="auto"/>
              </w:rPr>
              <w:t>II-7</w:t>
            </w:r>
          </w:p>
        </w:tc>
        <w:tc>
          <w:tcPr>
            <w:tcW w:w="2120" w:type="dxa"/>
            <w:vAlign w:val="bottom"/>
          </w:tcPr>
          <w:p>
            <w:pPr>
              <w:spacing w:after="0"/>
              <w:rPr>
                <w:sz w:val="24"/>
                <w:szCs w:val="24"/>
                <w:color w:val="auto"/>
              </w:rPr>
            </w:pPr>
          </w:p>
        </w:tc>
      </w:tr>
    </w:tbl>
    <w:p>
      <w:pPr>
        <w:sectPr>
          <w:pgSz w:w="11900" w:h="16838" w:orient="portrait"/>
          <w:cols w:equalWidth="0" w:num="1">
            <w:col w:w="10700"/>
          </w:cols>
          <w:pgMar w:left="320" w:top="439" w:right="879" w:bottom="1440" w:gutter="0" w:footer="0" w:header="0"/>
        </w:sectPr>
      </w:pPr>
    </w:p>
    <w:bookmarkStart w:id="254" w:name="page255"/>
    <w:bookmarkEnd w:id="254"/>
    <w:p>
      <w:pPr>
        <w:jc w:val="right"/>
        <w:spacing w:after="0"/>
        <w:rPr>
          <w:sz w:val="20"/>
          <w:szCs w:val="20"/>
          <w:color w:val="auto"/>
        </w:rPr>
      </w:pPr>
      <w:r>
        <w:rPr>
          <w:rFonts w:ascii="Times New Roman" w:cs="Times New Roman" w:eastAsia="Times New Roman" w:hAnsi="Times New Roman"/>
          <w:sz w:val="17"/>
          <w:szCs w:val="17"/>
          <w:b w:val="1"/>
          <w:bCs w:val="1"/>
          <w:color w:val="auto"/>
        </w:rPr>
        <w:t>Exhibit 1.1</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Boundless Bio,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Common Stock, par value $0.0001 per share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Underwriting Agreement</w:t>
      </w: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2024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Goldman Sachs &amp; Co.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Leerink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Piper Sandler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Guggenheim Securities, LLC</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As representatives (the “Representatives”) of the several Underwriters named in Schedule I hereto,</w:t>
      </w:r>
    </w:p>
    <w:p>
      <w:pPr>
        <w:sectPr>
          <w:pgSz w:w="11900" w:h="16838" w:orient="portrait"/>
          <w:cols w:equalWidth="0" w:num="1">
            <w:col w:w="10420"/>
          </w:cols>
          <w:pgMar w:left="740" w:top="119" w:right="739" w:bottom="1440" w:gutter="0" w:footer="0" w:header="0"/>
        </w:sect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Goldman Sachs &amp; Co.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NY 10282-2198</w:t>
      </w:r>
    </w:p>
    <w:p>
      <w:pPr>
        <w:spacing w:after="0" w:line="200" w:lineRule="exact"/>
        <w:rPr>
          <w:sz w:val="20"/>
          <w:szCs w:val="20"/>
          <w:color w:val="auto"/>
        </w:rPr>
      </w:pPr>
    </w:p>
    <w:p>
      <w:pPr>
        <w:sectPr>
          <w:pgSz w:w="11900" w:h="16838" w:orient="portrait"/>
          <w:cols w:equalWidth="0" w:num="2">
            <w:col w:w="200" w:space="200"/>
            <w:col w:w="10020"/>
          </w:cols>
          <w:pgMar w:left="740" w:top="119" w:right="7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Leerink Partners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53 State Street, 40</w:t>
      </w:r>
      <w:r>
        <w:rPr>
          <w:rFonts w:ascii="Times New Roman" w:cs="Times New Roman" w:eastAsia="Times New Roman" w:hAnsi="Times New Roman"/>
          <w:sz w:val="12"/>
          <w:szCs w:val="12"/>
          <w:color w:val="auto"/>
        </w:rPr>
        <w:t>th</w:t>
      </w:r>
      <w:r>
        <w:rPr>
          <w:rFonts w:ascii="Times New Roman" w:cs="Times New Roman" w:eastAsia="Times New Roman" w:hAnsi="Times New Roman"/>
          <w:sz w:val="17"/>
          <w:szCs w:val="17"/>
          <w:color w:val="auto"/>
        </w:rPr>
        <w:t xml:space="preserve">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MA 02109</w:t>
      </w:r>
    </w:p>
    <w:p>
      <w:pPr>
        <w:spacing w:after="0" w:line="200" w:lineRule="exact"/>
        <w:rPr>
          <w:sz w:val="20"/>
          <w:szCs w:val="20"/>
          <w:color w:val="auto"/>
        </w:rPr>
      </w:pPr>
    </w:p>
    <w:p>
      <w:pPr>
        <w:sectPr>
          <w:pgSz w:w="11900" w:h="16838" w:orient="portrait"/>
          <w:cols w:equalWidth="0" w:num="2">
            <w:col w:w="200" w:space="200"/>
            <w:col w:w="10020"/>
          </w:cols>
          <w:pgMar w:left="740" w:top="119" w:right="7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Piper Sandler &amp; Co.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800 Nicollet Mall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Minneapolis, MN 55402</w:t>
      </w:r>
    </w:p>
    <w:p>
      <w:pPr>
        <w:spacing w:after="0" w:line="200" w:lineRule="exact"/>
        <w:rPr>
          <w:sz w:val="20"/>
          <w:szCs w:val="20"/>
          <w:color w:val="auto"/>
        </w:rPr>
      </w:pPr>
    </w:p>
    <w:p>
      <w:pPr>
        <w:sectPr>
          <w:pgSz w:w="11900" w:h="16838" w:orient="portrait"/>
          <w:cols w:equalWidth="0" w:num="2">
            <w:col w:w="200" w:space="200"/>
            <w:col w:w="10020"/>
          </w:cols>
          <w:pgMar w:left="740" w:top="119" w:right="7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Guggenheim Securities,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NY 10017</w:t>
      </w:r>
    </w:p>
    <w:p>
      <w:pPr>
        <w:spacing w:after="0" w:line="196" w:lineRule="exact"/>
        <w:rPr>
          <w:sz w:val="20"/>
          <w:szCs w:val="20"/>
          <w:color w:val="auto"/>
        </w:rPr>
      </w:pPr>
    </w:p>
    <w:p>
      <w:pPr>
        <w:sectPr>
          <w:pgSz w:w="11900" w:h="16838" w:orient="portrait"/>
          <w:cols w:equalWidth="0" w:num="2">
            <w:col w:w="200" w:space="200"/>
            <w:col w:w="10020"/>
          </w:cols>
          <w:pgMar w:left="740" w:top="119" w:right="7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111" w:lineRule="exact"/>
        <w:rPr>
          <w:sz w:val="20"/>
          <w:szCs w:val="20"/>
          <w:color w:val="auto"/>
        </w:rPr>
      </w:pPr>
    </w:p>
    <w:p>
      <w:pPr>
        <w:ind w:right="80" w:firstLine="417"/>
        <w:spacing w:after="0" w:line="259" w:lineRule="auto"/>
        <w:rPr>
          <w:sz w:val="20"/>
          <w:szCs w:val="20"/>
          <w:color w:val="auto"/>
        </w:rPr>
      </w:pPr>
      <w:r>
        <w:rPr>
          <w:rFonts w:ascii="Times New Roman" w:cs="Times New Roman" w:eastAsia="Times New Roman" w:hAnsi="Times New Roman"/>
          <w:sz w:val="17"/>
          <w:szCs w:val="17"/>
          <w:color w:val="auto"/>
        </w:rPr>
        <w:t>Boundless Bio, Inc., a Delaware corporation (the “Company”), proposes, subject to the terms and conditions stated in this agreement (this “Agreement”), to issue and sell to the Underwriters named in Schedule I hereto (the “Underwriters”) an aggregate of [•] shares (the “Firm Shares”) and, at the election of the Underwriters, up to [•] additional shares (the “Optional Shares”) of common stock, par value $0.0001 per share (“Stock”), of the Company. The Firm Shares and the Optional Shares that the Underwriters elect to purchase pursuant to Section 2 hereof are herein collectively called the “Shares.”</w:t>
      </w:r>
    </w:p>
    <w:p>
      <w:pPr>
        <w:spacing w:after="0" w:line="172" w:lineRule="exact"/>
        <w:rPr>
          <w:sz w:val="20"/>
          <w:szCs w:val="20"/>
          <w:color w:val="auto"/>
        </w:rPr>
      </w:pPr>
    </w:p>
    <w:p>
      <w:pPr>
        <w:ind w:left="580" w:hanging="172"/>
        <w:spacing w:after="0"/>
        <w:tabs>
          <w:tab w:leader="none" w:pos="58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represents and warrants to, and agrees with, each of the Underwriters that:</w:t>
      </w:r>
    </w:p>
    <w:p>
      <w:pPr>
        <w:spacing w:after="0" w:line="111" w:lineRule="exact"/>
        <w:rPr>
          <w:rFonts w:ascii="Times New Roman" w:cs="Times New Roman" w:eastAsia="Times New Roman" w:hAnsi="Times New Roman"/>
          <w:sz w:val="17"/>
          <w:szCs w:val="17"/>
          <w:color w:val="auto"/>
        </w:rPr>
      </w:pPr>
    </w:p>
    <w:p>
      <w:pPr>
        <w:ind w:left="400" w:right="40" w:firstLine="408"/>
        <w:spacing w:after="0" w:line="267" w:lineRule="auto"/>
        <w:tabs>
          <w:tab w:leader="none" w:pos="1032"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registration statement on Form S–1 (File No. 333-277696) (the “Initial Registration Statement”) in respect of the Shares has been filed with the Securities and Exchange Commission (the “Commission”); the Initial Registration Statement and any post-effective amendment thereto, each in the form heretofore delivered to you, have been</w:t>
      </w:r>
    </w:p>
    <w:p>
      <w:pPr>
        <w:sectPr>
          <w:pgSz w:w="11900" w:h="16838" w:orient="portrait"/>
          <w:cols w:equalWidth="0" w:num="1">
            <w:col w:w="10420"/>
          </w:cols>
          <w:pgMar w:left="740" w:top="119" w:right="739" w:bottom="1440" w:gutter="0" w:footer="0" w:header="0"/>
          <w:type w:val="continuous"/>
        </w:sectPr>
      </w:pPr>
    </w:p>
    <w:bookmarkStart w:id="255" w:name="page256"/>
    <w:bookmarkEnd w:id="255"/>
    <w:p>
      <w:pPr>
        <w:spacing w:after="0" w:line="25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has been filed with the Commission; and no stop order suspending the effectiveness of the Initial Registration Statement, any post-effective amendment thereto or the Rule 462(b) Registration Statement, if any, has been issued and no proceeding for that purpose or pursuant to Section 8A of the Act has been initiated or, to the Company’s knowledge, threatened by the Commission (any preliminary prospectus included in the Initial Registration Statement or filed with the Commission pursuant to Rule 424(a) of the rules and regulations of the Commission under the Act is hereinafter called a “Preliminary Prospectus”;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“Registration Statement”; the Preliminary Prospectus relating to the Shares that was included in the Registration Statement immediately prior to the Applicable Time (as defined in Section 1(c) hereof) is hereinafter called the “Pricing Prospectus”; such final prospectus, in the form first filed pursuant to Rule 424(b) under the Act, is hereinafter called the “Prospectus”; any oral or written communication with potential investors undertaken in reliance on Section 5(d) of the Act or Rule 163B under the Act is hereinafter called a “Testing-the-Waters Communication”; any Testing-the-Waters Communication that is a written communication within the meaning of Rule 405 under the Act is hereinafter called a “Written Testing-the-Waters Communication”; and any “issuer free writing prospectus” as defined in Rule 433 under the Act relating to the Shares is hereinafter called an “Issuer Free Writing Prospectus”); and any “bona fide electronic road show” as defined in Rule 433(h)(5) under the Act that has been made available without restriction to any person is hereinafter called a “broadly available road show”;</w:t>
      </w:r>
    </w:p>
    <w:p>
      <w:pPr>
        <w:spacing w:after="0" w:line="86" w:lineRule="exact"/>
        <w:rPr>
          <w:sz w:val="20"/>
          <w:szCs w:val="20"/>
          <w:color w:val="auto"/>
        </w:rPr>
      </w:pPr>
    </w:p>
    <w:p>
      <w:pPr>
        <w:ind w:firstLine="408"/>
        <w:spacing w:after="0" w:line="255" w:lineRule="auto"/>
        <w:tabs>
          <w:tab w:leader="none" w:pos="641"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No order preventing or suspending the use of any Preliminary Prospectus or any Issuer Free Writing Prospectus has been issued by the Commission, (B) no proceeding for that purpose or pursuant to Section 8A of the Securities Act against the Company or related to the offering of the Shares has been initiated or threatened by the Commission, and (C) each Preliminary Prospectus, at the time of filing thereof, conformed in all material respects to the applicable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 (as defined in Section 9(b) of this Agreement)</w:t>
      </w:r>
      <w:r>
        <w:rPr>
          <w:rFonts w:ascii="Times New Roman" w:cs="Times New Roman" w:eastAsia="Times New Roman" w:hAnsi="Times New Roman"/>
          <w:sz w:val="17"/>
          <w:szCs w:val="17"/>
          <w:b w:val="1"/>
          <w:bCs w:val="1"/>
          <w:color w:val="auto"/>
        </w:rPr>
        <w:t>;</w:t>
      </w:r>
    </w:p>
    <w:p>
      <w:pPr>
        <w:spacing w:after="0" w:line="76" w:lineRule="exact"/>
        <w:rPr>
          <w:rFonts w:ascii="Times New Roman" w:cs="Times New Roman" w:eastAsia="Times New Roman" w:hAnsi="Times New Roman"/>
          <w:sz w:val="17"/>
          <w:szCs w:val="17"/>
          <w:color w:val="auto"/>
        </w:rPr>
      </w:pPr>
    </w:p>
    <w:p>
      <w:pPr>
        <w:ind w:right="60" w:firstLine="408"/>
        <w:spacing w:after="0" w:line="261" w:lineRule="auto"/>
        <w:tabs>
          <w:tab w:leader="none" w:pos="632"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purposes of this Agreement, the “Applicable Time” is [•] p.m., New York time, on the date of this Agreement. The Pricing Prospectus, as supplemented by the information listed on Schedule II(c) hereto, taken together (collectively, the “Pricing Disclosure Package”), as of the Applicable Time, did not, and as of each Time of Delivery (as defined in Section 4(a) of this Agreement) (as supplemented by any post-effective</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020"/>
          </w:cols>
          <w:pgMar w:left="1140" w:top="264" w:right="739" w:bottom="1440" w:gutter="0" w:footer="0" w:header="0"/>
        </w:sectPr>
      </w:pPr>
    </w:p>
    <w:bookmarkStart w:id="256" w:name="page257"/>
    <w:bookmarkEnd w:id="256"/>
    <w:p>
      <w:pPr>
        <w:ind w:right="20"/>
        <w:spacing w:after="0" w:line="25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amendment thereto) will not, include any untrue statement of a material fact or omit to state any material fact necessary in order to make the statements therein, in the light of the circumstances under which they were made, not misleading; and each Issuer Free Writing Prospectus, each broadly available road show and each Written Testing-the-Waters Communication does not conflict with the information contained in the Registration Statement, the Pricing Prospectus or the Prospectus, and each Issuer Free Writing Prospectus, each broadly available road show and each Written Testing-the-Waters Communication, as supplemented by and taken together with the Pricing Disclosure Package, as of the Applicable Time, did not, and as of each Time of Delivery (as supplemented by any post-effective amendment thereto)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w:t>
      </w:r>
    </w:p>
    <w:p>
      <w:pPr>
        <w:spacing w:after="0" w:line="73" w:lineRule="exact"/>
        <w:rPr>
          <w:sz w:val="20"/>
          <w:szCs w:val="20"/>
          <w:color w:val="auto"/>
        </w:rPr>
      </w:pPr>
    </w:p>
    <w:p>
      <w:pPr>
        <w:ind w:right="220" w:firstLine="408"/>
        <w:spacing w:after="0" w:line="283" w:lineRule="auto"/>
        <w:tabs>
          <w:tab w:leader="none" w:pos="641"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documents were filed with the Commission since the Commission’s close of business on the business day immediately prior to the date of this Agreement and prior to the execution of this Agreement, except as set forth on Schedule II(b) hereto;</w:t>
      </w:r>
    </w:p>
    <w:p>
      <w:pPr>
        <w:spacing w:after="0" w:line="50" w:lineRule="exact"/>
        <w:rPr>
          <w:rFonts w:ascii="Times New Roman" w:cs="Times New Roman" w:eastAsia="Times New Roman" w:hAnsi="Times New Roman"/>
          <w:sz w:val="17"/>
          <w:szCs w:val="17"/>
          <w:color w:val="auto"/>
        </w:rPr>
      </w:pPr>
    </w:p>
    <w:p>
      <w:pPr>
        <w:ind w:right="80" w:firstLine="408"/>
        <w:spacing w:after="0" w:line="256" w:lineRule="auto"/>
        <w:tabs>
          <w:tab w:leader="none" w:pos="632"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w:t>
      </w:r>
    </w:p>
    <w:p>
      <w:pPr>
        <w:spacing w:after="0" w:line="73" w:lineRule="exact"/>
        <w:rPr>
          <w:rFonts w:ascii="Times New Roman" w:cs="Times New Roman" w:eastAsia="Times New Roman" w:hAnsi="Times New Roman"/>
          <w:sz w:val="17"/>
          <w:szCs w:val="17"/>
          <w:color w:val="auto"/>
        </w:rPr>
      </w:pPr>
    </w:p>
    <w:p>
      <w:pPr>
        <w:ind w:firstLine="408"/>
        <w:spacing w:after="0" w:line="252" w:lineRule="auto"/>
        <w:tabs>
          <w:tab w:leader="none" w:pos="613"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not, since the date of the latest audited financial statements included in the Pricing Prospectus,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or incurred any liability or obligation, direct or contingent, that is material to the Company, in each case otherwise than as set forth or contemplated in the Pricing Prospectus; and, since the respective dates as of which information is given in the Registration Statement and the Pricing Prospectus, there has not been (x) any change in the capital stock (other than as a result of (i) the exercise, vesting, settlement or forfeiture, if any, of any equity awards or the award, if any, of equity awards in the ordinary course of business pursuant to the Company’s equity plans that are described in the Pricing Prospectus and the Prospectus, (ii) the issuance, if any, of stock upon conversion of the Company’s securities as described in the Pricing Prospectus and the Prospectus or (iii) the transactions contemplated in the Pricing Prospectus) or long-term debt of the Company or (y) any Material Adverse Effect (as defined below); as used in this Agreement, “Material Adverse Effect” shall mean any material adverse change or effect, or any development involving a prospective material adverse change or effect, in or affecting</w:t>
      </w:r>
    </w:p>
    <w:p>
      <w:pPr>
        <w:spacing w:after="0" w:line="8"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business, properties, general affairs, management, financial position,</w:t>
      </w:r>
    </w:p>
    <w:p>
      <w:pPr>
        <w:spacing w:after="0" w:line="13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000"/>
          </w:cols>
          <w:pgMar w:left="1140" w:top="264" w:right="759" w:bottom="1440" w:gutter="0" w:footer="0" w:header="0"/>
        </w:sectPr>
      </w:pPr>
    </w:p>
    <w:bookmarkStart w:id="257" w:name="page258"/>
    <w:bookmarkEnd w:id="257"/>
    <w:p>
      <w:pPr>
        <w:ind w:right="24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stockholders’ equity, prospects or results of operations of the Company, except as set forth or contemplated in the Pricing Prospectus, or (ii) the ability of the Company to perform its obligations under this Agreement, including the issuance and sale of the Shares, or to consummate the transactions contemplated in the Pricing Prospectus and the Prospectus;</w:t>
      </w:r>
    </w:p>
    <w:p>
      <w:pPr>
        <w:spacing w:after="0" w:line="63" w:lineRule="exact"/>
        <w:rPr>
          <w:sz w:val="20"/>
          <w:szCs w:val="20"/>
          <w:color w:val="auto"/>
        </w:rPr>
      </w:pPr>
    </w:p>
    <w:p>
      <w:pPr>
        <w:ind w:right="40" w:firstLine="408"/>
        <w:spacing w:after="0" w:line="259" w:lineRule="auto"/>
        <w:tabs>
          <w:tab w:leader="none" w:pos="641"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does not own any real property and has good and marketable title to all personal property owned by it, in each case free and clear of all liens, encumbrances and defects except such as do not materially affect the value of such property and do not materially interfere with the use made and proposed to be made of such property by the Company; and any real property and buildings held under lease by the Company are held by it under valid, subsisting and enforceable leases with such exceptions as are not material and do not materially interfere with the use made and proposed to be made of such property and buildings by the Company;</w:t>
      </w:r>
    </w:p>
    <w:p>
      <w:pPr>
        <w:spacing w:after="0" w:line="69" w:lineRule="exact"/>
        <w:rPr>
          <w:rFonts w:ascii="Times New Roman" w:cs="Times New Roman" w:eastAsia="Times New Roman" w:hAnsi="Times New Roman"/>
          <w:sz w:val="17"/>
          <w:szCs w:val="17"/>
          <w:color w:val="auto"/>
        </w:rPr>
      </w:pPr>
    </w:p>
    <w:p>
      <w:pPr>
        <w:jc w:val="both"/>
        <w:ind w:right="140" w:firstLine="408"/>
        <w:spacing w:after="0" w:line="257" w:lineRule="auto"/>
        <w:tabs>
          <w:tab w:leader="none" w:pos="641"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been (i) duly organized and is validly existing and in good standing under the laws of its jurisdiction of organization, with power and authority (corporate and other) to own its properties and conduct its business as described in the Pricing Prospectus, and (ii) duly qualified as a foreign corporation for the transaction of business and is in good standing (where such concept exists) under the laws of each other jurisdiction in which it leases properties or conducts any business so as to require such qualification, except, in the case of this clause (ii), where the failure to be so qualified or in good standing would not, individually or in the aggregate, reasonably be expected to have a Material Adverse Effect;</w:t>
      </w:r>
    </w:p>
    <w:p>
      <w:pPr>
        <w:spacing w:after="0" w:line="72" w:lineRule="exact"/>
        <w:rPr>
          <w:rFonts w:ascii="Times New Roman" w:cs="Times New Roman" w:eastAsia="Times New Roman" w:hAnsi="Times New Roman"/>
          <w:sz w:val="17"/>
          <w:szCs w:val="17"/>
          <w:color w:val="auto"/>
        </w:rPr>
      </w:pPr>
    </w:p>
    <w:p>
      <w:pPr>
        <w:ind w:left="620" w:hanging="212"/>
        <w:spacing w:after="0"/>
        <w:tabs>
          <w:tab w:leader="none" w:pos="62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no subsidiaries;</w:t>
      </w:r>
    </w:p>
    <w:p>
      <w:pPr>
        <w:spacing w:after="0" w:line="111" w:lineRule="exact"/>
        <w:rPr>
          <w:rFonts w:ascii="Times New Roman" w:cs="Times New Roman" w:eastAsia="Times New Roman" w:hAnsi="Times New Roman"/>
          <w:sz w:val="17"/>
          <w:szCs w:val="17"/>
          <w:color w:val="auto"/>
        </w:rPr>
      </w:pPr>
    </w:p>
    <w:p>
      <w:pPr>
        <w:ind w:right="320" w:firstLine="408"/>
        <w:spacing w:after="0" w:line="267" w:lineRule="auto"/>
        <w:tabs>
          <w:tab w:leader="none" w:pos="603"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an authorized capitalization as set forth in the Pricing Prospectus and all of the issued shares of capital stock of the Company have been duly and validly authorized and issued, are fully paid and non-assessable and conform in all material respects to the description of the Stock contained in the Pricing Disclosure Package and the Prospectus;</w:t>
      </w:r>
    </w:p>
    <w:p>
      <w:pPr>
        <w:spacing w:after="0" w:line="63" w:lineRule="exact"/>
        <w:rPr>
          <w:rFonts w:ascii="Times New Roman" w:cs="Times New Roman" w:eastAsia="Times New Roman" w:hAnsi="Times New Roman"/>
          <w:sz w:val="17"/>
          <w:szCs w:val="17"/>
          <w:color w:val="auto"/>
        </w:rPr>
      </w:pPr>
    </w:p>
    <w:p>
      <w:pPr>
        <w:ind w:right="40" w:firstLine="408"/>
        <w:spacing w:after="0" w:line="261" w:lineRule="auto"/>
        <w:tabs>
          <w:tab w:leader="none" w:pos="641"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to be issued and sold by the Company to the Underwriters hereunder have been duly and validly authorized and, when issued and delivered against payment therefor as provided herein, will be duly and validly issued and fully paid and non-assessable and will conform in all material respects to the description of the Stock contained in the Pricing Disclosure Package and the Prospectus; and the issuance of the Shares is not subject to any preemptive or similar rights;</w:t>
      </w:r>
    </w:p>
    <w:p>
      <w:pPr>
        <w:spacing w:after="0" w:line="69" w:lineRule="exact"/>
        <w:rPr>
          <w:rFonts w:ascii="Times New Roman" w:cs="Times New Roman" w:eastAsia="Times New Roman" w:hAnsi="Times New Roman"/>
          <w:sz w:val="17"/>
          <w:szCs w:val="17"/>
          <w:color w:val="auto"/>
        </w:rPr>
      </w:pPr>
    </w:p>
    <w:p>
      <w:pPr>
        <w:ind w:firstLine="408"/>
        <w:spacing w:after="0" w:line="255" w:lineRule="auto"/>
        <w:tabs>
          <w:tab w:leader="none" w:pos="603"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 and sale of the Shares and the compliance by the Company with this Agreement and the consummation of the transactions contemplated in this Agreement and the Pricing Prospectus will not conflict with or result in a breach or violation of any of the terms or provisions of, or constitute a default under, (A) any indenture, mortgage, deed of trust, loan agreement, lease or other agreement or instrument to which the Company is a party or by which the Company is bound or to which any of the property or assets of the Company is subject, except, in the case of this clause (A) for such defaults, conflicts, breaches, or violations that would not, individually or in the aggregate, reasonably be expected to have a Material Adverse Effect, (B) the certificate of incorporation or by-laws of the Company, or (C) any statute or any judgment, order, rule or regulation of any court or governmental agency or body having jurisdiction over the Company or any of its properties, except in the case of this clause (C) for such defaults, conflicts, breaches or</w:t>
      </w:r>
    </w:p>
    <w:p>
      <w:pPr>
        <w:spacing w:after="0" w:line="1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020"/>
          </w:cols>
          <w:pgMar w:left="1140" w:top="264" w:right="739" w:bottom="1440" w:gutter="0" w:footer="0" w:header="0"/>
        </w:sectPr>
      </w:pPr>
    </w:p>
    <w:bookmarkStart w:id="258" w:name="page259"/>
    <w:bookmarkEnd w:id="258"/>
    <w:p>
      <w:pPr>
        <w:ind w:right="40"/>
        <w:spacing w:after="0" w:line="25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violations that would not, individually or in the aggregate, reasonably be expected to have a Material Adverse Effect; and no consent, approval, authorization, order, registration or qualification of or with any such court or governmental agency or body is required for the issue and sale of the Shares or the consummation by the Company of the transactions contemplated by this Agreement, except such as have been obtained under the Act, the approval by the Financial Industry Regulatory Authority (“FINRA”) of the underwriting terms and arrangements, the approval for listing the Shares on The Nasdaq Global Market (the “Exchange”) and such consents, approvals, authorizations, orders, registrations or qualifications as may be required under state securities or Blue Sky laws in connection with the purchase and distribution of the Shares by the Underwriters;</w:t>
      </w:r>
    </w:p>
    <w:p>
      <w:pPr>
        <w:spacing w:after="0" w:line="73" w:lineRule="exact"/>
        <w:rPr>
          <w:sz w:val="20"/>
          <w:szCs w:val="20"/>
          <w:color w:val="auto"/>
        </w:rPr>
      </w:pPr>
    </w:p>
    <w:p>
      <w:pPr>
        <w:ind w:right="40" w:firstLine="408"/>
        <w:spacing w:after="0" w:line="257" w:lineRule="auto"/>
        <w:tabs>
          <w:tab w:leader="none" w:pos="689"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not (i) in violation of its certificate of incorporation or by-laws, (ii) in violation of any statute or any judgment, order, rule or regulation of any court or governmental agency or body having jurisdiction over the Company or any of its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violations or defaults as would not, individually or in the aggregate, reasonably be expected to have a Material Adverse Effect;</w:t>
      </w:r>
    </w:p>
    <w:p>
      <w:pPr>
        <w:spacing w:after="0" w:line="72" w:lineRule="exact"/>
        <w:rPr>
          <w:rFonts w:ascii="Times New Roman" w:cs="Times New Roman" w:eastAsia="Times New Roman" w:hAnsi="Times New Roman"/>
          <w:sz w:val="17"/>
          <w:szCs w:val="17"/>
          <w:color w:val="auto"/>
        </w:rPr>
      </w:pPr>
    </w:p>
    <w:p>
      <w:pPr>
        <w:ind w:right="20" w:firstLine="408"/>
        <w:spacing w:after="0" w:line="261" w:lineRule="auto"/>
        <w:tabs>
          <w:tab w:leader="none" w:pos="641"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statements set forth in the Pricing Prospectus and the Prospectus under the caption “Description of Capital Stock” and “Shares Eligible for Future Sale,” insofar as they purport to constitute a summary of the terms of the Stock, and under the captions “Material United States Federal Income Tax Consequences to Non-U.S. Holders” and “Underwriting,” insofar as they purport to describe the provisions of the laws and documents referred to therein, are accurate, complete and fair in all material respects;</w:t>
      </w:r>
    </w:p>
    <w:p>
      <w:pPr>
        <w:spacing w:after="0" w:line="69" w:lineRule="exact"/>
        <w:rPr>
          <w:rFonts w:ascii="Times New Roman" w:cs="Times New Roman" w:eastAsia="Times New Roman" w:hAnsi="Times New Roman"/>
          <w:sz w:val="17"/>
          <w:szCs w:val="17"/>
          <w:color w:val="auto"/>
        </w:rPr>
      </w:pPr>
    </w:p>
    <w:p>
      <w:pPr>
        <w:ind w:right="60" w:firstLine="408"/>
        <w:spacing w:after="0" w:line="254" w:lineRule="auto"/>
        <w:tabs>
          <w:tab w:leader="none" w:pos="641"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as set forth in the Pricing Prospectus, there are no legal, governmental or regulatory investigations, actions, demands, claims, suits, arbitrations, inquiries or proceedings (“Actions”) pending to which the Company or, to the Company’s knowledge, any officer or director of the Company is a party or of which any property or assets of the Company or, to the Company’s knowledge, any officer or director of the Company is the subject which, if determined adversely to the Company (or such officer or director), would individually or in the aggregate reasonably be expected to have a Material Adverse Effect or which are required to be described in the Registration Statement and Prospectus and are not so described; and, to the Company’s knowledge, no such proceedings are threatened or contemplated by governmental authorities or others; and there are no current or pending Actions that are required under the Act to be described in the Registration Statement or the Pricing Prospectus that are not so described therein; and there are no statutes, regulations or contracts or other documents that are required under the Act to be filed as exhibits to the Registration Statement or described in the Registration Statement, the Pricing Prospectus that are not so filed as exhibits to the Registration Statement or described in the Registration Statement and the Pricing Prospectus;</w:t>
      </w:r>
    </w:p>
    <w:p>
      <w:pPr>
        <w:spacing w:after="0" w:line="77" w:lineRule="exact"/>
        <w:rPr>
          <w:rFonts w:ascii="Times New Roman" w:cs="Times New Roman" w:eastAsia="Times New Roman" w:hAnsi="Times New Roman"/>
          <w:sz w:val="17"/>
          <w:szCs w:val="17"/>
          <w:color w:val="auto"/>
        </w:rPr>
      </w:pPr>
    </w:p>
    <w:p>
      <w:pPr>
        <w:ind w:firstLine="408"/>
        <w:spacing w:after="0" w:line="267" w:lineRule="auto"/>
        <w:tabs>
          <w:tab w:leader="none" w:pos="641"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not and, after giving effect to the offering and sale of the Shares and the application of the proceeds thereof as described in the Pricing Prospectus and the Prospectus, will not be an “investment company”, as such term is defined in the Investment Company Act of 1940, as amended (the “Investment Company Act”);</w:t>
      </w:r>
    </w:p>
    <w:p>
      <w:pPr>
        <w:spacing w:after="0" w:line="10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000"/>
          </w:cols>
          <w:pgMar w:left="1140" w:top="264" w:right="759" w:bottom="1440" w:gutter="0" w:footer="0" w:header="0"/>
        </w:sectPr>
      </w:pPr>
    </w:p>
    <w:bookmarkStart w:id="259" w:name="page260"/>
    <w:bookmarkEnd w:id="259"/>
    <w:p>
      <w:pPr>
        <w:ind w:right="120" w:firstLine="408"/>
        <w:spacing w:after="0" w:line="267" w:lineRule="auto"/>
        <w:tabs>
          <w:tab w:leader="none" w:pos="641"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At the time of filing the Initial Registration Statement and any post-effective amendment thereto, at the earliest time thereafter that the Company or, to the Company’s knowledge, any offering participant made a bona fide offer (within the meaning of Rule 164(h)(2) under the Act) of the Shares, and at the date hereof, the Company was not and is not an “ineligible issuer,” as defined under Rule 405 under the Act;</w:t>
      </w:r>
    </w:p>
    <w:p>
      <w:pPr>
        <w:spacing w:after="0" w:line="63" w:lineRule="exact"/>
        <w:rPr>
          <w:rFonts w:ascii="Times New Roman" w:cs="Times New Roman" w:eastAsia="Times New Roman" w:hAnsi="Times New Roman"/>
          <w:sz w:val="17"/>
          <w:szCs w:val="17"/>
          <w:color w:val="auto"/>
        </w:rPr>
      </w:pPr>
    </w:p>
    <w:p>
      <w:pPr>
        <w:ind w:right="380" w:firstLine="408"/>
        <w:spacing w:after="0" w:line="283" w:lineRule="auto"/>
        <w:tabs>
          <w:tab w:leader="none" w:pos="613"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KPMG LLP, which has certified certain financial statements of the Company, is an independent registered public accounting firm as required by the Act and the rules and regulations of the Commission thereunder;</w:t>
      </w:r>
    </w:p>
    <w:p>
      <w:pPr>
        <w:spacing w:after="0" w:line="50" w:lineRule="exact"/>
        <w:rPr>
          <w:rFonts w:ascii="Times New Roman" w:cs="Times New Roman" w:eastAsia="Times New Roman" w:hAnsi="Times New Roman"/>
          <w:sz w:val="17"/>
          <w:szCs w:val="17"/>
          <w:color w:val="auto"/>
        </w:rPr>
      </w:pPr>
    </w:p>
    <w:p>
      <w:pPr>
        <w:ind w:firstLine="408"/>
        <w:spacing w:after="0" w:line="255" w:lineRule="auto"/>
        <w:tabs>
          <w:tab w:leader="none" w:pos="622"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maintains a system of internal control over financial reporting (as such term is defined in Rule 13a-15(f) under the Securities Exchange Act of 1934, as amended (the “Exchange Act”)) that (i) complies with the requirements of the Exchange Act applicable to the Company,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U.S. generally accepted accounting principles (“GAAP”) and (iii) is designed to provide reasonable assurance that</w:t>
      </w:r>
    </w:p>
    <w:p>
      <w:pPr>
        <w:ind w:right="20" w:firstLine="8"/>
        <w:spacing w:after="0" w:line="251" w:lineRule="auto"/>
        <w:tabs>
          <w:tab w:leader="none" w:pos="279"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the Company’s internal control over financial reporting is effective and the Company is not aware of any material weaknesses in its internal control over financial reporting (it being understood that this subsection shall not require the Company to comply with Section 404 of the Sarbanes-Oxley Act of 2002, as amended and the rules and regulations promulgated in connection therewith (the “Sarbanes-Oxley Act”), as of an earlier date than it would otherwise be required to so comply under applicable law).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84" w:lineRule="exact"/>
        <w:rPr>
          <w:rFonts w:ascii="Times New Roman" w:cs="Times New Roman" w:eastAsia="Times New Roman" w:hAnsi="Times New Roman"/>
          <w:sz w:val="17"/>
          <w:szCs w:val="17"/>
          <w:color w:val="auto"/>
        </w:rPr>
      </w:pPr>
    </w:p>
    <w:p>
      <w:pPr>
        <w:jc w:val="both"/>
        <w:ind w:right="220" w:firstLine="408"/>
        <w:spacing w:after="0" w:line="267" w:lineRule="auto"/>
        <w:tabs>
          <w:tab w:leader="none" w:pos="603"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the date of the latest audited financial statements included in the Pricing Prospectus, there has been no change in the Company’s internal control over financial reporting that has materially and adversely affected, or is reasonably likely to materially and adversely affect, the Company’s internal control over financial reporting;</w:t>
      </w:r>
    </w:p>
    <w:p>
      <w:pPr>
        <w:spacing w:after="0" w:line="63" w:lineRule="exact"/>
        <w:rPr>
          <w:rFonts w:ascii="Times New Roman" w:cs="Times New Roman" w:eastAsia="Times New Roman" w:hAnsi="Times New Roman"/>
          <w:sz w:val="17"/>
          <w:szCs w:val="17"/>
          <w:color w:val="auto"/>
        </w:rPr>
      </w:pPr>
    </w:p>
    <w:p>
      <w:pPr>
        <w:jc w:val="both"/>
        <w:ind w:right="120" w:firstLine="408"/>
        <w:spacing w:after="0" w:line="261" w:lineRule="auto"/>
        <w:tabs>
          <w:tab w:leader="none" w:pos="641"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maintains disclosure controls and procedures (as such term is defined in Rule 13a-15(e) under the Exchange Act) that comply with the requirements of the Exchange Act applicable to the Company; such disclosure controls and procedures have been designed to provide reasonable assurance that material information relating to the Company is made known to the Company’s principal executive officer and principal financial officer by others within those entities; and such disclosure controls and procedures are effective in all material respects;</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000"/>
          </w:cols>
          <w:pgMar w:left="1140" w:top="264" w:right="759" w:bottom="1440" w:gutter="0" w:footer="0" w:header="0"/>
        </w:sectPr>
      </w:pPr>
    </w:p>
    <w:bookmarkStart w:id="260" w:name="page261"/>
    <w:bookmarkEnd w:id="260"/>
    <w:p>
      <w:pPr>
        <w:ind w:left="640" w:hanging="232"/>
        <w:spacing w:after="0"/>
        <w:tabs>
          <w:tab w:leader="none" w:pos="64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This Agreement has been duly authorized, executed and delivered by the Company;</w:t>
      </w:r>
    </w:p>
    <w:p>
      <w:pPr>
        <w:spacing w:after="0" w:line="111" w:lineRule="exact"/>
        <w:rPr>
          <w:rFonts w:ascii="Times New Roman" w:cs="Times New Roman" w:eastAsia="Times New Roman" w:hAnsi="Times New Roman"/>
          <w:sz w:val="17"/>
          <w:szCs w:val="17"/>
          <w:color w:val="auto"/>
        </w:rPr>
      </w:pPr>
    </w:p>
    <w:p>
      <w:pPr>
        <w:ind w:right="120" w:firstLine="408"/>
        <w:spacing w:after="0" w:line="283" w:lineRule="auto"/>
        <w:tabs>
          <w:tab w:leader="none" w:pos="679"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action required to be taken for the due and proper authorization, execution and delivery by the Company of this Agreement and the consummation by the Company of the transactions contemplated hereby has been duly and validly taken;</w:t>
      </w:r>
    </w:p>
    <w:p>
      <w:pPr>
        <w:spacing w:after="0" w:line="50" w:lineRule="exact"/>
        <w:rPr>
          <w:rFonts w:ascii="Times New Roman" w:cs="Times New Roman" w:eastAsia="Times New Roman" w:hAnsi="Times New Roman"/>
          <w:sz w:val="17"/>
          <w:szCs w:val="17"/>
          <w:color w:val="auto"/>
        </w:rPr>
      </w:pPr>
    </w:p>
    <w:p>
      <w:pPr>
        <w:ind w:right="40" w:firstLine="408"/>
        <w:spacing w:after="0" w:line="272" w:lineRule="auto"/>
        <w:tabs>
          <w:tab w:leader="none" w:pos="641"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Company, any director, officer, or employee thereof, nor, to the knowledge of the Company, any affiliate of the Company or any agent or other person acting on behalf of the Company has, directly or knowingly indirectly, (i) made, offered, promised or authorized any unlawful contribution, gift, entertainment or other unlawful expense (or taken any act in furtherance thereof), (ii) made, offered, promised or authorized any direct or indirect unlawful payment of any money or other property or (iii) violated or is in violation of any provision of the Foreign Corrupt Practices Act of 1977, as amended, the Bribery Act 2010 of the United Kingdom or any other applicable anti-bribery or anti-corruption laws (collectively, “Anti-Corruption Laws”); the Company has conducted its business in compliance with Anti-Corruption Laws and has instituted and maintained, and will continue to maintain, policies and procedures reasonably designed to promote compliance with such laws; and the Company will not use, directly or indirectly, the proceeds of the offering of the Shares hereunder in furtherance of an offer, payment, promise to pay, or authorization of the payment or giving of money, or anything else of value, to any person in violation of Anti-Corruption Laws;</w:t>
      </w:r>
    </w:p>
    <w:p>
      <w:pPr>
        <w:spacing w:after="0" w:line="65" w:lineRule="exact"/>
        <w:rPr>
          <w:rFonts w:ascii="Times New Roman" w:cs="Times New Roman" w:eastAsia="Times New Roman" w:hAnsi="Times New Roman"/>
          <w:sz w:val="16"/>
          <w:szCs w:val="16"/>
          <w:color w:val="auto"/>
        </w:rPr>
      </w:pPr>
    </w:p>
    <w:p>
      <w:pPr>
        <w:ind w:firstLine="408"/>
        <w:spacing w:after="0" w:line="257" w:lineRule="auto"/>
        <w:tabs>
          <w:tab w:leader="none" w:pos="641"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operations of the Company are and have been conducted at all times in compliance with the requirements of applicable anti-money laundering laws, including, but not limited to, the Bank Secrecy Act of 1970, as amended by the USA PATRIOT ACT of 2001, and the rules and regulations promulgated thereunder, and any similar rules, regulations or guidelines issued, administered or enforced by any governmental agency, of the various jurisdictions in which the Company conducts business (collectively, the “Money Laundering Laws”) and no action, suit or proceeding by or before any court or governmental agency, authority or body or any arbitrator involving the Company with respect to the Money Laundering Laws is pending or, to the knowledge of the Company, threatened;</w:t>
      </w:r>
    </w:p>
    <w:p>
      <w:pPr>
        <w:spacing w:after="0" w:line="72" w:lineRule="exact"/>
        <w:rPr>
          <w:rFonts w:ascii="Times New Roman" w:cs="Times New Roman" w:eastAsia="Times New Roman" w:hAnsi="Times New Roman"/>
          <w:sz w:val="17"/>
          <w:szCs w:val="17"/>
          <w:color w:val="auto"/>
        </w:rPr>
      </w:pPr>
    </w:p>
    <w:p>
      <w:pPr>
        <w:ind w:right="20" w:firstLine="408"/>
        <w:spacing w:after="0" w:line="254" w:lineRule="auto"/>
        <w:tabs>
          <w:tab w:leader="none" w:pos="632"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None of the Company, any director, officer, or employee thereof, nor, to the knowledge of the Company, any agent, affiliate, or other person acting on behalf of the Company is (i)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His Majesty’s Treasury, or the United Nations Security Council (collectively, “Sanctions”), (ii) located, organized, or resident in a country or territory that is the subject or target of country-wide or territory-wide Sanctions (each, a “Sanctioned Jurisdiction”) or (iii) is 50% or more owned, individually or in the aggregate, or controlled by any persons described in (i) or (ii); (B)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entity, or in any country or territory, that, at the time of such funding or facilitation, is the subject or the target of Sanctions or (ii) in any other manner that will result in a violation by any person or entity (including any person or entity participating in</w:t>
      </w:r>
    </w:p>
    <w:p>
      <w:pPr>
        <w:spacing w:after="0" w:line="11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000"/>
          </w:cols>
          <w:pgMar w:left="1140" w:top="264" w:right="759" w:bottom="1440" w:gutter="0" w:footer="0" w:header="0"/>
        </w:sectPr>
      </w:pPr>
    </w:p>
    <w:bookmarkStart w:id="261" w:name="page262"/>
    <w:bookmarkEnd w:id="261"/>
    <w:p>
      <w:pPr>
        <w:jc w:val="both"/>
        <w:ind w:right="20"/>
        <w:spacing w:after="0" w:line="26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the transaction, whether as underwriter, advisor, investor or otherwise) of Sanctions or with any Sanctioned Jurisdiction; and (C) the Company has not during the past five years, engaged in, is not now engaged in and will not engage in any dealings or transactions with or involving any person or entity, that, at the time of such dealing or transaction, is or was the subject or the target of Sanctions or with any Sanctioned Jurisdiction, except to the extent permissible for a Person required to comply with Sanctions;</w:t>
      </w:r>
    </w:p>
    <w:p>
      <w:pPr>
        <w:spacing w:after="0" w:line="70" w:lineRule="exact"/>
        <w:rPr>
          <w:sz w:val="20"/>
          <w:szCs w:val="20"/>
          <w:color w:val="auto"/>
        </w:rPr>
      </w:pPr>
    </w:p>
    <w:p>
      <w:pPr>
        <w:ind w:firstLine="408"/>
        <w:spacing w:after="0" w:line="255" w:lineRule="auto"/>
        <w:tabs>
          <w:tab w:leader="none" w:pos="707"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statements included in the Registration Statement, the Pricing Prospectus and the Prospectus, together with the related schedules and notes, present fairly in all material respects the financial position of the Company at the dates indicated and the statement of operations and comprehensive loss, stockholders’ equity and cash flows of the Company for the periods specified; said financial statements have been prepared in conformity with GAAP applied on a consistent basis throughout the periods involved. The supporting schedules, if any, present fairly in all material respects and in accordance with GAAP the information required to be stated therein. The selected financial data and the summary financial information included in the Registration Statement, the Pricing Prospectus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w:t>
      </w:r>
    </w:p>
    <w:p>
      <w:pPr>
        <w:spacing w:after="0" w:line="72" w:lineRule="exact"/>
        <w:rPr>
          <w:rFonts w:ascii="Times New Roman" w:cs="Times New Roman" w:eastAsia="Times New Roman" w:hAnsi="Times New Roman"/>
          <w:sz w:val="17"/>
          <w:szCs w:val="17"/>
          <w:color w:val="auto"/>
        </w:rPr>
      </w:pPr>
    </w:p>
    <w:p>
      <w:pPr>
        <w:ind w:right="40" w:firstLine="408"/>
        <w:spacing w:after="0" w:line="257" w:lineRule="auto"/>
        <w:tabs>
          <w:tab w:leader="none" w:pos="726"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 is in compliance with any and all applicable foreign, federal, state and local laws and regulations relating to the protection of human health and safety, the environment or hazardous or toxic substances or wastes, pollutants or contaminants (“Environmental Laws”), (ii) has received all permits, licenses or other approvals required of them under applicable Environmental Laws to conduct its business and (iii) is in compliance with all terms and conditions of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have a Material Adverse Effect;</w:t>
      </w:r>
    </w:p>
    <w:p>
      <w:pPr>
        <w:spacing w:after="0" w:line="72" w:lineRule="exact"/>
        <w:rPr>
          <w:rFonts w:ascii="Times New Roman" w:cs="Times New Roman" w:eastAsia="Times New Roman" w:hAnsi="Times New Roman"/>
          <w:sz w:val="17"/>
          <w:szCs w:val="17"/>
          <w:color w:val="auto"/>
        </w:rPr>
      </w:pPr>
    </w:p>
    <w:p>
      <w:pPr>
        <w:ind w:left="720" w:hanging="312"/>
        <w:spacing w:after="0"/>
        <w:tabs>
          <w:tab w:leader="none" w:pos="72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costs or liabilities associated with Environmental Laws (including, without limitation, any capital or operating</w:t>
      </w:r>
    </w:p>
    <w:p>
      <w:pPr>
        <w:spacing w:after="0" w:line="26" w:lineRule="exact"/>
        <w:rPr>
          <w:rFonts w:ascii="Times New Roman" w:cs="Times New Roman" w:eastAsia="Times New Roman" w:hAnsi="Times New Roman"/>
          <w:sz w:val="17"/>
          <w:szCs w:val="17"/>
          <w:color w:val="auto"/>
        </w:rPr>
      </w:pPr>
    </w:p>
    <w:p>
      <w:pPr>
        <w:ind w:right="16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expenditures required for clean-up, closure of properties or compliance with Environmental Laws or any permit, license or approval, any related constraints on operating activities and any potential liabilities to third parties) which would, individually or in the aggregate, have a Material Adverse Effect;</w:t>
      </w:r>
    </w:p>
    <w:p>
      <w:pPr>
        <w:spacing w:after="0" w:line="72" w:lineRule="exact"/>
        <w:rPr>
          <w:rFonts w:ascii="Times New Roman" w:cs="Times New Roman" w:eastAsia="Times New Roman" w:hAnsi="Times New Roman"/>
          <w:sz w:val="17"/>
          <w:szCs w:val="17"/>
          <w:color w:val="auto"/>
        </w:rPr>
      </w:pPr>
    </w:p>
    <w:p>
      <w:pPr>
        <w:ind w:right="220" w:firstLine="408"/>
        <w:spacing w:after="0" w:line="261" w:lineRule="auto"/>
        <w:tabs>
          <w:tab w:leader="none" w:pos="726"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contracts, agreements or understandings between the Company and any person granting such person the right to require the Company to file a registration statement under the Act with respect to any securities of the Company or to require the Company to include such securities with the Shares registered pursuant to the Registration Statement, except as have been validly waived or complied with in connection with the offering of the Shares;</w:t>
      </w:r>
    </w:p>
    <w:p>
      <w:pPr>
        <w:spacing w:after="0" w:line="69" w:lineRule="exact"/>
        <w:rPr>
          <w:rFonts w:ascii="Times New Roman" w:cs="Times New Roman" w:eastAsia="Times New Roman" w:hAnsi="Times New Roman"/>
          <w:sz w:val="17"/>
          <w:szCs w:val="17"/>
          <w:color w:val="auto"/>
        </w:rPr>
      </w:pPr>
    </w:p>
    <w:p>
      <w:pPr>
        <w:ind w:right="60" w:firstLine="408"/>
        <w:spacing w:after="0" w:line="267" w:lineRule="auto"/>
        <w:tabs>
          <w:tab w:leader="none" w:pos="707"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and at all times during the past six (6) years has been, in compliance with all applicable Health Care Laws (defined herein), except in each case as would not, whether individually or in the aggregate, reasonably be expected to have a Material Adverse Effect. For purposes of this Agreement, “Health Care Laws” shall mean</w:t>
      </w:r>
    </w:p>
    <w:p>
      <w:pPr>
        <w:spacing w:after="0" w:line="10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000"/>
          </w:cols>
          <w:pgMar w:left="1140" w:top="264" w:right="759" w:bottom="1440" w:gutter="0" w:footer="0" w:header="0"/>
        </w:sectPr>
      </w:pPr>
    </w:p>
    <w:bookmarkStart w:id="262" w:name="page263"/>
    <w:bookmarkEnd w:id="262"/>
    <w:p>
      <w:pPr>
        <w:spacing w:after="0" w:line="25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the federal Anti-kickback Statute (42 U.S.C. § 1320a-7b(b)), the Physician Payments Sunshine Act (42 U.S.C. § 1320a-7h), the civil False Claims Act (31 U.S.C. §§ 3729 et seq.), the criminal False Claims Act (42 U.S.C. § 1320a-7b(a)), all criminal laws relating to health care fraud and abuse, including but not limited to 18 U.S.C. Sections 286, 287, 1035, and 1349, and the health care fraud criminal provisions under the Health Insurance Portability and Accountability Act of 1996 (42 U.S.C. §§ 1320d et seq.) (“HIPAA”), the exclusion law (42 U.S.C. § 1320a-7), the civil monetary penalties law (42 U.S.C. § 1320a-7a), the Federal Food, Drug, and Cosmetic Act (21 U.S.C. §§ 301 et seq.), the statutes, regulations and directives of applicable federal healthcare programs, including but not limited to Medicare (Title XVIII of the Social Security Act) and Medicaid (Title XIX of the Social Security Act), any rules and regulations promulgated pursuant to the statutes listed herein, and any other comparable federal, state, or foreign health care laws. The Company is not a party to and has no ongoing reporting obligations pursuant to any corporate integrity agreement, deferred prosecution agreement, monitoring agreement, consent decree, settlement order, plan of correction or similar agreement imposed by any governmental authority. Except as would not, whether individually or in the aggregate, reasonably be expected to have a Material Adverse Effect, during the past six (6) years the Company has not received any FDA Form 483, written notice of adverse finding, warning letter, untitled letter or other written correspondence or notice from the FDA or any similar regulatory authority, or any written notification of any pending or, to the Company’s knowledge, threatened claim, suit, proceeding, hearing, enforcement, investigation, arbitration or other action, from any court, arbitrator, governmental or regulatory authority or third party, alleging potential or actual non-compliance by, or liability of, the Company under any Health Care Laws;</w:t>
      </w:r>
    </w:p>
    <w:p>
      <w:pPr>
        <w:spacing w:after="0" w:line="78" w:lineRule="exact"/>
        <w:rPr>
          <w:sz w:val="20"/>
          <w:szCs w:val="20"/>
          <w:color w:val="auto"/>
        </w:rPr>
      </w:pPr>
    </w:p>
    <w:p>
      <w:pPr>
        <w:ind w:right="60" w:firstLine="408"/>
        <w:spacing w:after="0" w:line="253" w:lineRule="auto"/>
        <w:tabs>
          <w:tab w:leader="none" w:pos="667"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possesses all applications, certificates, approvals, clearances, registrations, exemptions, franchises, licenses, permits, consents and other authorizations issued by the appropriate governmental agency or body and necessary to conduct its business in the manner described in the Registration Statement, the Pricing Prospectus and the Prospectus (collectively, “Licenses”), including, without limitation, all such Licenses required by the FDA, or any component thereof and/or by any other U.S., state, local or foreign government or drug regulatory agency (collectively, the “Regulatory Agencies”), except where the failure to possess such Licenses, whether individually or in the aggregate, would not reasonably be expected to have a Material Adverse Effect. All Licenses are in full force and effect and, to the Company’s knowledge, the Company is not in violation of any term or conditions of any License, except in each case as would not, individually or in the aggregate, reasonably be expected to have a Material Adverse Effect. The Company has fulfilled and performed all of its material obligations with respect to the Licenses and, to the Company’s knowledge, no event has occurred which allows, or after notice or lapse of time would allow, revocation or termination thereof or results in any other impairment of the rights of the holder of any such License, except where such revocations, terminations or impairments would not, whether individually or in the aggregate, reasonably be expected to have a Material Adverse Effect. The Company has not received any written notice of proceedings from the applicable Regulatory Agency proposing to revoke or materially adversely modify any such Licenses and, to the Company’s knowledge, no Regulatory Agency has taken any action to limit, suspend or revoke any such License possessed by the Company, except where such revocations, modifications, limitations or suspensions would not, whether individually or in the aggregate, reasonably be expected to have a Material Adverse Effect;</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020"/>
          </w:cols>
          <w:pgMar w:left="1140" w:top="264" w:right="739" w:bottom="1440" w:gutter="0" w:footer="0" w:header="0"/>
        </w:sectPr>
      </w:pPr>
    </w:p>
    <w:bookmarkStart w:id="263" w:name="page264"/>
    <w:bookmarkEnd w:id="263"/>
    <w:p>
      <w:pPr>
        <w:ind w:firstLine="408"/>
        <w:spacing w:after="0" w:line="255" w:lineRule="auto"/>
        <w:tabs>
          <w:tab w:leader="none" w:pos="726" w:val="left"/>
        </w:tabs>
        <w:numPr>
          <w:ilvl w:val="1"/>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The pre-clinical studies and clinical trials that are described in the Registration Statement, the Pricing Prospectus and the Prospectus were and, if still pending, are being, conducted in all material respects in accordance with all applicable laws and regulations; the descriptions of the pre-clinical studies and clinical trials conducted by or, to the Company’s knowledge, on behalf of the Company, and the results thereof, contained in the Registration Statement, the Pricing Prospectus and the Prospectus are accurate in all material respects; the Company has no knowledge of any other pre-clinical studies or clinical trials, the results of which reasonably call into question the results described in the Registration Statement, the Pricing Prospectus and the Prospectus; and the Company has not received any written notices or correspondence from the FDA, any foreign, state or local governmental body exercising comparable authority or any Institutional Review Board requiring the termination or suspension of any pre-clinical studies or clinical trials currently being conducted or proposed to be conducted by or on behalf of the Company;</w:t>
      </w:r>
    </w:p>
    <w:p>
      <w:pPr>
        <w:spacing w:after="0" w:line="72" w:lineRule="exact"/>
        <w:rPr>
          <w:rFonts w:ascii="Times New Roman" w:cs="Times New Roman" w:eastAsia="Times New Roman" w:hAnsi="Times New Roman"/>
          <w:sz w:val="17"/>
          <w:szCs w:val="17"/>
          <w:color w:val="auto"/>
        </w:rPr>
      </w:pPr>
    </w:p>
    <w:p>
      <w:pPr>
        <w:ind w:right="180" w:firstLine="408"/>
        <w:spacing w:after="0" w:line="259" w:lineRule="auto"/>
        <w:tabs>
          <w:tab w:leader="none" w:pos="726" w:val="left"/>
        </w:tabs>
        <w:numPr>
          <w:ilvl w:val="1"/>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past three (3) years, neither the Company, or any of its officers, employees, directors, or, to the Company’s knowledge, its agents or clinical investigators, has been or is currently excluded, suspended or debarred from participation in any U.S. federal health care program or human clinical research or, been subject to a governmental inquiry, investigation, proceeding, or other similar action that would reasonably be expected to result in debarment, suspension, or exclusion, or been convicted of any crime that would reasonably be expected to result in debarment under 21 U.S.C. § 335a or suspension or exclusion under 42 U.S.C. § 1320a-7;</w:t>
      </w:r>
    </w:p>
    <w:p>
      <w:pPr>
        <w:spacing w:after="0" w:line="69" w:lineRule="exact"/>
        <w:rPr>
          <w:rFonts w:ascii="Times New Roman" w:cs="Times New Roman" w:eastAsia="Times New Roman" w:hAnsi="Times New Roman"/>
          <w:sz w:val="17"/>
          <w:szCs w:val="17"/>
          <w:color w:val="auto"/>
        </w:rPr>
      </w:pPr>
    </w:p>
    <w:p>
      <w:pPr>
        <w:ind w:firstLine="408"/>
        <w:spacing w:after="0" w:line="253" w:lineRule="auto"/>
        <w:tabs>
          <w:tab w:leader="none" w:pos="651" w:val="left"/>
        </w:tabs>
        <w:numPr>
          <w:ilvl w:val="1"/>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owns, or possesses valid and enforceable license rights in, or can acquire on commercially reasonable terms, all patents, patent applications, inventions, copyrights and registrations and applications thereof, works of authorship, know how (including trade secrets and other unpatented and/or unpatentable proprietary or confidential information, systems or procedures), trademarks, service marks, domain names, trade names, licenses, software, systems and technology (collectively, “Intellectual Property”) purported to be owned by the Company or currently employed or used by it, or otherwise necessary for, in the conduct of its business now operated by it as described in the Pricing Prospectus or the Prospectus (collectively, “Company Intellectual Property”). To the Company’s knowledge, the conduct of the Company’s business and the proposed conduct of its business as described in the Pricing Prospectus or the Prospectus, does not and will not infringe, misappropriate or otherwise violate any Intellectual Property rights of others. The Company has not received any written notice of conflict with asserted Intellectual Property rights of others with respect to any of the Company Intellectual Property. There is no pending, or to the Company’s knowledge, threatened action, suit, proceeding or claim by others (i) challenging the Company’s rights in or to any Company Intellectual Property;</w:t>
      </w:r>
    </w:p>
    <w:p>
      <w:pPr>
        <w:ind w:right="20" w:firstLine="8"/>
        <w:spacing w:after="0" w:line="252" w:lineRule="auto"/>
        <w:tabs>
          <w:tab w:leader="none" w:pos="251"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challenging the validity, enforceability or scope of any Company Intellectual Property; or (iii) asserting that the Company infringes or otherwise violates, or would, upon the commercialization of any product or service described in the Pricing Prospectus or the Prospectus as under development, infringe or violate, any Intellectual Property of third parties. The Company Intellectual Property owned or purported to be owned by the Company, including the patents, trademarks and copyrights owned by the Company are subsisting and, to the knowledge of Company, valid and enforceable. The Company Intellectual Property is free and clear of all liens, security interests, or encumbrances. To the Company’s knowledge, there are no material defects in any of the patents or patent applications, trademark applications or trademark registrations, or copyright registrations included in the Company Intellectual Property. To</w:t>
      </w:r>
    </w:p>
    <w:p>
      <w:pPr>
        <w:spacing w:after="0" w:line="11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000"/>
          </w:cols>
          <w:pgMar w:left="1140" w:top="264" w:right="759" w:bottom="1440" w:gutter="0" w:footer="0" w:header="0"/>
        </w:sectPr>
      </w:pPr>
    </w:p>
    <w:bookmarkStart w:id="264" w:name="page265"/>
    <w:bookmarkEnd w:id="264"/>
    <w:p>
      <w:pPr>
        <w:ind w:right="20"/>
        <w:spacing w:after="0" w:line="25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the Company’s knowledge, there is no infringement, misappropriation or other violation by third parties of any Company Intellectual Property owned by the Company. To the Company’s knowledge, the Company has complied with the terms of each agreement pursuant to which Company Intellectual Property has been licensed to the Company, and all such agreements are in full force and effect, except as would not, individually or in the aggregate, reasonably be expected to have a Material Adverse Effect. To the Company’s knowledge, the Company has taken all reasonable steps to protect, maintain and safeguard the Company Intellectual Property, including payment of applicable maintenance fees, filing of applicable statements of use, timely responding to office actions, complying with the duties of candor and good faith required by the United States Patent and Trademark Office, and the disclosure of any required information, and the execution of appropriate nondisclosure, confidentiality agreements, invention assignment agreements, and intellectual property assignment agreements with its employees, consultants and contractors, except as would not, individually or in the aggregate, reasonably be expected to have a Material Adverse Effect. To the Company’s knowledge, no employee, consultant or independent contractor of the Company is in or has ever been in violation in any material respect of any term of any invention assignment agreement, non-competition agreement, non-solicitation agreement, or nondisclosure agreement. To the Company’s knowledge, no technology employed by the Company has been obtained or is being used by the Company in violation of any contractual or legal obligation binding on the Company or any of its officers, directors, employees, or contractors, which violation relates to the breach of a confidentiality obligation, an obligation to assign Intellectual Property to a previous employer, or an obligation otherwise not to use the Intellectual Property of any third party, except as would not, individually or in the aggregate, reasonably be expected to have a Material Adverse Effect. To the Company’s knowledge, there is no software licensed under an “open source” or similar licensing model that meets the definition of “open source” promulgated by the Open Source Initiative located online at http://opensource.org/osd (e.g., GNU General Public License, GNU Lesser General Public License, and GNU Affero General Public License) that is licensed by the Company is being used by the Company: (1) in violation of any license terms applicable to the Company’s use of such open source software; or (2) in a manner that requires any software owned by the Company to be made available in source code form or be redistributable for no license fee, except as would not, individually or in the aggregate, reasonably be expected to have a Material Adverse Effect;</w:t>
      </w:r>
    </w:p>
    <w:p>
      <w:pPr>
        <w:spacing w:after="0" w:line="85" w:lineRule="exact"/>
        <w:rPr>
          <w:sz w:val="20"/>
          <w:szCs w:val="20"/>
          <w:color w:val="auto"/>
        </w:rPr>
      </w:pPr>
    </w:p>
    <w:p>
      <w:pPr>
        <w:ind w:right="100" w:firstLine="408"/>
        <w:spacing w:after="0" w:line="283" w:lineRule="auto"/>
        <w:tabs>
          <w:tab w:leader="none" w:pos="651"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material labor dispute with the employees of the Company exists or, to the knowledge of the Company, is imminent, and the Company is not aware of any existing, threatened or imminent labor disturbance by the employees of any of its principal suppliers or contractors;</w:t>
      </w:r>
    </w:p>
    <w:p>
      <w:pPr>
        <w:spacing w:after="0" w:line="50" w:lineRule="exact"/>
        <w:rPr>
          <w:rFonts w:ascii="Times New Roman" w:cs="Times New Roman" w:eastAsia="Times New Roman" w:hAnsi="Times New Roman"/>
          <w:sz w:val="17"/>
          <w:szCs w:val="17"/>
          <w:color w:val="auto"/>
        </w:rPr>
      </w:pPr>
    </w:p>
    <w:p>
      <w:pPr>
        <w:ind w:firstLine="408"/>
        <w:spacing w:after="0" w:line="259" w:lineRule="auto"/>
        <w:tabs>
          <w:tab w:leader="none" w:pos="726"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Company is insured by insurers of recognized financial responsibility against such losses and risks and in such amounts as are prudent and customary in the business in which it is engaged; (B) the Company has not been refused any insurance coverage sought or applied for; and (C) the Company has no reason to believe that it will not be able to renew its existing insurance coverage as and when such coverage expires or to obtain similar coverage from similar insurers as may be necessary to continue its business at a cost that would not, taken as a whole, reasonably be expected to have a Material Adverse Effect;</w:t>
      </w:r>
    </w:p>
    <w:p>
      <w:pPr>
        <w:spacing w:after="0" w:line="69" w:lineRule="exact"/>
        <w:rPr>
          <w:rFonts w:ascii="Times New Roman" w:cs="Times New Roman" w:eastAsia="Times New Roman" w:hAnsi="Times New Roman"/>
          <w:sz w:val="17"/>
          <w:szCs w:val="17"/>
          <w:color w:val="auto"/>
        </w:rPr>
      </w:pPr>
    </w:p>
    <w:p>
      <w:pPr>
        <w:ind w:right="400" w:firstLine="408"/>
        <w:spacing w:after="0" w:line="261" w:lineRule="auto"/>
        <w:tabs>
          <w:tab w:leader="none" w:pos="651"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possesses all certificates, authorizations and permits issued by the appropriate federal, state or foreign regulatory authorities necessary to conduct its business, and the Company has not received any notice of proceedings relating to the revocation or modification of any such certificate, authorization or permit which, individually or in the aggregate, if the subject of an unfavorable decision, ruling or finding, would have a Material Adverse Effect;</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020"/>
          </w:cols>
          <w:pgMar w:left="1140" w:top="264" w:right="739" w:bottom="1440" w:gutter="0" w:footer="0" w:header="0"/>
        </w:sectPr>
      </w:pPr>
    </w:p>
    <w:bookmarkStart w:id="265" w:name="page266"/>
    <w:bookmarkEnd w:id="265"/>
    <w:p>
      <w:pPr>
        <w:jc w:val="both"/>
        <w:ind w:right="160" w:firstLine="408"/>
        <w:spacing w:after="0" w:line="267" w:lineRule="auto"/>
        <w:tabs>
          <w:tab w:leader="none" w:pos="821"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The Company has not sold, issued or distributed any shares of its common stock during the six-month period preceding the date of this Agreement, including any sales pursuant to Regulation D or S of the Act, other than shares issued pursuant to benefit plans, the Company’s equity plans or other employee compensation plans or pursuant to outstanding options, rights or warrants;</w:t>
      </w:r>
    </w:p>
    <w:p>
      <w:pPr>
        <w:spacing w:after="0" w:line="63" w:lineRule="exact"/>
        <w:rPr>
          <w:rFonts w:ascii="Times New Roman" w:cs="Times New Roman" w:eastAsia="Times New Roman" w:hAnsi="Times New Roman"/>
          <w:sz w:val="17"/>
          <w:szCs w:val="17"/>
          <w:color w:val="auto"/>
        </w:rPr>
      </w:pPr>
    </w:p>
    <w:p>
      <w:pPr>
        <w:ind w:right="40" w:firstLine="408"/>
        <w:spacing w:after="0" w:line="253" w:lineRule="auto"/>
        <w:tabs>
          <w:tab w:leader="none" w:pos="726"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filed all federal, state, local and foreign tax returns required to be filed through the date of this Agreement, or has requested extensions thereof, and has paid all taxes required to be paid thereon (except in each case where the failure to file or pay would not, individually or in the aggregate, reasonably be expected to have a Material Adverse Effect, or except for any such taxes that are currently being contested in good faith and for which reserves required by GAAP have been created in the financial statements of the Company), and, there is no tax deficiency that has been asserted against the Company which has had (nor does the Company have any notice or knowledge of any tax deficiency which would reasonably be expected to be determined adversely to the Company and which would reasonably be expected to have) a Material Adverse Effect.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individually or in the aggregate, reasonably be expected to have a Material Adverse Effect. No tax deficiency has been determined adversely to the Company which has (nor does the Company have any written notice or knowledge of any tax deficiency which could reasonably be expected to be determined adversely to the Company and which would, individually or in the aggregate, reasonably be expected to have) a Material Adverse Effect;</w:t>
      </w:r>
    </w:p>
    <w:p>
      <w:pPr>
        <w:spacing w:after="0" w:line="82" w:lineRule="exact"/>
        <w:rPr>
          <w:rFonts w:ascii="Times New Roman" w:cs="Times New Roman" w:eastAsia="Times New Roman" w:hAnsi="Times New Roman"/>
          <w:sz w:val="17"/>
          <w:szCs w:val="17"/>
          <w:color w:val="auto"/>
        </w:rPr>
      </w:pPr>
    </w:p>
    <w:p>
      <w:pPr>
        <w:jc w:val="both"/>
        <w:ind w:right="200" w:firstLine="408"/>
        <w:spacing w:after="0" w:line="267" w:lineRule="auto"/>
        <w:tabs>
          <w:tab w:leader="none" w:pos="726"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the time of initial confidential submission of the registration statement relating to the Shares with the Commission through the date of this Agreement, the Company has been and is an “emerging growth company” as defined in Section 2(a)(19) of the Act (an “Emerging Growth Company”);</w:t>
      </w:r>
    </w:p>
    <w:p>
      <w:pPr>
        <w:spacing w:after="0" w:line="63" w:lineRule="exact"/>
        <w:rPr>
          <w:rFonts w:ascii="Times New Roman" w:cs="Times New Roman" w:eastAsia="Times New Roman" w:hAnsi="Times New Roman"/>
          <w:sz w:val="17"/>
          <w:szCs w:val="17"/>
          <w:color w:val="auto"/>
        </w:rPr>
      </w:pPr>
    </w:p>
    <w:p>
      <w:pPr>
        <w:ind w:left="740" w:hanging="332"/>
        <w:spacing w:after="0"/>
        <w:tabs>
          <w:tab w:leader="none" w:pos="74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information technology assets and equipment, computers, systems, networks, hardware, software, websites,</w:t>
      </w:r>
    </w:p>
    <w:p>
      <w:pPr>
        <w:spacing w:after="0" w:line="26" w:lineRule="exact"/>
        <w:rPr>
          <w:rFonts w:ascii="Times New Roman" w:cs="Times New Roman" w:eastAsia="Times New Roman" w:hAnsi="Times New Roman"/>
          <w:sz w:val="17"/>
          <w:szCs w:val="17"/>
          <w:color w:val="auto"/>
        </w:rPr>
      </w:pPr>
    </w:p>
    <w:p>
      <w:pPr>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applications and databases, and any other information technology systems owned, licensed, leased, or otherwise used by the Company, and, to the knowledge of the Company, any such equipment or technology maintained or provided by any third parties to Company (collectively, “IT Systems”) (A) operate and perform in all material respects as necessary in connection with the operation of the business of the Company as currently conducted, and (B) to the Company’s knowledge, are free and clear of all bugs, errors, defects, Trojan horses, time bombs, malware, harmful code, and other malicious code or corruptants and (ii) the Company has implemented and maintained commercially reasonable controls, policies, procedures and safeguards designed to maintain and protect the privacy, confidentiality, integrity, availability, and security of all IT Systems and data (including all information that relates to an identified or identifiable individual and is regulated as “personal information”, “personally identifiable information”, “personal data”, or any similar information governed by laws relating to privacy, data protection, or data security (“Personal Data”), and any confidential, sensitive, or proprietary data (collectively, with the Personal Data, the “Protected Information”)) used in connection with the business of the Company. The Company has established and maintained commercially reasonable disaster recovery and security plans, procedures and facilities for its business, including, without limitation, for the IT Systems and Protected Information. During the past three (3) years, there have been no material breaches, outages, or unauthorized uses of or accesses to any IT Systems or Protected Information (each, a “Breach”). To the Company’s Knowledge, there are no Breaches under internal review or investigations relating to the same. During the past six (6) years, the Company has not been notified in writing of any such Breach;</w:t>
      </w:r>
    </w:p>
    <w:p>
      <w:pPr>
        <w:spacing w:after="0" w:line="12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9940"/>
          </w:cols>
          <w:pgMar w:left="1140" w:top="264" w:right="819" w:bottom="1440" w:gutter="0" w:footer="0" w:header="0"/>
        </w:sectPr>
      </w:pPr>
    </w:p>
    <w:bookmarkStart w:id="266" w:name="page267"/>
    <w:bookmarkEnd w:id="266"/>
    <w:p>
      <w:pPr>
        <w:ind w:firstLine="408"/>
        <w:spacing w:after="0" w:line="255" w:lineRule="auto"/>
        <w:tabs>
          <w:tab w:leader="none" w:pos="726" w:val="left"/>
        </w:tabs>
        <w:numPr>
          <w:ilvl w:val="1"/>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During the past three (3) years, the Company has complied in all material respects with (A) applicable state and federal data privacy and security laws, regulations, directives, and self-regulatory guidelines and standards regarding the collection, use, storage, retention, disclosure, transfer, disposal, or any other processing (collectively “Process” or “Processing”) of Personal Data (“Privacy Laws”) and (B) judgments, orders, rules and regulations of any court or arbitrator or governmental or regulatory authority, external policies, and contractual obligations relating to the privacy and security of IT Systems and Protected Information (collectively, the “Data Protection Requirements”). To ensure compliance with the Data Protection Requirements, the Company and its subsidiaries have in place, comply with, and take appropriate steps reasonably designed to ensure compliance in all material respects with their policies and procedures relating to data privacy and security and the Processing of Personal Data;</w:t>
      </w:r>
    </w:p>
    <w:p>
      <w:pPr>
        <w:spacing w:after="0" w:line="76" w:lineRule="exact"/>
        <w:rPr>
          <w:rFonts w:ascii="Times New Roman" w:cs="Times New Roman" w:eastAsia="Times New Roman" w:hAnsi="Times New Roman"/>
          <w:sz w:val="17"/>
          <w:szCs w:val="17"/>
          <w:color w:val="auto"/>
        </w:rPr>
      </w:pPr>
    </w:p>
    <w:p>
      <w:pPr>
        <w:ind w:left="680" w:hanging="272"/>
        <w:spacing w:after="0"/>
        <w:tabs>
          <w:tab w:leader="none" w:pos="680" w:val="left"/>
        </w:tabs>
        <w:numPr>
          <w:ilvl w:val="1"/>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individually or in the aggregate, reasonably be expected to have a Material Adverse Effect, during the past three</w:t>
      </w:r>
    </w:p>
    <w:p>
      <w:pPr>
        <w:spacing w:after="0" w:line="26" w:lineRule="exact"/>
        <w:rPr>
          <w:rFonts w:ascii="Times New Roman" w:cs="Times New Roman" w:eastAsia="Times New Roman" w:hAnsi="Times New Roman"/>
          <w:sz w:val="17"/>
          <w:szCs w:val="17"/>
          <w:color w:val="auto"/>
        </w:rPr>
      </w:pPr>
    </w:p>
    <w:p>
      <w:pPr>
        <w:jc w:val="both"/>
        <w:ind w:right="160" w:firstLine="8"/>
        <w:spacing w:after="0" w:line="256" w:lineRule="auto"/>
        <w:tabs>
          <w:tab w:leader="none" w:pos="241"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years, the Company has made all disclosures to, and obtained all consents from, individuals as required by Data Protection Requirements for the Company’s collection, use, processing and disclosure of Protected Information. To the Company’s knowledge, none of such disclosures have been materially inaccurate, deceptive, misleading, incomplete, or in violation of Data Protection Requirements;</w:t>
      </w:r>
    </w:p>
    <w:p>
      <w:pPr>
        <w:spacing w:after="0" w:line="72" w:lineRule="exact"/>
        <w:rPr>
          <w:rFonts w:ascii="Times New Roman" w:cs="Times New Roman" w:eastAsia="Times New Roman" w:hAnsi="Times New Roman"/>
          <w:sz w:val="17"/>
          <w:szCs w:val="17"/>
          <w:color w:val="auto"/>
        </w:rPr>
      </w:pPr>
    </w:p>
    <w:p>
      <w:pPr>
        <w:ind w:right="60" w:firstLine="408"/>
        <w:spacing w:after="0" w:line="259" w:lineRule="auto"/>
        <w:tabs>
          <w:tab w:leader="none" w:pos="689"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past three (3) years, the Company (A) has not received written notice of any actual or potential liability under or relating to, or actual or potential violation of any Data Protection Requirements; (B) is not currently participating, in whole or in part, in any investigation, remediation, or other corrective action imposed by any court or arbitrator or governmental or regulatory authority relating to any of the Privacy Laws; and (C) is not a party to any order, decree, or agreement by any court or arbitrator or governmental or regulatory authority that imposes any obligation or liability relating to any Data Protection Requirements;</w:t>
      </w:r>
    </w:p>
    <w:p>
      <w:pPr>
        <w:spacing w:after="0" w:line="69" w:lineRule="exact"/>
        <w:rPr>
          <w:rFonts w:ascii="Times New Roman" w:cs="Times New Roman" w:eastAsia="Times New Roman" w:hAnsi="Times New Roman"/>
          <w:sz w:val="17"/>
          <w:szCs w:val="17"/>
          <w:color w:val="auto"/>
        </w:rPr>
      </w:pPr>
    </w:p>
    <w:p>
      <w:pPr>
        <w:ind w:right="100" w:firstLine="408"/>
        <w:spacing w:after="0" w:line="267" w:lineRule="auto"/>
        <w:tabs>
          <w:tab w:leader="none" w:pos="651"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has come to the attention of the Company that has caused the Company to believe that the statistical and market-related data included in each of the Registration Statement, the Pricing Prospectus and the Prospectus is not based on or derived from sources that are reliable and accurate in all material respects;</w:t>
      </w:r>
    </w:p>
    <w:p>
      <w:pPr>
        <w:spacing w:after="0" w:line="63" w:lineRule="exact"/>
        <w:rPr>
          <w:rFonts w:ascii="Times New Roman" w:cs="Times New Roman" w:eastAsia="Times New Roman" w:hAnsi="Times New Roman"/>
          <w:sz w:val="17"/>
          <w:szCs w:val="17"/>
          <w:color w:val="auto"/>
        </w:rPr>
      </w:pPr>
    </w:p>
    <w:p>
      <w:pPr>
        <w:ind w:right="40" w:firstLine="408"/>
        <w:spacing w:after="0" w:line="267" w:lineRule="auto"/>
        <w:tabs>
          <w:tab w:leader="none" w:pos="726"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and has been no failure on the part of the Company or any of the Company’s directors or officers, in their capacities as such, to comply in all material respects with any provision of the Sarbanes-Oxley Act, including Section 402 related to loans and Sections 302 and 906 related to certifications;</w:t>
      </w:r>
    </w:p>
    <w:p>
      <w:pPr>
        <w:spacing w:after="0" w:line="63" w:lineRule="exact"/>
        <w:rPr>
          <w:rFonts w:ascii="Times New Roman" w:cs="Times New Roman" w:eastAsia="Times New Roman" w:hAnsi="Times New Roman"/>
          <w:sz w:val="17"/>
          <w:szCs w:val="17"/>
          <w:color w:val="auto"/>
        </w:rPr>
      </w:pPr>
    </w:p>
    <w:p>
      <w:pPr>
        <w:ind w:firstLine="408"/>
        <w:spacing w:after="0" w:line="283" w:lineRule="auto"/>
        <w:tabs>
          <w:tab w:leader="none" w:pos="726"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debt securities or preferred stock issued or guaranteed by the Company that are rated by a “nationally recognized statistical rating organization,” as such term is defined under Section 3(a)(62) under the Exchange Act;</w:t>
      </w:r>
    </w:p>
    <w:p>
      <w:pPr>
        <w:spacing w:after="0" w:line="50" w:lineRule="exact"/>
        <w:rPr>
          <w:rFonts w:ascii="Times New Roman" w:cs="Times New Roman" w:eastAsia="Times New Roman" w:hAnsi="Times New Roman"/>
          <w:sz w:val="17"/>
          <w:szCs w:val="17"/>
          <w:color w:val="auto"/>
        </w:rPr>
      </w:pPr>
    </w:p>
    <w:p>
      <w:pPr>
        <w:ind w:right="40" w:firstLine="408"/>
        <w:spacing w:after="0" w:line="267" w:lineRule="auto"/>
        <w:tabs>
          <w:tab w:leader="none" w:pos="802"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stock options (the “Stock Options”) granted pursuant to the equity plans of the Company, (i) each Stock Option intended to qualify as an “incentive stock option” under Section 422 of the Internal Revenue Code of 1986, as amended (the “Code”), so qualifies, (ii) each grant of a Stock Option was duly authorized no later than</w:t>
      </w:r>
    </w:p>
    <w:p>
      <w:pPr>
        <w:spacing w:after="0" w:line="10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020"/>
          </w:cols>
          <w:pgMar w:left="1140" w:top="264" w:right="739" w:bottom="1440" w:gutter="0" w:footer="0" w:header="0"/>
        </w:sectPr>
      </w:pPr>
    </w:p>
    <w:bookmarkStart w:id="267" w:name="page268"/>
    <w:bookmarkEnd w:id="267"/>
    <w:p>
      <w:pPr>
        <w:spacing w:after="0" w:line="25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the date on which the grant of such Stock Option was by its terms to be effective (the “Grant Date”)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equity plans, the Exchange Act and all other applicable laws and regulatory rules or requirements, including the rules of The Nasdaq Global Market (the “Exchange”) and any other exchange on which Company securities are traded, and (iv) each such grant was properly accounted for in accordance with GAAP in the financial statements (including the related notes) of the Company. The Company has not knowingly granted, and there is no and has been no policy or practice of the Company of granting, Stock Options prior to, or otherwise coordinating the grant of Stock Options with, the release or other public announcement of material information regarding the Company or its results of operations or prospects;</w:t>
      </w:r>
    </w:p>
    <w:p>
      <w:pPr>
        <w:spacing w:after="0" w:line="73" w:lineRule="exact"/>
        <w:rPr>
          <w:sz w:val="20"/>
          <w:szCs w:val="20"/>
          <w:color w:val="auto"/>
        </w:rPr>
      </w:pPr>
    </w:p>
    <w:p>
      <w:pPr>
        <w:ind w:firstLine="408"/>
        <w:spacing w:after="0" w:line="252" w:lineRule="auto"/>
        <w:tabs>
          <w:tab w:leader="none" w:pos="726"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Each employee benefit plan, within the meaning of Section 3(3) of the Employee Retirement Income Security Act of 1974, as amended (“ERISA”),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414(b),(c),(m) or (o) of the Code) would have any liability (each, a “Plan”)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is so qualified, and nothing has occurred, whether by action or by failure to act, which would cause the loss of such qualification;</w:t>
      </w:r>
    </w:p>
    <w:p>
      <w:pPr>
        <w:spacing w:after="0" w:line="4" w:lineRule="exact"/>
        <w:rPr>
          <w:rFonts w:ascii="Times New Roman" w:cs="Times New Roman" w:eastAsia="Times New Roman" w:hAnsi="Times New Roman"/>
          <w:sz w:val="17"/>
          <w:szCs w:val="17"/>
          <w:color w:val="auto"/>
        </w:rPr>
      </w:pPr>
    </w:p>
    <w:p>
      <w:pPr>
        <w:ind w:right="80" w:firstLine="8"/>
        <w:spacing w:after="0" w:line="250" w:lineRule="auto"/>
        <w:tabs>
          <w:tab w:leader="none" w:pos="383"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w:t>
      </w:r>
    </w:p>
    <w:p>
      <w:pPr>
        <w:spacing w:after="0" w:line="4" w:lineRule="exact"/>
        <w:rPr>
          <w:rFonts w:ascii="Times New Roman" w:cs="Times New Roman" w:eastAsia="Times New Roman" w:hAnsi="Times New Roman"/>
          <w:sz w:val="17"/>
          <w:szCs w:val="17"/>
          <w:color w:val="auto"/>
        </w:rPr>
      </w:pPr>
    </w:p>
    <w:p>
      <w:pPr>
        <w:ind w:right="12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a material increase in the Company “accumulated post-retirement benefit obligations” (within the meaning of Accounting Standards Codification Topic 715-60) compared to the amount of such obligations in the Company most recently completed fiscal year, except in each case with respect to the events or conditions set forth in (i) through (ix) hereof, as would not, individually or in the aggregate, reasonably be expected to have a Material Adverse Effect;</w:t>
      </w:r>
    </w:p>
    <w:p>
      <w:pPr>
        <w:spacing w:after="0" w:line="11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000"/>
          </w:cols>
          <w:pgMar w:left="1140" w:top="264" w:right="759" w:bottom="1440" w:gutter="0" w:footer="0" w:header="0"/>
        </w:sectPr>
      </w:pPr>
    </w:p>
    <w:bookmarkStart w:id="268" w:name="page269"/>
    <w:bookmarkEnd w:id="268"/>
    <w:p>
      <w:pPr>
        <w:ind w:right="20" w:firstLine="408"/>
        <w:spacing w:after="0" w:line="267" w:lineRule="auto"/>
        <w:tabs>
          <w:tab w:leader="none" w:pos="726"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There are no off-balance sheet arrangements (as defined in Regulation S-K Item 303(a)(4)(ii)) that have or are reasonably likely to have a material current or future effect on the Company’s financial condition, changes in financial condition, results of operations, liquidity, capital expenditures or capital resources;</w:t>
      </w:r>
    </w:p>
    <w:p>
      <w:pPr>
        <w:spacing w:after="0" w:line="63" w:lineRule="exact"/>
        <w:rPr>
          <w:rFonts w:ascii="Times New Roman" w:cs="Times New Roman" w:eastAsia="Times New Roman" w:hAnsi="Times New Roman"/>
          <w:sz w:val="17"/>
          <w:szCs w:val="17"/>
          <w:color w:val="auto"/>
        </w:rPr>
      </w:pPr>
    </w:p>
    <w:p>
      <w:pPr>
        <w:ind w:right="480" w:firstLine="408"/>
        <w:spacing w:after="0" w:line="283" w:lineRule="auto"/>
        <w:tabs>
          <w:tab w:leader="none" w:pos="707"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statutes, regulations, contracts or other documents that are required under the Act to be described in the Registration Statement or the Prospectus or to be filed as exhibits to the Registration Statement that are not described or filed as required under the Act;</w:t>
      </w:r>
    </w:p>
    <w:p>
      <w:pPr>
        <w:spacing w:after="0" w:line="50" w:lineRule="exact"/>
        <w:rPr>
          <w:sz w:val="20"/>
          <w:szCs w:val="20"/>
          <w:color w:val="auto"/>
        </w:rPr>
      </w:pPr>
    </w:p>
    <w:p>
      <w:pPr>
        <w:ind w:right="20" w:firstLine="408"/>
        <w:spacing w:after="0" w:line="257" w:lineRule="auto"/>
        <w:tabs>
          <w:tab w:leader="none" w:pos="783"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such permits, licenses, approvals, consents, franchises, certificates and other approvals or authorizations issued by governmental or regulatory authorities having jurisdiction over the Company (“Permits”) that are necessary for the ownership of its properties and the conduct of its business in the manner described in the Registration Statement, the Pricing Prospectus and the Prospectus, except for any of the foregoing that would not, individually or in the aggregate, reasonably be expected to have a Material Adverse Effect. The Company has not received notice of any proceedings related to the revocation or modification of any such Permits, except where such revocation or modification would not, individually or in the aggregate, reasonably be expected to have a Material Adverse Effect;</w:t>
      </w:r>
    </w:p>
    <w:p>
      <w:pPr>
        <w:spacing w:after="0" w:line="72" w:lineRule="exact"/>
        <w:rPr>
          <w:rFonts w:ascii="Times New Roman" w:cs="Times New Roman" w:eastAsia="Times New Roman" w:hAnsi="Times New Roman"/>
          <w:sz w:val="17"/>
          <w:szCs w:val="17"/>
          <w:color w:val="auto"/>
        </w:rPr>
      </w:pPr>
    </w:p>
    <w:p>
      <w:pPr>
        <w:ind w:right="20" w:firstLine="408"/>
        <w:spacing w:after="0" w:line="283" w:lineRule="auto"/>
        <w:tabs>
          <w:tab w:leader="none" w:pos="812"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not taken and will not take, directly or indirectly, any action that is designed to or that could reasonably be expected to cause or result in the stabilization or manipulation of the price of any security of the Company in connection with the offering of the Shares;</w:t>
      </w:r>
    </w:p>
    <w:p>
      <w:pPr>
        <w:spacing w:after="0" w:line="50" w:lineRule="exact"/>
        <w:rPr>
          <w:rFonts w:ascii="Times New Roman" w:cs="Times New Roman" w:eastAsia="Times New Roman" w:hAnsi="Times New Roman"/>
          <w:sz w:val="17"/>
          <w:szCs w:val="17"/>
          <w:color w:val="auto"/>
        </w:rPr>
      </w:pPr>
    </w:p>
    <w:p>
      <w:pPr>
        <w:ind w:right="120" w:firstLine="408"/>
        <w:spacing w:after="0" w:line="267" w:lineRule="auto"/>
        <w:tabs>
          <w:tab w:leader="none" w:pos="783"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not a party to any contract, agreement or understanding with any person (other than this Agreement) that would give rise to a valid claim against the Company or any Underwriter for a brokerage commission, finder’s fee or like payment in connection with the offering and sale of the Shares;</w:t>
      </w:r>
    </w:p>
    <w:p>
      <w:pPr>
        <w:spacing w:after="0" w:line="63" w:lineRule="exact"/>
        <w:rPr>
          <w:rFonts w:ascii="Times New Roman" w:cs="Times New Roman" w:eastAsia="Times New Roman" w:hAnsi="Times New Roman"/>
          <w:sz w:val="17"/>
          <w:szCs w:val="17"/>
          <w:color w:val="auto"/>
        </w:rPr>
      </w:pPr>
    </w:p>
    <w:p>
      <w:pPr>
        <w:jc w:val="both"/>
        <w:ind w:right="160" w:firstLine="408"/>
        <w:spacing w:after="0" w:line="267" w:lineRule="auto"/>
        <w:tabs>
          <w:tab w:leader="none" w:pos="812"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relationship, direct or indirect, exists between or among the Company, on the one hand, and the directors, officers, stockholders, customers or suppliers of the Company, on the other, that is required by the Act to be described in the Registration Statement and the Prospectus and that is not so described in such documents and in the Registration Statement, the Pricing Prospectus and the Prospectus; and</w:t>
      </w:r>
    </w:p>
    <w:p>
      <w:pPr>
        <w:spacing w:after="0" w:line="63" w:lineRule="exact"/>
        <w:rPr>
          <w:rFonts w:ascii="Times New Roman" w:cs="Times New Roman" w:eastAsia="Times New Roman" w:hAnsi="Times New Roman"/>
          <w:sz w:val="17"/>
          <w:szCs w:val="17"/>
          <w:color w:val="auto"/>
        </w:rPr>
      </w:pPr>
    </w:p>
    <w:p>
      <w:pPr>
        <w:jc w:val="both"/>
        <w:ind w:firstLine="408"/>
        <w:spacing w:after="0" w:line="267" w:lineRule="auto"/>
        <w:tabs>
          <w:tab w:leader="none" w:pos="783"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forward-looking statement (within the meaning of Section 27A of the Act and Section 21E of the Exchange Act) included in any of the Registration Statement, the Pricing Prospectus or the Prospectus has been made or reaffirmed without a reasonable basis or has been disclosed other than in good faith.</w:t>
      </w:r>
    </w:p>
    <w:p>
      <w:pPr>
        <w:spacing w:after="0" w:line="10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0000"/>
          </w:cols>
          <w:pgMar w:left="1140" w:top="264" w:right="759" w:bottom="1440" w:gutter="0" w:footer="0" w:header="0"/>
        </w:sectPr>
      </w:pPr>
    </w:p>
    <w:bookmarkStart w:id="269" w:name="page270"/>
    <w:bookmarkEnd w:id="269"/>
    <w:p>
      <w:pPr>
        <w:ind w:firstLine="408"/>
        <w:spacing w:after="0" w:line="254" w:lineRule="auto"/>
        <w:tabs>
          <w:tab w:leader="none" w:pos="587"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Subject to the terms and conditions herein set forth, (a) the Company agrees to issue and sell to each of the Underwriters, and each of the Underwriters agrees, severally and not jointly, to purchase from the Company, at a purchase price per share of $[•], the number of Firm Shares set forth opposite the name of such Underwriter in Schedule I hereto and (b) in the event and to the extent that the Underwriters shall exercise the election to purchase Optional Shares as provided below, the Company agrees to issue and sell to each of the Underwriters, and each of the Underwriters agrees, severally and not jointly, to purchase from the Company, at the purchase price per share set forth in clause (a) of this Section 2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the Representatives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77" w:lineRule="exact"/>
        <w:rPr>
          <w:sz w:val="20"/>
          <w:szCs w:val="20"/>
          <w:color w:val="auto"/>
        </w:rPr>
      </w:pPr>
    </w:p>
    <w:p>
      <w:pPr>
        <w:ind w:right="20" w:firstLine="417"/>
        <w:spacing w:after="0" w:line="256" w:lineRule="auto"/>
        <w:rPr>
          <w:sz w:val="20"/>
          <w:szCs w:val="20"/>
          <w:color w:val="auto"/>
        </w:rPr>
      </w:pPr>
      <w:r>
        <w:rPr>
          <w:rFonts w:ascii="Times New Roman" w:cs="Times New Roman" w:eastAsia="Times New Roman" w:hAnsi="Times New Roman"/>
          <w:sz w:val="17"/>
          <w:szCs w:val="17"/>
          <w:color w:val="auto"/>
        </w:rPr>
        <w:t>The Company hereby grants to the Underwriters the right to purchase at their election up to [•] Optional Shares, at the purchase price per share set forth in the paragraph above,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the Representatives to the Company, given within a period of 30 calendar days after the date of this Agreement, setting forth the aggregate number of Optional Shares to be purchased and the date on which such Optional Shares are to be delivered, as determined by the Representatives but in no event earlier than the First Time of Delivery (as defined in Section 4 hereof) or, unless the Representatives and the Company otherwise agree in writing, earlier than two or later than ten business days after the date of such notice.</w:t>
      </w:r>
    </w:p>
    <w:p>
      <w:pPr>
        <w:spacing w:after="0" w:line="176" w:lineRule="exact"/>
        <w:rPr>
          <w:sz w:val="20"/>
          <w:szCs w:val="20"/>
          <w:color w:val="auto"/>
        </w:rPr>
      </w:pPr>
    </w:p>
    <w:p>
      <w:pPr>
        <w:ind w:right="220" w:firstLine="408"/>
        <w:spacing w:after="0" w:line="283" w:lineRule="auto"/>
        <w:tabs>
          <w:tab w:leader="none" w:pos="587"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authorization by the Representatives of the release of the Shares, the several Underwriters propose to offer the Shares for sale upon the terms and conditions set forth in the Pricing Disclosure Package and the Prospectus.</w:t>
      </w:r>
    </w:p>
    <w:p>
      <w:pPr>
        <w:spacing w:after="0" w:line="152" w:lineRule="exact"/>
        <w:rPr>
          <w:rFonts w:ascii="Times New Roman" w:cs="Times New Roman" w:eastAsia="Times New Roman" w:hAnsi="Times New Roman"/>
          <w:sz w:val="17"/>
          <w:szCs w:val="17"/>
          <w:color w:val="auto"/>
        </w:rPr>
      </w:pPr>
    </w:p>
    <w:p>
      <w:pPr>
        <w:ind w:right="20" w:firstLine="408"/>
        <w:spacing w:after="0" w:line="253" w:lineRule="auto"/>
        <w:tabs>
          <w:tab w:leader="none" w:pos="587"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Shares to be purchased by each Underwriter hereunder, in definitive or book-entry form, and in such authorized denominations and registered in such names as the Representatives may request upon at least forty-eight hours’ prior notice to the Company shall be delivered by or on behalf of the Company to the Representatives, through the facilities of the Depository Trust Company (“DTC”), for the account of such Underwriter, against payment by or on behalf of such Underwriter of the purchase price therefor by wire transfer of Federal (same-day) funds to the account specified by the Company to the Representatives at least forty-eight hours in advance. The Company will cause the certificates, if any, representing the Shares to be made available for checking and packaging at least twenty-four hours prior to the Time of Delivery (as defined below) with respect thereto at the office of DTC or its designated custodian (the “Designated Office”). The time and date of such delivery and payment shall be, with respect to the Firm Shares, 9:30 a.m., New York City time, on [•], 2024 or such other time and date as the Representatives and the Company may agree upon in writing, and, with respect to the Optional Shares, 9:30 a.m., New York City time, on the date specified by the Representatives in the written notice given by the Representatives of the Underwriters’ election to purchase such Optional Shares, or such other time and date as the Representatives and the Company may agree upon in writing. Such time and date for delivery of the Firm Shares is herein called the “First Time of Delivery”, such time and date for delivery of the Optional Shares, if not the First Time of Delivery, is herein called the “Second Time of Delivery”, and each such time and date for delivery is herein called a “Time of Delivery”.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0400"/>
          </w:cols>
          <w:pgMar w:left="740" w:top="264" w:right="759" w:bottom="1440" w:gutter="0" w:footer="0" w:header="0"/>
        </w:sectPr>
      </w:pPr>
    </w:p>
    <w:bookmarkStart w:id="270" w:name="page271"/>
    <w:bookmarkEnd w:id="270"/>
    <w:p>
      <w:pPr>
        <w:ind w:left="-20" w:right="40" w:firstLine="408"/>
        <w:spacing w:after="0" w:line="255" w:lineRule="auto"/>
        <w:tabs>
          <w:tab w:leader="none" w:pos="638"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The documents to be delivered at each Time of Delivery by or on behalf of the parties hereto pursuant to Section 8 hereof, including the cross receipt for the Shares and any additional documents requested by the Underwriters pursuant to Section 8(l) hereof, will be delivered at the offices of Cooley LLP, 10265 Science Center Drive, San Diego, California 92121 (the “Closing Location”), and the Shares will be delivered at the Designated Office, all at such Time of Delivery. A meeting will be held at the Closing Location at [•] [a.m.][p.m.], New York City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City are generally authorized or obligated by law or executive order to close.</w:t>
      </w:r>
    </w:p>
    <w:p>
      <w:pPr>
        <w:spacing w:after="0" w:line="178" w:lineRule="exact"/>
        <w:rPr>
          <w:sz w:val="20"/>
          <w:szCs w:val="20"/>
          <w:color w:val="auto"/>
        </w:rPr>
      </w:pPr>
    </w:p>
    <w:p>
      <w:pPr>
        <w:ind w:left="560" w:hanging="172"/>
        <w:spacing w:after="0"/>
        <w:tabs>
          <w:tab w:leader="none" w:pos="56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agrees with each of the Underwriters:</w:t>
      </w:r>
    </w:p>
    <w:p>
      <w:pPr>
        <w:spacing w:after="0" w:line="111" w:lineRule="exact"/>
        <w:rPr>
          <w:rFonts w:ascii="Times New Roman" w:cs="Times New Roman" w:eastAsia="Times New Roman" w:hAnsi="Times New Roman"/>
          <w:sz w:val="17"/>
          <w:szCs w:val="17"/>
          <w:color w:val="auto"/>
        </w:rPr>
      </w:pPr>
    </w:p>
    <w:p>
      <w:pPr>
        <w:ind w:left="380" w:firstLine="408"/>
        <w:spacing w:after="0" w:line="253" w:lineRule="auto"/>
        <w:tabs>
          <w:tab w:leader="none" w:pos="1012"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prepare the Prospectus in a form approved by the Representatives and to file such Prospectus pursuant to Rule 424(b) under the Act not later than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last Time of Delivery which shall be disapproved by the Representatives promptly after reasonable notice thereof; to advise the Representatives, promptly after it receives notice thereof, of the time when any amendment to the Registration Statement has been filed or becomes effective or any amendment or supplement to the Prospectus has been filed and to furnish the Representatives with copies thereof; to file promptly all material required to be filed by the Company with the Commission pursuant to Rule 433(d) under the Act; to advise the Representatives, promptly after it receives notice thereof, of the issuance by the Commission of any stop order or of any order suspending the effectiveness of the Registration Statement or any part thereof or preventing or suspending the use of any Preliminary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or suspending any such qualification, to promptly use its best efforts to obtain the withdrawal of such order;</w:t>
      </w:r>
    </w:p>
    <w:p>
      <w:pPr>
        <w:spacing w:after="0" w:line="79" w:lineRule="exact"/>
        <w:rPr>
          <w:rFonts w:ascii="Times New Roman" w:cs="Times New Roman" w:eastAsia="Times New Roman" w:hAnsi="Times New Roman"/>
          <w:sz w:val="17"/>
          <w:szCs w:val="17"/>
          <w:color w:val="auto"/>
        </w:rPr>
      </w:pPr>
    </w:p>
    <w:p>
      <w:pPr>
        <w:ind w:left="380" w:right="40" w:firstLine="408"/>
        <w:spacing w:after="0" w:line="259" w:lineRule="auto"/>
        <w:tabs>
          <w:tab w:leader="none" w:pos="1021"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from time to time to take such action as the Representatives may reasonably request to qualify the Shares for offering and sale under the securities laws of such jurisdictions as the Representatives may reasonably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(where not otherwise required) or to file a general consent to service of process in any jurisdiction (where not otherwise required);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0380"/>
          </w:cols>
          <w:pgMar w:left="760" w:top="264" w:right="759" w:bottom="1440" w:gutter="0" w:footer="0" w:header="0"/>
        </w:sectPr>
      </w:pPr>
    </w:p>
    <w:bookmarkStart w:id="271" w:name="page272"/>
    <w:bookmarkEnd w:id="271"/>
    <w:p>
      <w:pPr>
        <w:ind w:firstLine="408"/>
        <w:spacing w:after="0" w:line="252" w:lineRule="auto"/>
        <w:tabs>
          <w:tab w:leader="none" w:pos="632"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Prior to 10:00 a.m., New York City time, on the New York Business Day next succeeding the date of this Agreement (or such other time as may be agreed to by the Representatives and the Company) and from time to time, to furnish the Underwriters with written and electronic copies of the Prospectus, Preliminary Prospectus and any supplements and amendments thereto or to the Registration Statement in such quantities as the Representatives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the Representatives and, before amending or supplementing the Registration Statement, the Pricing Disclosure Package or the Prospectus, to furnish the Representatives a copy of each such proposed amendment or supplement and not file any such proposed amendment or supplement to which the Representatives reasonably object, and upon the Representatives’ request to prepare and furnish without charge to each Underwriter and to any dealer in securities (whose name and address the Underwriters shall furnish to the Company in connection with such request) as many written and electronic copies as the Representatives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the Representatives’ request but at the expense of such Underwriter, to prepare and deliver to such Underwriter as many written and electronic copies as the Representatives may request of an amended or supplemented Prospectus complying with Section 10(a)(3) of the Act;</w:t>
      </w:r>
    </w:p>
    <w:p>
      <w:pPr>
        <w:spacing w:after="0" w:line="86" w:lineRule="exact"/>
        <w:rPr>
          <w:rFonts w:ascii="Times New Roman" w:cs="Times New Roman" w:eastAsia="Times New Roman" w:hAnsi="Times New Roman"/>
          <w:sz w:val="17"/>
          <w:szCs w:val="17"/>
          <w:color w:val="auto"/>
        </w:rPr>
      </w:pPr>
    </w:p>
    <w:p>
      <w:pPr>
        <w:ind w:right="160" w:firstLine="408"/>
        <w:spacing w:after="0" w:line="259" w:lineRule="auto"/>
        <w:tabs>
          <w:tab w:leader="none" w:pos="641"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generally available to its securityholders as soon as practicable (which may be satisfied by filing with the Commission’s Electronic Data Gathering, Analysis and Retrieval System (“EDGAR”)), but in any event not later than sixteen months after the effective date of the Registration Statement (as defined in Rule 158(c) under the Act), an earnings statement of the Company (which need not be audited) complying with Section 11(a) of the Act and the rules and regulations of the Commission thereunder (including, at the option of the Company, Rule 158);</w:t>
      </w:r>
    </w:p>
    <w:p>
      <w:pPr>
        <w:spacing w:after="0" w:line="69" w:lineRule="exact"/>
        <w:rPr>
          <w:rFonts w:ascii="Times New Roman" w:cs="Times New Roman" w:eastAsia="Times New Roman" w:hAnsi="Times New Roman"/>
          <w:sz w:val="17"/>
          <w:szCs w:val="17"/>
          <w:color w:val="auto"/>
        </w:rPr>
      </w:pPr>
    </w:p>
    <w:p>
      <w:pPr>
        <w:ind w:right="20" w:firstLine="408"/>
        <w:spacing w:after="0" w:line="255" w:lineRule="auto"/>
        <w:tabs>
          <w:tab w:leader="none" w:pos="632"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During the period beginning from the date of this Agreement and continuing to and including the date 180 days after the date of the Prospectus (the “Lock-Up Period”), not to (i) offer, sell, contract to sell, pledge, grant any option to purchase, loan, hedge, make any short sale or otherwise transfer or dispose of, directly or indirectly, or file with or confidentially submit to the Commission a registration statement under the Act relating to, any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(ii) enter into any hedging,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(other than the Shares to be sold hereunder or pursuant to employee stock option plans existing on, or upon the conversion or exchange of</w:t>
      </w:r>
    </w:p>
    <w:p>
      <w:pPr>
        <w:spacing w:after="0" w:line="11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0020"/>
          </w:cols>
          <w:pgMar w:left="1140" w:top="264" w:right="739" w:bottom="1440" w:gutter="0" w:footer="0" w:header="0"/>
        </w:sectPr>
      </w:pPr>
    </w:p>
    <w:bookmarkStart w:id="272" w:name="page273"/>
    <w:bookmarkEnd w:id="272"/>
    <w:p>
      <w:pPr>
        <w:ind w:right="60"/>
        <w:spacing w:after="0" w:line="25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convertible or exchangeable securities outstanding as of, the date of this Agreement) or (iii) publicly disclose the intention to do any of the foregoing, in each case, without the prior written consent of Goldman Sachs &amp; Co. LLC, Leerink Partners LLC, Piper Sandler &amp; Co. and Guggenheim Securities, LLC; provided, however, that the Company may (A) effect the transactions contemplated hereby, (B)(i) issue Stock, options to purchase Stock, restricted stock units, Stock upon exercise of options or settlement of restricted stock units, pursuant to any stock option, stock bonus or other stock plan or equity compensation arrangement described in the Registration Statement and the Prospectus, provided that any recipients thereof have provided to the Representatives a signed lock-up letter in substantially the form attached as Annex II hereto, or</w:t>
      </w:r>
    </w:p>
    <w:p>
      <w:pPr>
        <w:spacing w:after="0" w:line="3" w:lineRule="exact"/>
        <w:rPr>
          <w:sz w:val="20"/>
          <w:szCs w:val="20"/>
          <w:color w:val="auto"/>
        </w:rPr>
      </w:pPr>
    </w:p>
    <w:p>
      <w:pPr>
        <w:ind w:firstLine="8"/>
        <w:spacing w:after="0" w:line="251" w:lineRule="auto"/>
        <w:tabs>
          <w:tab w:leader="none" w:pos="251"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Stock upon the conversion of convertible preferred stock outstanding on the date of this Agreement as described in the Registration Statement and the Prospectus in connection with the offering contemplated by this Agreement, provided that any recipients of such securities shall have provided to the Representatives a signed lock-up letter in substantially the form attached as Annex II hereto, (C) issue Stock pursuant to the conversion or exchange of convertible or exchangeable securities or the exercise of warrants or options, provided, in each case, (i) such convertible or exchangeable securities, warrants or options are outstanding on the date hereof and described in the Registration Statement and the Prospectus and (ii) the recipient to any Stock issued pursuant to this subsection (C) executes a lock-up letter in substantially the form attached as Annex II hereto, (D) file a registration statement on Form S-8 or a successor form thereto to register Stock issuable pursuant to the terms of a stock option, stock bonus or other stock plan or arrangement described in the Registration Statement, and (E) issue shares of Stock or any securities convertible into or exchangeable for, or that represent the right to receive, shares of Stock issued in connection with any joint venture, commercial or collaborative relationship or the acquisition or license by the Company of the securities, businesses, property or other assets of another person or entity or pursuant to any employment benefit plan assumed by the Company in connection with any such acquisition, provided that in the case of clause (E), the aggregate number of shares that the Company may sell or issue or agree to sell or issue pursuant to clause (E), (i) shall not exceed 5.0% of the total number of shares of Stock issued and outstanding immediately following the completion of the transactions contemplated by this Agreement and (ii) the recipients thereof provide to the Representatives a signed lock-up letter in substantially the form attached as Annex II hereto;</w:t>
      </w:r>
    </w:p>
    <w:p>
      <w:pPr>
        <w:spacing w:after="0" w:line="84" w:lineRule="exact"/>
        <w:rPr>
          <w:rFonts w:ascii="Times New Roman" w:cs="Times New Roman" w:eastAsia="Times New Roman" w:hAnsi="Times New Roman"/>
          <w:sz w:val="17"/>
          <w:szCs w:val="17"/>
          <w:color w:val="auto"/>
        </w:rPr>
      </w:pPr>
    </w:p>
    <w:p>
      <w:pPr>
        <w:ind w:right="100" w:firstLine="909"/>
        <w:spacing w:after="0" w:line="259" w:lineRule="auto"/>
        <w:tabs>
          <w:tab w:leader="none" w:pos="1142" w:val="left"/>
        </w:tabs>
        <w:numPr>
          <w:ilvl w:val="1"/>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Goldman Sachs &amp; Co. LLC, Leerink Partners LLC, Piper Sandler &amp; Co. and Guggenheim Securities, LLC, in their sole discretion, agree to release or waive the restrictions set forth in a lock-up letter delivered pursuant to Section 8(i) hereof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Annex I hereto through a major news service at least two business days before the effective date of the release or waiver;</w:t>
      </w:r>
    </w:p>
    <w:p>
      <w:pPr>
        <w:spacing w:after="0" w:line="10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9980"/>
          </w:cols>
          <w:pgMar w:left="1140" w:top="264" w:right="779" w:bottom="1440" w:gutter="0" w:footer="0" w:header="0"/>
        </w:sectPr>
      </w:pPr>
    </w:p>
    <w:bookmarkStart w:id="273" w:name="page274"/>
    <w:bookmarkEnd w:id="273"/>
    <w:p>
      <w:pPr>
        <w:ind w:left="620" w:hanging="212"/>
        <w:spacing w:after="0"/>
        <w:tabs>
          <w:tab w:leader="none" w:pos="620"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During a period of three years from the effective date of the Registration Statement, for so long as the Company is subject to the</w:t>
      </w:r>
    </w:p>
    <w:p>
      <w:pPr>
        <w:spacing w:after="0" w:line="26" w:lineRule="exact"/>
        <w:rPr>
          <w:rFonts w:ascii="Times New Roman" w:cs="Times New Roman" w:eastAsia="Times New Roman" w:hAnsi="Times New Roman"/>
          <w:sz w:val="17"/>
          <w:szCs w:val="17"/>
          <w:color w:val="auto"/>
        </w:rPr>
      </w:pPr>
    </w:p>
    <w:p>
      <w:pPr>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reporting requirements of either Section 13 or Section 15(d) of the Exchange Act, to furnish to its stockholders as soon as practicable after the end of each fiscal year an annual 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and its subsidiaries for such quarter in reasonable detail, provided that no reports, documents or other information needs to be furnished pursuant to this Section 5(f) to the extent they are available on EDGAR;</w:t>
      </w:r>
    </w:p>
    <w:p>
      <w:pPr>
        <w:spacing w:after="0" w:line="75" w:lineRule="exact"/>
        <w:rPr>
          <w:rFonts w:ascii="Times New Roman" w:cs="Times New Roman" w:eastAsia="Times New Roman" w:hAnsi="Times New Roman"/>
          <w:sz w:val="17"/>
          <w:szCs w:val="17"/>
          <w:color w:val="auto"/>
        </w:rPr>
      </w:pPr>
    </w:p>
    <w:p>
      <w:pPr>
        <w:ind w:firstLine="408"/>
        <w:spacing w:after="0" w:line="256" w:lineRule="auto"/>
        <w:tabs>
          <w:tab w:leader="none" w:pos="641"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a period of three years from the effective date of the Registration Statement, to furnish to the Representatives copies of all reports or other communications (financial or other) furnished to stockholders, and to deliver to the Representatives (i) as soon as they are available, copies of any reports and financial statements furnished to or filed with the Commission or any national securities exchange on which any class of securities of the Company is listed, and (ii) such additional information concerning the business and financial condition of the Company as the Representatives may from time to time reasonably request (such financial statements to be on a consolidated basis to the extent the accounts of the Company and its subsidiaries are consolidated in reports furnished to its stockholders generally or to the Commission), provided that no reports, documents or other information needs to be furnished pursuant to this Section 5(g) to the extent they are available on EDGAR;</w:t>
      </w:r>
    </w:p>
    <w:p>
      <w:pPr>
        <w:spacing w:after="0" w:line="73" w:lineRule="exact"/>
        <w:rPr>
          <w:rFonts w:ascii="Times New Roman" w:cs="Times New Roman" w:eastAsia="Times New Roman" w:hAnsi="Times New Roman"/>
          <w:sz w:val="17"/>
          <w:szCs w:val="17"/>
          <w:color w:val="auto"/>
        </w:rPr>
      </w:pPr>
    </w:p>
    <w:p>
      <w:pPr>
        <w:ind w:right="440" w:firstLine="408"/>
        <w:spacing w:after="0" w:line="283" w:lineRule="auto"/>
        <w:tabs>
          <w:tab w:leader="none" w:pos="641"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use the net proceeds received by it from the sale of the Shares pursuant to this Agreement in the manner specified in the Pricing Prospectus under the caption “Use of Proceeds”;</w:t>
      </w:r>
    </w:p>
    <w:p>
      <w:pPr>
        <w:spacing w:after="0" w:line="50" w:lineRule="exact"/>
        <w:rPr>
          <w:rFonts w:ascii="Times New Roman" w:cs="Times New Roman" w:eastAsia="Times New Roman" w:hAnsi="Times New Roman"/>
          <w:sz w:val="17"/>
          <w:szCs w:val="17"/>
          <w:color w:val="auto"/>
        </w:rPr>
      </w:pPr>
    </w:p>
    <w:p>
      <w:pPr>
        <w:ind w:left="620" w:hanging="212"/>
        <w:spacing w:after="0"/>
        <w:tabs>
          <w:tab w:leader="none" w:pos="620"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use its best efforts to list for trading, subject to official notice of issuance, the Shares on the Exchange;</w:t>
      </w:r>
    </w:p>
    <w:p>
      <w:pPr>
        <w:spacing w:after="0" w:line="111" w:lineRule="exact"/>
        <w:rPr>
          <w:rFonts w:ascii="Times New Roman" w:cs="Times New Roman" w:eastAsia="Times New Roman" w:hAnsi="Times New Roman"/>
          <w:sz w:val="17"/>
          <w:szCs w:val="17"/>
          <w:color w:val="auto"/>
        </w:rPr>
      </w:pPr>
    </w:p>
    <w:p>
      <w:pPr>
        <w:ind w:left="620" w:hanging="212"/>
        <w:spacing w:after="0"/>
        <w:tabs>
          <w:tab w:leader="none" w:pos="620"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with the Commission such information on Form 10-Q or Form 10-K as may be required by Rule 463 under the Act;</w:t>
      </w:r>
    </w:p>
    <w:p>
      <w:pPr>
        <w:spacing w:after="0" w:line="111" w:lineRule="exact"/>
        <w:rPr>
          <w:rFonts w:ascii="Times New Roman" w:cs="Times New Roman" w:eastAsia="Times New Roman" w:hAnsi="Times New Roman"/>
          <w:sz w:val="17"/>
          <w:szCs w:val="17"/>
          <w:color w:val="auto"/>
        </w:rPr>
      </w:pPr>
    </w:p>
    <w:p>
      <w:pPr>
        <w:ind w:right="360" w:firstLine="408"/>
        <w:spacing w:after="0" w:line="261" w:lineRule="auto"/>
        <w:tabs>
          <w:tab w:leader="none" w:pos="641"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elects to rely upon Rule 462(b) under the Act, the Company shall file a Rule 462(b) Registration Statement with the Commission in compliance with Rule 462(b) under the Act by 10:00 P.M., Washington, D.C. time, on the date of this Agreement, and the Company shall at the time of filing either pay to the Commission the filing fee for the Rule 462(b) Registration Statement or give irrevocable instructions for the payment of such fee pursuant to Rule 3a(c) of the Commission’s Informal and Other Procedures (16 CFR 202.3a);</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0000"/>
          </w:cols>
          <w:pgMar w:left="1140" w:top="264" w:right="759" w:bottom="1440" w:gutter="0" w:footer="0" w:header="0"/>
        </w:sectPr>
      </w:pPr>
    </w:p>
    <w:bookmarkStart w:id="274" w:name="page275"/>
    <w:bookmarkEnd w:id="274"/>
    <w:p>
      <w:pPr>
        <w:ind w:left="380" w:right="200" w:firstLine="408"/>
        <w:spacing w:after="0" w:line="261" w:lineRule="auto"/>
        <w:tabs>
          <w:tab w:leader="none" w:pos="983" w:val="left"/>
        </w:tabs>
        <w:numPr>
          <w:ilvl w:val="1"/>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Upon reasonable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“License”); provided, however, that the License shall be used solely for the purpose described above, is granted without any fee and may not be assigned or transferred;</w:t>
      </w:r>
    </w:p>
    <w:p>
      <w:pPr>
        <w:spacing w:after="0" w:line="69" w:lineRule="exact"/>
        <w:rPr>
          <w:rFonts w:ascii="Times New Roman" w:cs="Times New Roman" w:eastAsia="Times New Roman" w:hAnsi="Times New Roman"/>
          <w:sz w:val="17"/>
          <w:szCs w:val="17"/>
          <w:color w:val="auto"/>
        </w:rPr>
      </w:pPr>
    </w:p>
    <w:p>
      <w:pPr>
        <w:ind w:left="1080" w:hanging="292"/>
        <w:spacing w:after="0"/>
        <w:tabs>
          <w:tab w:leader="none" w:pos="1080" w:val="left"/>
        </w:tabs>
        <w:numPr>
          <w:ilvl w:val="1"/>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promptly notify the Representatives if the Company ceases to be an Emerging Growth Company at any time prior to the later of</w:t>
      </w:r>
    </w:p>
    <w:p>
      <w:pPr>
        <w:spacing w:after="0" w:line="26" w:lineRule="exact"/>
        <w:rPr>
          <w:rFonts w:ascii="Times New Roman" w:cs="Times New Roman" w:eastAsia="Times New Roman" w:hAnsi="Times New Roman"/>
          <w:sz w:val="17"/>
          <w:szCs w:val="17"/>
          <w:color w:val="auto"/>
        </w:rPr>
      </w:pPr>
    </w:p>
    <w:p>
      <w:pPr>
        <w:ind w:left="600" w:hanging="212"/>
        <w:spacing w:after="0"/>
        <w:tabs>
          <w:tab w:leader="none" w:pos="600"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completion of the distribution of the Shares within the meaning of the Act and (ii) the last Time of Delivery;</w:t>
      </w:r>
    </w:p>
    <w:p>
      <w:pPr>
        <w:spacing w:after="0" w:line="93" w:lineRule="exact"/>
        <w:rPr>
          <w:rFonts w:ascii="Times New Roman" w:cs="Times New Roman" w:eastAsia="Times New Roman" w:hAnsi="Times New Roman"/>
          <w:sz w:val="17"/>
          <w:szCs w:val="17"/>
          <w:color w:val="auto"/>
        </w:rPr>
      </w:pPr>
    </w:p>
    <w:p>
      <w:pPr>
        <w:ind w:left="380" w:right="160" w:firstLine="408"/>
        <w:spacing w:after="0" w:line="261" w:lineRule="auto"/>
        <w:tabs>
          <w:tab w:leader="none" w:pos="1021" w:val="left"/>
        </w:tabs>
        <w:numPr>
          <w:ilvl w:val="1"/>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 and</w:t>
      </w:r>
    </w:p>
    <w:p>
      <w:pPr>
        <w:spacing w:after="0" w:line="69" w:lineRule="exact"/>
        <w:rPr>
          <w:rFonts w:ascii="Times New Roman" w:cs="Times New Roman" w:eastAsia="Times New Roman" w:hAnsi="Times New Roman"/>
          <w:sz w:val="17"/>
          <w:szCs w:val="17"/>
          <w:color w:val="auto"/>
        </w:rPr>
      </w:pPr>
    </w:p>
    <w:p>
      <w:pPr>
        <w:ind w:left="380" w:right="640" w:firstLine="408"/>
        <w:spacing w:after="0" w:line="283" w:lineRule="auto"/>
        <w:tabs>
          <w:tab w:leader="none" w:pos="1021" w:val="left"/>
        </w:tabs>
        <w:numPr>
          <w:ilvl w:val="1"/>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or affiliates will take, directly or indirectly, any action designed to or that could reasonably be expected to cause or result in any stabilization or manipulation of the price of the Shares.</w:t>
      </w:r>
    </w:p>
    <w:p>
      <w:pPr>
        <w:spacing w:after="0" w:line="152" w:lineRule="exact"/>
        <w:rPr>
          <w:sz w:val="20"/>
          <w:szCs w:val="20"/>
          <w:color w:val="auto"/>
        </w:rPr>
      </w:pPr>
    </w:p>
    <w:p>
      <w:pPr>
        <w:ind w:left="-20" w:right="60" w:firstLine="408"/>
        <w:spacing w:after="0" w:line="259" w:lineRule="auto"/>
        <w:tabs>
          <w:tab w:leader="none" w:pos="567"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Company represents and agrees that, without the prior consent of the Representatives, it has not made and will not make any offer relating to the Shares that would constitute a “free writing prospectus” as defined in Rule 405 under the Act; each Underwriter represents and agrees that, without the prior consent of the Company and the Representatives, it has not made and will not make any offer relating to the Shares that would constitute a free writing prospectus required to be filed with the Commission; and any such free writing prospectus the use of which has been consented to by the Company and the Representatives and which is listed on Schedule II(a) or Schedule II(c) hereto;</w:t>
      </w:r>
    </w:p>
    <w:p>
      <w:pPr>
        <w:spacing w:after="0" w:line="171" w:lineRule="exact"/>
        <w:rPr>
          <w:rFonts w:ascii="Times New Roman" w:cs="Times New Roman" w:eastAsia="Times New Roman" w:hAnsi="Times New Roman"/>
          <w:sz w:val="17"/>
          <w:szCs w:val="17"/>
          <w:color w:val="auto"/>
        </w:rPr>
      </w:pPr>
    </w:p>
    <w:p>
      <w:pPr>
        <w:ind w:left="-20" w:right="20" w:firstLine="721"/>
        <w:spacing w:after="0" w:line="267" w:lineRule="auto"/>
        <w:tabs>
          <w:tab w:leader="none" w:pos="951"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165" w:lineRule="exact"/>
        <w:rPr>
          <w:rFonts w:ascii="Times New Roman" w:cs="Times New Roman" w:eastAsia="Times New Roman" w:hAnsi="Times New Roman"/>
          <w:sz w:val="17"/>
          <w:szCs w:val="17"/>
          <w:color w:val="auto"/>
        </w:rPr>
      </w:pPr>
    </w:p>
    <w:p>
      <w:pPr>
        <w:ind w:left="-20" w:firstLine="721"/>
        <w:spacing w:after="0" w:line="255" w:lineRule="auto"/>
        <w:tabs>
          <w:tab w:leader="none" w:pos="941"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 provided, however, that this covenant shall not apply to any statements or omissions in a Written Testing-the-Waters Communication prepared or authorized by the Company made in reliance upon and in conformity with the Underwriter Information;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0380"/>
          </w:cols>
          <w:pgMar w:left="760" w:top="264" w:right="759" w:bottom="1440" w:gutter="0" w:footer="0" w:header="0"/>
        </w:sectPr>
      </w:pPr>
    </w:p>
    <w:bookmarkStart w:id="275" w:name="page276"/>
    <w:bookmarkEnd w:id="275"/>
    <w:p>
      <w:pPr>
        <w:ind w:left="9" w:right="100" w:firstLine="929"/>
        <w:spacing w:after="0" w:line="256" w:lineRule="auto"/>
        <w:tabs>
          <w:tab w:leader="none" w:pos="1189" w:val="left"/>
        </w:tabs>
        <w:numPr>
          <w:ilvl w:val="2"/>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The Company represents and agrees that (i) it has not engaged in, or authorized any other person to engage in, any Testing-the-Waters Communications, other than Testing-the-Waters Communications with the prior consent of the Representatives with entities that the Company reasonably believes are qualified institutional buyers as defined in Rule 144A under the Act or institutions that are accredited investors as defined in Rule 501(a)(1), (a)(2), (a)(3), (a)(7), (a)(8), (a)(9), (a)(12) or (a)(13) under the Act, and (ii) it has not distributed, or authorized any other person to distribute, any Written Testing-the-Waters Communications, other than those distributed with the prior consent of the Representatives that are listed on Schedule II(d) hereto; and the Company reconfirms that the Underwriters have been authorized to act on its behalf in engaging in Testing-the-Waters Communications; and</w:t>
      </w:r>
    </w:p>
    <w:p>
      <w:pPr>
        <w:spacing w:after="0" w:line="175" w:lineRule="exact"/>
        <w:rPr>
          <w:rFonts w:ascii="Times New Roman" w:cs="Times New Roman" w:eastAsia="Times New Roman" w:hAnsi="Times New Roman"/>
          <w:sz w:val="17"/>
          <w:szCs w:val="17"/>
          <w:color w:val="auto"/>
        </w:rPr>
      </w:pPr>
    </w:p>
    <w:p>
      <w:pPr>
        <w:ind w:left="9" w:right="160" w:firstLine="929"/>
        <w:spacing w:after="0" w:line="267" w:lineRule="auto"/>
        <w:tabs>
          <w:tab w:leader="none" w:pos="1179" w:val="left"/>
        </w:tabs>
        <w:numPr>
          <w:ilvl w:val="2"/>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Underwriter represents and agrees that any Testing-the-Waters Communications undertaken by it were with entities that such Underwriter reasonably believes are qualified institutional buyers as defined in Rule 144A under the Act or institutions that are accredited investors as defined in Rule 501(a)(1), (a)(2), (a)(3), (a)(7) or (a)(8) under the Act.</w:t>
      </w:r>
    </w:p>
    <w:p>
      <w:pPr>
        <w:spacing w:after="0" w:line="165" w:lineRule="exact"/>
        <w:rPr>
          <w:rFonts w:ascii="Times New Roman" w:cs="Times New Roman" w:eastAsia="Times New Roman" w:hAnsi="Times New Roman"/>
          <w:sz w:val="17"/>
          <w:szCs w:val="17"/>
          <w:color w:val="auto"/>
        </w:rPr>
      </w:pPr>
    </w:p>
    <w:p>
      <w:pPr>
        <w:ind w:left="9" w:right="60" w:firstLine="408"/>
        <w:spacing w:after="0" w:line="252" w:lineRule="auto"/>
        <w:tabs>
          <w:tab w:leader="none" w:pos="596"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5(b) hereof, including the fees and disbursements of counsel for the Underwriters in connection with such qualification and in connection with the Blue Sky survey; (iv) all fees and expenses in connection with listing the Shares on the Exchange; (v) the filing fees incident to, and the fees and disbursements of counsel for the Underwriters in connection with, any required review by FINRA of the terms of the sale of the Shares; (vi) the cost of preparing stock certificates; if applicable; (vii) the cost and charges of any transfer agent or registrar; (viii) all other costs and expenses incident to the performance of its obligations hereunder which are not otherwise specifically provided for in this Section; and</w:t>
      </w:r>
    </w:p>
    <w:p>
      <w:pPr>
        <w:spacing w:after="0" w:line="7" w:lineRule="exact"/>
        <w:rPr>
          <w:rFonts w:ascii="Times New Roman" w:cs="Times New Roman" w:eastAsia="Times New Roman" w:hAnsi="Times New Roman"/>
          <w:sz w:val="17"/>
          <w:szCs w:val="17"/>
          <w:color w:val="auto"/>
        </w:rPr>
      </w:pPr>
    </w:p>
    <w:p>
      <w:pPr>
        <w:ind w:left="9" w:hanging="9"/>
        <w:spacing w:after="0" w:line="252" w:lineRule="auto"/>
        <w:tabs>
          <w:tab w:leader="none" w:pos="298"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documentary, stamp, registration or similar issuance tax on the sale, issuance and delivery of the Shares by the Company to the Underwriters and on the execution and delivery of this Agreement; provided, however, that the amounts payable by the Company described in clauses (iii) and (v) shall not exceed $40,000 in the aggregate. It is understood, however, that, (x) except as provided in this Section 7, and Sections 9 and 12 hereof, the Underwriters will pay all of their own costs and expenses, including the fees of their counsel, stock transfer taxes on resale of any of the Shares by them, and any advertising expenses connected with any offers they may make and all travel and lodging expenses of the Underwriters and their representatives and counsel, and (y) subject to the Company’s and Representatives’ prior written approval of each such expense, the Underwriters and the Company shall each pay 50% of the cost of chartering any aircraft to be used by the directors and officers of the Company and the employees of the Representatives in connection with the road show by the Company and the Underwriters.</w:t>
      </w:r>
    </w:p>
    <w:p>
      <w:pPr>
        <w:spacing w:after="0" w:line="117"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0409"/>
          </w:cols>
          <w:pgMar w:left="731" w:top="264" w:right="759" w:bottom="1440" w:gutter="0" w:footer="0" w:header="0"/>
        </w:sectPr>
      </w:pPr>
    </w:p>
    <w:bookmarkStart w:id="276" w:name="page277"/>
    <w:bookmarkEnd w:id="276"/>
    <w:p>
      <w:pPr>
        <w:jc w:val="both"/>
        <w:ind w:right="60" w:firstLine="408"/>
        <w:spacing w:after="0" w:line="261" w:lineRule="auto"/>
        <w:tabs>
          <w:tab w:leader="none" w:pos="587"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The obligations of the Underwriters hereunder, as to the Shares to be delivered at each Time of Delivery, shall be subject, in their discretion, to the condition that all representations and warranties and other statements of the Company herein are, at and as of the Applicable Time and such Time of Delivery, true and correct, the condition that the Company shall have performed all of its obligations hereunder theretofore to be performed, and the following additional conditions:</w:t>
      </w:r>
    </w:p>
    <w:p>
      <w:pPr>
        <w:spacing w:after="0" w:line="69" w:lineRule="exact"/>
        <w:rPr>
          <w:rFonts w:ascii="Times New Roman" w:cs="Times New Roman" w:eastAsia="Times New Roman" w:hAnsi="Times New Roman"/>
          <w:sz w:val="17"/>
          <w:szCs w:val="17"/>
          <w:color w:val="auto"/>
        </w:rPr>
      </w:pPr>
    </w:p>
    <w:p>
      <w:pPr>
        <w:ind w:left="400" w:firstLine="408"/>
        <w:spacing w:after="0" w:line="255" w:lineRule="auto"/>
        <w:tabs>
          <w:tab w:leader="none" w:pos="1032"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under the Act;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or pursuant to Section 8A of the Act shall have been initiated or threatened by the Commission; no stop order suspending or preventing the use of the Pricing Prospectus, the Prospectus or any Issuer Free Writing Prospectus shall have been initiated or threatened by the Commission; and all requests for additional information on the part of the Commission shall have been complied with to the Representatives’ reasonable satisfaction;</w:t>
      </w:r>
    </w:p>
    <w:p>
      <w:pPr>
        <w:spacing w:after="0" w:line="72" w:lineRule="exact"/>
        <w:rPr>
          <w:rFonts w:ascii="Times New Roman" w:cs="Times New Roman" w:eastAsia="Times New Roman" w:hAnsi="Times New Roman"/>
          <w:sz w:val="17"/>
          <w:szCs w:val="17"/>
          <w:color w:val="auto"/>
        </w:rPr>
      </w:pPr>
    </w:p>
    <w:p>
      <w:pPr>
        <w:ind w:left="400" w:firstLine="408"/>
        <w:spacing w:after="0" w:line="261" w:lineRule="auto"/>
        <w:tabs>
          <w:tab w:leader="none" w:pos="1041"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Cooley LLP, counsel for the Underwriters, shall have furnished to the Representatives such written opinion and negative assurance letter, dated such Time of Delivery, in form and substance satisfactory to the Representatives, with respect to such matters as the Representatives may reasonably request, and such counsel shall have received such papers and information as they may reasonably request to enable them to pass upon such matters;</w:t>
      </w:r>
    </w:p>
    <w:p>
      <w:pPr>
        <w:spacing w:after="0" w:line="69" w:lineRule="exact"/>
        <w:rPr>
          <w:rFonts w:ascii="Times New Roman" w:cs="Times New Roman" w:eastAsia="Times New Roman" w:hAnsi="Times New Roman"/>
          <w:sz w:val="17"/>
          <w:szCs w:val="17"/>
          <w:color w:val="auto"/>
        </w:rPr>
      </w:pPr>
    </w:p>
    <w:p>
      <w:pPr>
        <w:ind w:left="400" w:right="600" w:firstLine="408"/>
        <w:spacing w:after="0" w:line="283" w:lineRule="auto"/>
        <w:tabs>
          <w:tab w:leader="none" w:pos="1032"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Latham &amp; Watkins LLP, counsel for the Company, shall have furnished to the Representatives their written opinion and negative assurance letter, dated such Time of Delivery, in form and substance satisfactory to the Representatives;</w:t>
      </w:r>
    </w:p>
    <w:p>
      <w:pPr>
        <w:spacing w:after="0" w:line="50" w:lineRule="exact"/>
        <w:rPr>
          <w:rFonts w:ascii="Times New Roman" w:cs="Times New Roman" w:eastAsia="Times New Roman" w:hAnsi="Times New Roman"/>
          <w:sz w:val="17"/>
          <w:szCs w:val="17"/>
          <w:color w:val="auto"/>
        </w:rPr>
      </w:pPr>
    </w:p>
    <w:p>
      <w:pPr>
        <w:ind w:left="400" w:right="40" w:firstLine="408"/>
        <w:spacing w:after="0" w:line="283" w:lineRule="auto"/>
        <w:tabs>
          <w:tab w:leader="none" w:pos="1041"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Wilson Sonsini Goodrich &amp; Rosati, P.C., intellectual property counsel for the Company, shall have furnished to the Representatives their written opinion, dated such Time of Delivery, in form and substance satisfactory to the Representatives;</w:t>
      </w:r>
    </w:p>
    <w:p>
      <w:pPr>
        <w:spacing w:after="0" w:line="50" w:lineRule="exact"/>
        <w:rPr>
          <w:rFonts w:ascii="Times New Roman" w:cs="Times New Roman" w:eastAsia="Times New Roman" w:hAnsi="Times New Roman"/>
          <w:sz w:val="17"/>
          <w:szCs w:val="17"/>
          <w:color w:val="auto"/>
        </w:rPr>
      </w:pPr>
    </w:p>
    <w:p>
      <w:pPr>
        <w:ind w:left="1040" w:hanging="232"/>
        <w:spacing w:after="0"/>
        <w:tabs>
          <w:tab w:leader="none" w:pos="1040"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date of the Prospectus and substantially concurrent with the execution of this Agreement, on the effective date of any</w:t>
      </w:r>
    </w:p>
    <w:p>
      <w:pPr>
        <w:spacing w:after="0" w:line="26" w:lineRule="exact"/>
        <w:rPr>
          <w:sz w:val="20"/>
          <w:szCs w:val="20"/>
          <w:color w:val="auto"/>
        </w:rPr>
      </w:pPr>
    </w:p>
    <w:p>
      <w:pPr>
        <w:jc w:val="both"/>
        <w:ind w:left="400" w:right="20"/>
        <w:spacing w:after="0" w:line="256" w:lineRule="auto"/>
        <w:rPr>
          <w:sz w:val="20"/>
          <w:szCs w:val="20"/>
          <w:color w:val="auto"/>
        </w:rPr>
      </w:pPr>
      <w:r>
        <w:rPr>
          <w:rFonts w:ascii="Times New Roman" w:cs="Times New Roman" w:eastAsia="Times New Roman" w:hAnsi="Times New Roman"/>
          <w:sz w:val="17"/>
          <w:szCs w:val="17"/>
          <w:color w:val="auto"/>
        </w:rPr>
        <w:t>post-effective amendment to the Registration Statement filed subsequent to the date of this Agreement and also at each Time of Delivery, KPMG LLP shall have furnished to the Representatives a letter or letters, dated the respective dates of delivery thereof, in form and substance satisfactory to the Representatives;</w:t>
      </w:r>
    </w:p>
    <w:p>
      <w:pPr>
        <w:spacing w:after="0" w:line="73" w:lineRule="exact"/>
        <w:rPr>
          <w:sz w:val="20"/>
          <w:szCs w:val="20"/>
          <w:color w:val="auto"/>
        </w:rPr>
      </w:pPr>
    </w:p>
    <w:p>
      <w:pPr>
        <w:ind w:left="400" w:firstLine="408"/>
        <w:spacing w:after="0" w:line="257" w:lineRule="auto"/>
        <w:tabs>
          <w:tab w:leader="none" w:pos="1013"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 Company shall not have sustained, since the date of the latest audited financial statements included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of the Company (other than as a result of the exercise of stock options or the award of stock options or restricted stock in the ordinary course of business pursuant to the Company’s equity plans that are described in the Pricing Prospectus) or long-term debt of the Company or any change or effect, or any</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0400"/>
          </w:cols>
          <w:pgMar w:left="740" w:top="264" w:right="759" w:bottom="1440" w:gutter="0" w:footer="0" w:header="0"/>
        </w:sectPr>
      </w:pPr>
    </w:p>
    <w:bookmarkStart w:id="277" w:name="page278"/>
    <w:bookmarkEnd w:id="277"/>
    <w:p>
      <w:pPr>
        <w:ind w:left="400" w:right="40"/>
        <w:spacing w:after="0" w:line="25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development involving a prospective change or effect, in or affecting (x) the business, properties, general affairs, management, financial position, stockholders’ equity or results of operations of the Company, except as set forth or contemplated in the Pricing Prospectus, or (y) the ability of the Company to perform its obligations under this Agreement, including the issuance and sale of the Shares, or to consummate the transactions contemplated in the Pricing Prospectus and the Prospectus, the effect of which, in any such case described in clause (i) or (ii), is in the Representatives’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73" w:lineRule="exact"/>
        <w:rPr>
          <w:sz w:val="20"/>
          <w:szCs w:val="20"/>
          <w:color w:val="auto"/>
        </w:rPr>
      </w:pPr>
    </w:p>
    <w:p>
      <w:pPr>
        <w:ind w:left="400" w:firstLine="408"/>
        <w:spacing w:after="0" w:line="255" w:lineRule="auto"/>
        <w:tabs>
          <w:tab w:leader="none" w:pos="1041"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after the Applicable Time there shall not have occurred any of the following: (i) a suspension or material limitation in trading in securities generally on the Exchange; (ii) a suspension or material limitation in trading in the Company’s securities on the Exchange;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the Representatives’ judgment makes it impracticable or inadvisable to proceed with the public offering or the delivery of the Shares being delivered at such Time of Delivery on the terms and in the manner contemplated in the Pricing Prospectus and the Prospectus;</w:t>
      </w:r>
    </w:p>
    <w:p>
      <w:pPr>
        <w:spacing w:after="0" w:line="76" w:lineRule="exact"/>
        <w:rPr>
          <w:rFonts w:ascii="Times New Roman" w:cs="Times New Roman" w:eastAsia="Times New Roman" w:hAnsi="Times New Roman"/>
          <w:sz w:val="17"/>
          <w:szCs w:val="17"/>
          <w:color w:val="auto"/>
        </w:rPr>
      </w:pPr>
    </w:p>
    <w:p>
      <w:pPr>
        <w:ind w:left="1040" w:hanging="232"/>
        <w:spacing w:after="0"/>
        <w:tabs>
          <w:tab w:leader="none" w:pos="104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to be sold at such Time of Delivery shall have been duly listed , subject to official notice of issuance, on the Exchange;</w:t>
      </w:r>
    </w:p>
    <w:p>
      <w:pPr>
        <w:spacing w:after="0" w:line="111" w:lineRule="exact"/>
        <w:rPr>
          <w:rFonts w:ascii="Times New Roman" w:cs="Times New Roman" w:eastAsia="Times New Roman" w:hAnsi="Times New Roman"/>
          <w:sz w:val="17"/>
          <w:szCs w:val="17"/>
          <w:color w:val="auto"/>
        </w:rPr>
      </w:pPr>
    </w:p>
    <w:p>
      <w:pPr>
        <w:ind w:left="400" w:right="80" w:firstLine="408"/>
        <w:spacing w:after="0" w:line="283" w:lineRule="auto"/>
        <w:tabs>
          <w:tab w:leader="none" w:pos="1003"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obtained and delivered to the Underwriters executed copies of an agreement from each officer and director, and from substantially all stockholders, of the Company, substantially in the form attached as Annex II hereto;</w:t>
      </w:r>
    </w:p>
    <w:p>
      <w:pPr>
        <w:spacing w:after="0" w:line="50" w:lineRule="exact"/>
        <w:rPr>
          <w:rFonts w:ascii="Times New Roman" w:cs="Times New Roman" w:eastAsia="Times New Roman" w:hAnsi="Times New Roman"/>
          <w:sz w:val="17"/>
          <w:szCs w:val="17"/>
          <w:color w:val="auto"/>
        </w:rPr>
      </w:pPr>
    </w:p>
    <w:p>
      <w:pPr>
        <w:ind w:left="400" w:right="60" w:firstLine="408"/>
        <w:spacing w:after="0" w:line="267" w:lineRule="auto"/>
        <w:tabs>
          <w:tab w:leader="none" w:pos="1003"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complied with the provisions of Section 5(c) hereof with respect to the furnishing of prospectuses on the New York Business Day next succeeding the date of this Agreement (or such other time as may be agreed to by the Representatives and the Company); and</w:t>
      </w:r>
    </w:p>
    <w:p>
      <w:pPr>
        <w:spacing w:after="0" w:line="63" w:lineRule="exact"/>
        <w:rPr>
          <w:rFonts w:ascii="Times New Roman" w:cs="Times New Roman" w:eastAsia="Times New Roman" w:hAnsi="Times New Roman"/>
          <w:sz w:val="17"/>
          <w:szCs w:val="17"/>
          <w:color w:val="auto"/>
        </w:rPr>
      </w:pPr>
    </w:p>
    <w:p>
      <w:pPr>
        <w:ind w:left="400" w:right="140" w:firstLine="408"/>
        <w:spacing w:after="0" w:line="261" w:lineRule="auto"/>
        <w:tabs>
          <w:tab w:leader="none" w:pos="1041"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furnished or caused to be furnished to the Representatives at such Time of Delivery certificates of officers of the Company satisfactory to the Representatives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(f) of this Section 8 and as to such other matters as the Representatives may reasonably request.</w:t>
      </w:r>
    </w:p>
    <w:p>
      <w:pPr>
        <w:spacing w:after="0" w:line="172" w:lineRule="exact"/>
        <w:rPr>
          <w:sz w:val="20"/>
          <w:szCs w:val="20"/>
          <w:color w:val="auto"/>
        </w:rPr>
      </w:pPr>
    </w:p>
    <w:p>
      <w:pPr>
        <w:jc w:val="both"/>
        <w:ind w:right="300" w:firstLine="408"/>
        <w:spacing w:after="0" w:line="261" w:lineRule="auto"/>
        <w:tabs>
          <w:tab w:leader="none" w:pos="587"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0420"/>
          </w:cols>
          <w:pgMar w:left="740" w:top="264" w:right="739" w:bottom="1440" w:gutter="0" w:footer="0" w:header="0"/>
        </w:sectPr>
      </w:pPr>
    </w:p>
    <w:bookmarkStart w:id="278" w:name="page279"/>
    <w:bookmarkEnd w:id="278"/>
    <w:p>
      <w:pPr>
        <w:ind w:right="120"/>
        <w:spacing w:after="0" w:line="25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Free Writing Prospectus, any “roadshow” as defined in Rule 433(h) under the Act (a “roadshow”), any “issuer information” filed or required to be filed pursuant to Rule 433(d) under the Act or any Testing-the-Waters Communication,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any road show, or any Testing-the-Waters Communication, in reliance upon and in conformity with the Underwriter Information.</w:t>
      </w:r>
    </w:p>
    <w:p>
      <w:pPr>
        <w:spacing w:after="0" w:line="175" w:lineRule="exact"/>
        <w:rPr>
          <w:sz w:val="20"/>
          <w:szCs w:val="20"/>
          <w:color w:val="auto"/>
        </w:rPr>
      </w:pPr>
    </w:p>
    <w:p>
      <w:pPr>
        <w:ind w:firstLine="408"/>
        <w:spacing w:after="0" w:line="253" w:lineRule="auto"/>
        <w:tabs>
          <w:tab w:leader="none" w:pos="658"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Underwriter, severally and not jointly,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or any Issuer Free Writing Prospectus, or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roadshow</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or any Testing-the-Waters Communication,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and reallowance figures appearing in the [•] paragraph under the caption “Underwriting”, and the information contained in the [•] paragraphs under the caption “Underwriting”.</w:t>
      </w:r>
    </w:p>
    <w:p>
      <w:pPr>
        <w:spacing w:after="0" w:line="179" w:lineRule="exact"/>
        <w:rPr>
          <w:rFonts w:ascii="Times New Roman" w:cs="Times New Roman" w:eastAsia="Times New Roman" w:hAnsi="Times New Roman"/>
          <w:sz w:val="17"/>
          <w:szCs w:val="17"/>
          <w:color w:val="auto"/>
        </w:rPr>
      </w:pPr>
    </w:p>
    <w:p>
      <w:pPr>
        <w:ind w:firstLine="408"/>
        <w:spacing w:after="0" w:line="255" w:lineRule="auto"/>
        <w:tabs>
          <w:tab w:leader="none" w:pos="648"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0420"/>
          </w:cols>
          <w:pgMar w:left="740" w:top="264" w:right="739" w:bottom="1440" w:gutter="0" w:footer="0" w:header="0"/>
        </w:sectPr>
      </w:pPr>
    </w:p>
    <w:bookmarkStart w:id="279" w:name="page280"/>
    <w:bookmarkEnd w:id="279"/>
    <w:p>
      <w:pPr>
        <w:ind w:left="9" w:right="100"/>
        <w:spacing w:after="0" w:line="25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unless (i) the indemnifying party and the indemnified party shall have mutually agreed to the contrary; (ii) the indemnifying party has failed within a reasonable time to retain counsel reasonably satisfactory to the indemnified party;</w:t>
      </w:r>
    </w:p>
    <w:p>
      <w:pPr>
        <w:spacing w:after="0" w:line="1" w:lineRule="exact"/>
        <w:rPr>
          <w:sz w:val="20"/>
          <w:szCs w:val="20"/>
          <w:color w:val="auto"/>
        </w:rPr>
      </w:pPr>
    </w:p>
    <w:p>
      <w:pPr>
        <w:ind w:left="9" w:hanging="9"/>
        <w:spacing w:after="0" w:line="251" w:lineRule="auto"/>
        <w:tabs>
          <w:tab w:leader="none" w:pos="307"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indemnified party shall have reasonably concluded that there may be legal defenses available to it that are different from or in addition to those available to the indemnifying party; or (iv) the named parties in any such proceeding (including any impleaded parties) include both the indemnifying party and the indemnified party and representation of both parties by the same counsel would be inappropriate due to actual or potential differing interests between them. Notwithstanding the foregoing sentence, if at any time an indemnified party shall have requested an indemnifying party to reimburse the indemnified party for fees and expenses of counsel as contemplated by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87" w:lineRule="exact"/>
        <w:rPr>
          <w:sz w:val="20"/>
          <w:szCs w:val="20"/>
          <w:color w:val="auto"/>
        </w:rPr>
      </w:pPr>
    </w:p>
    <w:p>
      <w:pPr>
        <w:ind w:left="649" w:hanging="232"/>
        <w:spacing w:after="0"/>
        <w:tabs>
          <w:tab w:leader="none" w:pos="649"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indemnification provided for in this Section 9 is unavailable to or insufficient to hold harmless an indemnified party under subsection</w:t>
      </w:r>
    </w:p>
    <w:p>
      <w:pPr>
        <w:spacing w:after="0" w:line="26" w:lineRule="exact"/>
        <w:rPr>
          <w:rFonts w:ascii="Times New Roman" w:cs="Times New Roman" w:eastAsia="Times New Roman" w:hAnsi="Times New Roman"/>
          <w:sz w:val="17"/>
          <w:szCs w:val="17"/>
          <w:color w:val="auto"/>
        </w:rPr>
      </w:pPr>
    </w:p>
    <w:p>
      <w:pPr>
        <w:ind w:left="9" w:right="20" w:hanging="9"/>
        <w:spacing w:after="0" w:line="251" w:lineRule="auto"/>
        <w:tabs>
          <w:tab w:leader="none" w:pos="241"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w:t>
      </w:r>
    </w:p>
    <w:p>
      <w:pPr>
        <w:spacing w:after="0" w:line="12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0409"/>
          </w:cols>
          <w:pgMar w:left="731" w:top="264" w:right="759" w:bottom="1440" w:gutter="0" w:footer="0" w:header="0"/>
        </w:sectPr>
      </w:pPr>
    </w:p>
    <w:bookmarkStart w:id="280" w:name="page281"/>
    <w:bookmarkEnd w:id="280"/>
    <w:p>
      <w:pPr>
        <w:ind w:right="20"/>
        <w:spacing w:after="0" w:line="25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180" w:lineRule="exact"/>
        <w:rPr>
          <w:sz w:val="20"/>
          <w:szCs w:val="20"/>
          <w:color w:val="auto"/>
        </w:rPr>
      </w:pPr>
    </w:p>
    <w:p>
      <w:pPr>
        <w:ind w:right="240" w:firstLine="408"/>
        <w:spacing w:after="0" w:line="257" w:lineRule="auto"/>
        <w:tabs>
          <w:tab w:leader="none" w:pos="648"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obligations of the Company under this Section 9 shall be in addition to any liability which the Company may otherwise have and shall extend, upon the same terms and conditions, to each employee, officer and director of each Underwriter and each person, if any, who controls any Underwriter within the meaning of the Act and each broker-dealer or other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within the meaning of the Act.</w:t>
      </w:r>
    </w:p>
    <w:p>
      <w:pPr>
        <w:spacing w:after="0" w:line="175" w:lineRule="exact"/>
        <w:rPr>
          <w:sz w:val="20"/>
          <w:szCs w:val="20"/>
          <w:color w:val="auto"/>
        </w:rPr>
      </w:pPr>
    </w:p>
    <w:p>
      <w:pPr>
        <w:ind w:right="20" w:firstLine="408"/>
        <w:spacing w:after="0" w:line="254" w:lineRule="auto"/>
        <w:tabs>
          <w:tab w:leader="none" w:pos="672"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If any Underwriter shall default in its obligation to purchase the Shares that it has agreed to purchase hereunder at a Time of Delivery, the Representatives may in their discretion arrange for the Representatives or another party or other parties to purchase such Shares on the terms contained herein. If within thirty-six hours after such default by any Underwriter the Representatives do not arrange for the purchase of such Shares, then the Company shall be entitled to a further period of thirty-six hours within which to procure another party or other parties satisfactory to the Representatives to purchase such Shares on such terms. In the event that, within the respective prescribed periods, the Representatives notify the Company that the Representatives have so arranged for the purchase of such Shares, or the Company notifies the Representatives that it has so arranged for the purchase of such Shares, the Representatives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the Representatives’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177" w:lineRule="exact"/>
        <w:rPr>
          <w:sz w:val="20"/>
          <w:szCs w:val="20"/>
          <w:color w:val="auto"/>
        </w:rPr>
      </w:pPr>
    </w:p>
    <w:p>
      <w:pPr>
        <w:jc w:val="both"/>
        <w:ind w:firstLine="408"/>
        <w:spacing w:after="0" w:line="261" w:lineRule="auto"/>
        <w:tabs>
          <w:tab w:leader="none" w:pos="658"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after giving effect to any arrangements for the purchase of the Shares of a defaulting Underwriter or Underwriters by the Representatives and the Company as provided in subsection (a) above, the aggregate number of such Shares which remains unpurchased does not exceed one-eleventh of the aggregate number of all the Shares to be purchased at such Time of Delivery, then the Company shall have the right to require each non-defaulting Underwriter 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0420"/>
          </w:cols>
          <w:pgMar w:left="740" w:top="264" w:right="739" w:bottom="1440" w:gutter="0" w:footer="0" w:header="0"/>
        </w:sectPr>
      </w:pPr>
    </w:p>
    <w:bookmarkStart w:id="281" w:name="page282"/>
    <w:bookmarkEnd w:id="281"/>
    <w:p>
      <w:pPr>
        <w:ind w:left="9" w:right="100"/>
        <w:spacing w:after="0" w:line="26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172" w:lineRule="exact"/>
        <w:rPr>
          <w:sz w:val="20"/>
          <w:szCs w:val="20"/>
          <w:color w:val="auto"/>
        </w:rPr>
      </w:pPr>
    </w:p>
    <w:p>
      <w:pPr>
        <w:jc w:val="both"/>
        <w:ind w:left="9" w:right="220" w:firstLine="408"/>
        <w:spacing w:after="0" w:line="274" w:lineRule="auto"/>
        <w:tabs>
          <w:tab w:leader="none" w:pos="657" w:val="left"/>
        </w:tabs>
        <w:numPr>
          <w:ilvl w:val="1"/>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after giving effect to any arrangements for the purchase of the Shares of a defaulting Underwriter or Underwriters by the Representatives and the Company as provided in subsection (a) above, the aggregate number of such Shares which remains unpurchased exceeds one-eleventh of the aggregate number of all the Shares to be purchased at such Time of Delivery, or if the Company shall not exercise the right described in subsection</w:t>
      </w:r>
    </w:p>
    <w:p>
      <w:pPr>
        <w:ind w:left="9" w:right="80" w:hanging="9"/>
        <w:spacing w:after="0" w:line="253" w:lineRule="auto"/>
        <w:tabs>
          <w:tab w:leader="none" w:pos="250"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to require non-defaulting Underwriters to purchase Shares of a defaulting Underwriter or Underwriters, then this Agreement (or, with respect to the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spacing w:after="0" w:line="179" w:lineRule="exact"/>
        <w:rPr>
          <w:sz w:val="20"/>
          <w:szCs w:val="20"/>
          <w:color w:val="auto"/>
        </w:rPr>
      </w:pPr>
    </w:p>
    <w:p>
      <w:pPr>
        <w:ind w:left="9" w:right="20" w:firstLine="408"/>
        <w:spacing w:after="0" w:line="259" w:lineRule="auto"/>
        <w:tabs>
          <w:tab w:leader="none" w:pos="675"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respective indemnities, rights of contribution,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director, officer, employee, broker-dealer, affiliate or controlling person of any Underwriter, or the Company, or any officer or director or controlling person of the Company, and shall survive delivery of and payment for the Shares.</w:t>
      </w:r>
    </w:p>
    <w:p>
      <w:pPr>
        <w:spacing w:after="0" w:line="171" w:lineRule="exact"/>
        <w:rPr>
          <w:rFonts w:ascii="Times New Roman" w:cs="Times New Roman" w:eastAsia="Times New Roman" w:hAnsi="Times New Roman"/>
          <w:sz w:val="17"/>
          <w:szCs w:val="17"/>
          <w:color w:val="auto"/>
        </w:rPr>
      </w:pPr>
    </w:p>
    <w:p>
      <w:pPr>
        <w:ind w:left="9" w:firstLine="408"/>
        <w:spacing w:after="0" w:line="257" w:lineRule="auto"/>
        <w:tabs>
          <w:tab w:leader="none" w:pos="681"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this Agreement shall be terminated pursuant to Section 10 hereof, the Company shall not then be under any liability to any Underwriter except as provided in Sections 7 and 9 hereof; but, if for any other reason any Shares are not delivered by or on behalf of the Company as provided herein, or the Underwriters decline to purchase the Shares for any reason permitted under this Agreement, the Company will reimburse the Underwriters through the Representatives for all out-of-pocket expenses approved in writing by the Representatives, including fees and disbursements of counsel, reasonably incurred by the Underwriters in making preparations for the purchase, sale and delivery of the Shares not so delivered, but the Company shall then be under no further liability to any Underwriter except as provided in Sections 7 and 9 hereof.</w:t>
      </w:r>
    </w:p>
    <w:p>
      <w:pPr>
        <w:spacing w:after="0" w:line="175" w:lineRule="exact"/>
        <w:rPr>
          <w:rFonts w:ascii="Times New Roman" w:cs="Times New Roman" w:eastAsia="Times New Roman" w:hAnsi="Times New Roman"/>
          <w:sz w:val="17"/>
          <w:szCs w:val="17"/>
          <w:color w:val="auto"/>
        </w:rPr>
      </w:pPr>
    </w:p>
    <w:p>
      <w:pPr>
        <w:ind w:left="9" w:right="40" w:firstLine="408"/>
        <w:spacing w:after="0" w:line="267" w:lineRule="auto"/>
        <w:tabs>
          <w:tab w:leader="none" w:pos="681"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all dealings hereunder, the Representatives shall act on behalf of each of the Underwriters, and the parties hereto shall be entitled to act and rely upon any statement, request, notice or agreement on behalf of any Underwriter made or given by the Representatives jointly or by Goldman Sachs &amp; Co. LLC, Leerink Partners LLC, Piper Sandler &amp; Co. and Guggenheim Securities, LLC on behalf of the Representatives.</w:t>
      </w:r>
    </w:p>
    <w:p>
      <w:pPr>
        <w:spacing w:after="0" w:line="165" w:lineRule="exact"/>
        <w:rPr>
          <w:sz w:val="20"/>
          <w:szCs w:val="20"/>
          <w:color w:val="auto"/>
        </w:rPr>
      </w:pPr>
    </w:p>
    <w:p>
      <w:pPr>
        <w:ind w:left="9" w:right="180" w:firstLine="417"/>
        <w:spacing w:after="0" w:line="259" w:lineRule="auto"/>
        <w:rPr>
          <w:sz w:val="20"/>
          <w:szCs w:val="20"/>
          <w:color w:val="auto"/>
        </w:rPr>
      </w:pPr>
      <w:r>
        <w:rPr>
          <w:rFonts w:ascii="Times New Roman" w:cs="Times New Roman" w:eastAsia="Times New Roman" w:hAnsi="Times New Roman"/>
          <w:sz w:val="17"/>
          <w:szCs w:val="17"/>
          <w:color w:val="auto"/>
        </w:rPr>
        <w:t>All statements, requests, notices and agreements hereunder shall be in writing, and (A) if to the Underwriters shall be delivered or sent by mail, telex or facsimile transmission to the Representatives in care of: (i) Goldman Sachs &amp; Co. LLC, at 200 West Street, New York, NY 10282-2198, Attention: Registration Department; (ii) Leerink Partners LLC, Attention: Stuart Nayman, Esq., 1301 Avenue of the Americas, 12th Floor, New York, NY 10019; (iii) Piper Sandler &amp; Co., at 800 Nicollet Mall, Minneapolis, MN 55402, Attention: Equity Capital Markets, with a copy to Piper Sandler General Counsel at 800 Nicollet Mall, Minneapolis, MN 55402 (email:</w:t>
      </w:r>
    </w:p>
    <w:p>
      <w:pPr>
        <w:spacing w:after="0" w:line="108"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0389"/>
          </w:cols>
          <w:pgMar w:left="731" w:top="264" w:right="779" w:bottom="1440" w:gutter="0" w:footer="0" w:header="0"/>
        </w:sectPr>
      </w:pPr>
    </w:p>
    <w:bookmarkStart w:id="282" w:name="page283"/>
    <w:bookmarkEnd w:id="282"/>
    <w:p>
      <w:pPr>
        <w:ind w:left="9" w:right="80"/>
        <w:spacing w:after="0" w:line="25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LegalCapMarkets@psc.com); and (iv) Guggenheim Securities, LLC, 330 Madison Avenue, New York, NY 10017, Fax: (212) 658-9689, Attention: Head of Equity Capital Markets; and (B) if to the Company shall be delivered or sent by mail, telex or facsimile transmission to the address of the Company set forth in the Registration Statement, Attention: General Counsel and Corporate Secretary, with a copy (which shall not constitute notice) to Latham &amp; Watkins LLP, 12670 High Bluff Drive, San Diego, CA 92130, Attention: Cheston J. Larson and Matthew T. Bush; provided, however, that any notice to an Underwriter pursuant to Section 9(c) hereof shall be delivered or sent by mail, telex or facsimile transmission to such Underwriter at its address set forth in its Underwriters’ Questionnaire, or telex constituting such Questionnaire, which address will be supplied to the Company by the Representatives upon request. Any such statements, requests, notices or agreements shall take effect upon receipt thereof.</w:t>
      </w:r>
    </w:p>
    <w:p>
      <w:pPr>
        <w:spacing w:after="0" w:line="176" w:lineRule="exact"/>
        <w:rPr>
          <w:sz w:val="20"/>
          <w:szCs w:val="20"/>
          <w:color w:val="auto"/>
        </w:rPr>
      </w:pPr>
    </w:p>
    <w:p>
      <w:pPr>
        <w:jc w:val="both"/>
        <w:ind w:left="9" w:firstLine="417"/>
        <w:spacing w:after="0" w:line="267" w:lineRule="auto"/>
        <w:rPr>
          <w:sz w:val="20"/>
          <w:szCs w:val="20"/>
          <w:color w:val="auto"/>
        </w:rPr>
      </w:pPr>
      <w:r>
        <w:rPr>
          <w:rFonts w:ascii="Times New Roman" w:cs="Times New Roman" w:eastAsia="Times New Roman" w:hAnsi="Times New Roman"/>
          <w:sz w:val="17"/>
          <w:szCs w:val="17"/>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65" w:lineRule="exact"/>
        <w:rPr>
          <w:sz w:val="20"/>
          <w:szCs w:val="20"/>
          <w:color w:val="auto"/>
        </w:rPr>
      </w:pPr>
    </w:p>
    <w:p>
      <w:pPr>
        <w:ind w:left="9" w:right="340" w:firstLine="408"/>
        <w:spacing w:after="0" w:line="259" w:lineRule="auto"/>
        <w:tabs>
          <w:tab w:leader="none" w:pos="681" w:val="left"/>
        </w:tabs>
        <w:numPr>
          <w:ilvl w:val="1"/>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shall be binding upon, and inure solely to the benefit of, the Underwriters, the Company and, to the extent provided in Sections 9 and 11 hereof, the officers and directors of the Company and each person who controls the Company or any Underwriter, or any director, officer, employee, broker-dealer or affiliate of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71" w:lineRule="exact"/>
        <w:rPr>
          <w:rFonts w:ascii="Times New Roman" w:cs="Times New Roman" w:eastAsia="Times New Roman" w:hAnsi="Times New Roman"/>
          <w:sz w:val="17"/>
          <w:szCs w:val="17"/>
          <w:color w:val="auto"/>
        </w:rPr>
      </w:pPr>
    </w:p>
    <w:p>
      <w:pPr>
        <w:ind w:left="9" w:right="120" w:firstLine="408"/>
        <w:spacing w:after="0" w:line="283" w:lineRule="auto"/>
        <w:tabs>
          <w:tab w:leader="none" w:pos="681" w:val="left"/>
        </w:tabs>
        <w:numPr>
          <w:ilvl w:val="1"/>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Time shall be of the essence of this Agreement. As used herein, the term “business day” shall mean any day when the Commission’s office in Washington, D.C. is open for business.</w:t>
      </w:r>
    </w:p>
    <w:p>
      <w:pPr>
        <w:spacing w:after="0" w:line="152" w:lineRule="exact"/>
        <w:rPr>
          <w:rFonts w:ascii="Times New Roman" w:cs="Times New Roman" w:eastAsia="Times New Roman" w:hAnsi="Times New Roman"/>
          <w:sz w:val="17"/>
          <w:szCs w:val="17"/>
          <w:color w:val="auto"/>
        </w:rPr>
      </w:pPr>
    </w:p>
    <w:p>
      <w:pPr>
        <w:ind w:left="9" w:right="60" w:firstLine="408"/>
        <w:spacing w:after="0" w:line="253" w:lineRule="auto"/>
        <w:tabs>
          <w:tab w:leader="none" w:pos="681" w:val="left"/>
        </w:tabs>
        <w:numPr>
          <w:ilvl w:val="1"/>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acknowledges and agrees that (i) the purchase and sale of the Shares pursuant to this Agreement is an arm’s-length commercial transaction between the Company, on the one hand, and the several Underwriters, on the other, and does not constitute a recommendation, investment advice, or solicitation of any action by the Underwriters,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(iv) the Underwriters and their respective affiliates may be engaged in a broad range of transactions that involve interests that differ from those of the Company, (iv) the Underwriters have not provided any legal, accounting, regulatory, investment or tax advice with respect to the offering of the Shares and the Company has consulted its own legal, accounting, financial, regulatory and tax advisors to the extent it deemed appropriate, and</w:t>
      </w:r>
    </w:p>
    <w:p>
      <w:pPr>
        <w:spacing w:after="0" w:line="2" w:lineRule="exact"/>
        <w:rPr>
          <w:rFonts w:ascii="Times New Roman" w:cs="Times New Roman" w:eastAsia="Times New Roman" w:hAnsi="Times New Roman"/>
          <w:sz w:val="17"/>
          <w:szCs w:val="17"/>
          <w:color w:val="auto"/>
        </w:rPr>
      </w:pPr>
    </w:p>
    <w:p>
      <w:pPr>
        <w:ind w:left="9" w:right="60" w:hanging="9"/>
        <w:spacing w:after="0" w:line="254" w:lineRule="auto"/>
        <w:tabs>
          <w:tab w:leader="none" w:pos="250"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activities of the Underwriters in connection with the transactions contemplated herein constitutes a recommendation, investment advice, or solicitation of any action by the Underwriters with respect to any entity or natural person. The Company agrees that it will not claim that the Underwriters, or any of them, has rendered advisory services of any nature or respect, or owes a fiduciary or similar duty to the Company, in connection with such transaction or the process leading thereto.</w:t>
      </w:r>
    </w:p>
    <w:p>
      <w:pPr>
        <w:spacing w:after="0" w:line="11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0429"/>
          </w:cols>
          <w:pgMar w:left="731" w:top="264" w:right="739" w:bottom="1440" w:gutter="0" w:footer="0" w:header="0"/>
        </w:sectPr>
      </w:pPr>
    </w:p>
    <w:bookmarkStart w:id="283" w:name="page284"/>
    <w:bookmarkEnd w:id="283"/>
    <w:p>
      <w:pPr>
        <w:ind w:left="-40" w:right="80" w:firstLine="408"/>
        <w:spacing w:after="0" w:line="283" w:lineRule="auto"/>
        <w:tabs>
          <w:tab w:leader="none" w:pos="632"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This Agreement supersedes all prior agreements and understandings (whether written or oral) between the Company and the Underwriters, or any of them, with respect to the subject matter hereof.</w:t>
      </w:r>
    </w:p>
    <w:p>
      <w:pPr>
        <w:spacing w:after="0" w:line="148" w:lineRule="exact"/>
        <w:rPr>
          <w:rFonts w:ascii="Times New Roman" w:cs="Times New Roman" w:eastAsia="Times New Roman" w:hAnsi="Times New Roman"/>
          <w:sz w:val="17"/>
          <w:szCs w:val="17"/>
          <w:color w:val="auto"/>
        </w:rPr>
      </w:pPr>
    </w:p>
    <w:p>
      <w:pPr>
        <w:ind w:left="-40" w:firstLine="408"/>
        <w:spacing w:after="0" w:line="258" w:lineRule="auto"/>
        <w:tabs>
          <w:tab w:leader="none" w:pos="632"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This Agreement and any transaction contemplated by this Agreement and any claim, controversy or dispute arising under or related thereto shall be governed by and construed in accordance with the laws of the State of New York without regard to principles of conflict of laws that would result in the application of any other law than the laws of the State of New York. The Company agrees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pacing w:after="0" w:line="174" w:lineRule="exact"/>
        <w:rPr>
          <w:rFonts w:ascii="Times New Roman" w:cs="Times New Roman" w:eastAsia="Times New Roman" w:hAnsi="Times New Roman"/>
          <w:sz w:val="17"/>
          <w:szCs w:val="17"/>
          <w:color w:val="auto"/>
        </w:rPr>
      </w:pPr>
    </w:p>
    <w:p>
      <w:pPr>
        <w:ind w:left="-40" w:right="200" w:firstLine="408"/>
        <w:spacing w:after="0" w:line="283" w:lineRule="auto"/>
        <w:tabs>
          <w:tab w:leader="none" w:pos="632"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52" w:lineRule="exact"/>
        <w:rPr>
          <w:rFonts w:ascii="Times New Roman" w:cs="Times New Roman" w:eastAsia="Times New Roman" w:hAnsi="Times New Roman"/>
          <w:sz w:val="17"/>
          <w:szCs w:val="17"/>
          <w:color w:val="auto"/>
        </w:rPr>
      </w:pPr>
    </w:p>
    <w:p>
      <w:pPr>
        <w:ind w:left="-40" w:firstLine="408"/>
        <w:spacing w:after="0" w:line="259" w:lineRule="auto"/>
        <w:tabs>
          <w:tab w:leader="none" w:pos="632"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may be executed by any one or more of the parties hereto in any number of counterparts, each of which shall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71" w:lineRule="exact"/>
        <w:rPr>
          <w:rFonts w:ascii="Times New Roman" w:cs="Times New Roman" w:eastAsia="Times New Roman" w:hAnsi="Times New Roman"/>
          <w:sz w:val="17"/>
          <w:szCs w:val="17"/>
          <w:color w:val="auto"/>
        </w:rPr>
      </w:pPr>
    </w:p>
    <w:p>
      <w:pPr>
        <w:ind w:left="-40" w:right="80" w:firstLine="408"/>
        <w:spacing w:after="0" w:line="259" w:lineRule="auto"/>
        <w:tabs>
          <w:tab w:leader="none" w:pos="632"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71" w:lineRule="exact"/>
        <w:rPr>
          <w:rFonts w:ascii="Times New Roman" w:cs="Times New Roman" w:eastAsia="Times New Roman" w:hAnsi="Times New Roman"/>
          <w:sz w:val="17"/>
          <w:szCs w:val="17"/>
          <w:color w:val="auto"/>
        </w:rPr>
      </w:pPr>
    </w:p>
    <w:p>
      <w:pPr>
        <w:ind w:left="620" w:hanging="252"/>
        <w:spacing w:after="0"/>
        <w:tabs>
          <w:tab w:leader="none" w:pos="620"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the U.S. Special Resolution Regimes.</w:t>
      </w:r>
    </w:p>
    <w:p>
      <w:pPr>
        <w:spacing w:after="0" w:line="111" w:lineRule="exact"/>
        <w:rPr>
          <w:rFonts w:ascii="Times New Roman" w:cs="Times New Roman" w:eastAsia="Times New Roman" w:hAnsi="Times New Roman"/>
          <w:sz w:val="17"/>
          <w:szCs w:val="17"/>
          <w:color w:val="auto"/>
        </w:rPr>
      </w:pPr>
    </w:p>
    <w:p>
      <w:pPr>
        <w:jc w:val="both"/>
        <w:ind w:left="360" w:right="40" w:firstLine="408"/>
        <w:spacing w:after="0" w:line="261" w:lineRule="auto"/>
        <w:tabs>
          <w:tab w:leader="none" w:pos="992" w:val="left"/>
        </w:tabs>
        <w:numPr>
          <w:ilvl w:val="1"/>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69" w:lineRule="exact"/>
        <w:rPr>
          <w:rFonts w:ascii="Times New Roman" w:cs="Times New Roman" w:eastAsia="Times New Roman" w:hAnsi="Times New Roman"/>
          <w:sz w:val="17"/>
          <w:szCs w:val="17"/>
          <w:color w:val="auto"/>
        </w:rPr>
      </w:pPr>
    </w:p>
    <w:p>
      <w:pPr>
        <w:ind w:left="360" w:right="20" w:firstLine="408"/>
        <w:spacing w:after="0" w:line="261" w:lineRule="auto"/>
        <w:tabs>
          <w:tab w:leader="none" w:pos="1001" w:val="left"/>
        </w:tabs>
        <w:numPr>
          <w:ilvl w:val="1"/>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0340"/>
          </w:cols>
          <w:pgMar w:left="780" w:top="264" w:right="779" w:bottom="1440" w:gutter="0" w:footer="0" w:header="0"/>
        </w:sectPr>
      </w:pPr>
    </w:p>
    <w:bookmarkStart w:id="284" w:name="page285"/>
    <w:bookmarkEnd w:id="284"/>
    <w:p>
      <w:pPr>
        <w:ind w:left="1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(c) As used in this section:</w:t>
      </w:r>
    </w:p>
    <w:p>
      <w:pPr>
        <w:spacing w:after="0" w:line="111" w:lineRule="exact"/>
        <w:rPr>
          <w:sz w:val="20"/>
          <w:szCs w:val="20"/>
          <w:color w:val="auto"/>
        </w:rPr>
      </w:pPr>
    </w:p>
    <w:p>
      <w:pPr>
        <w:ind w:left="220" w:right="200" w:firstLine="379"/>
        <w:spacing w:after="0" w:line="283" w:lineRule="auto"/>
        <w:rPr>
          <w:sz w:val="20"/>
          <w:szCs w:val="20"/>
          <w:color w:val="auto"/>
        </w:rPr>
      </w:pPr>
      <w:r>
        <w:rPr>
          <w:rFonts w:ascii="Times New Roman" w:cs="Times New Roman" w:eastAsia="Times New Roman" w:hAnsi="Times New Roman"/>
          <w:sz w:val="17"/>
          <w:szCs w:val="17"/>
          <w:color w:val="auto"/>
        </w:rPr>
        <w:t>“BHC Act Affiliate” has the meaning assigned to the term “affiliate” in, and shall be interpreted in accordance with, 12 U.S.C. § 1841(k).</w:t>
      </w:r>
    </w:p>
    <w:p>
      <w:pPr>
        <w:spacing w:after="0" w:line="5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“Covered Entity” means any of the following:</w:t>
      </w:r>
    </w:p>
    <w:p>
      <w:pPr>
        <w:spacing w:after="0" w:line="111" w:lineRule="exact"/>
        <w:rPr>
          <w:sz w:val="20"/>
          <w:szCs w:val="20"/>
          <w:color w:val="auto"/>
        </w:rPr>
      </w:pPr>
    </w:p>
    <w:p>
      <w:pPr>
        <w:ind w:left="1220" w:hanging="211"/>
        <w:spacing w:after="0"/>
        <w:tabs>
          <w:tab w:leader="none" w:pos="1220"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“covered entity” as that term is defined in, and interpreted in accordance with, 12 C.F.R. § 252.82(b);</w:t>
      </w:r>
    </w:p>
    <w:p>
      <w:pPr>
        <w:spacing w:after="0" w:line="111" w:lineRule="exact"/>
        <w:rPr>
          <w:rFonts w:ascii="Times New Roman" w:cs="Times New Roman" w:eastAsia="Times New Roman" w:hAnsi="Times New Roman"/>
          <w:sz w:val="17"/>
          <w:szCs w:val="17"/>
          <w:color w:val="auto"/>
        </w:rPr>
      </w:pPr>
    </w:p>
    <w:p>
      <w:pPr>
        <w:ind w:left="1260" w:hanging="251"/>
        <w:spacing w:after="0"/>
        <w:tabs>
          <w:tab w:leader="none" w:pos="1260"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“covered bank” as that term is defined in, and interpreted in accordance with, 12 C.F.R. § 47.3(b); or</w:t>
      </w:r>
    </w:p>
    <w:p>
      <w:pPr>
        <w:spacing w:after="0" w:line="111" w:lineRule="exact"/>
        <w:rPr>
          <w:rFonts w:ascii="Times New Roman" w:cs="Times New Roman" w:eastAsia="Times New Roman" w:hAnsi="Times New Roman"/>
          <w:sz w:val="17"/>
          <w:szCs w:val="17"/>
          <w:color w:val="auto"/>
        </w:rPr>
      </w:pPr>
    </w:p>
    <w:p>
      <w:pPr>
        <w:ind w:left="1300" w:hanging="291"/>
        <w:spacing w:after="0"/>
        <w:tabs>
          <w:tab w:leader="none" w:pos="1300"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“covered FSI” as that term is defined in, and interpreted in accordance with, 12 C.F.R. § 382.2(b).</w:t>
      </w:r>
    </w:p>
    <w:p>
      <w:pPr>
        <w:spacing w:after="0" w:line="111" w:lineRule="exact"/>
        <w:rPr>
          <w:sz w:val="20"/>
          <w:szCs w:val="20"/>
          <w:color w:val="auto"/>
        </w:rPr>
      </w:pPr>
    </w:p>
    <w:p>
      <w:pPr>
        <w:ind w:left="220" w:right="60" w:firstLine="379"/>
        <w:spacing w:after="0" w:line="283" w:lineRule="auto"/>
        <w:rPr>
          <w:sz w:val="20"/>
          <w:szCs w:val="20"/>
          <w:color w:val="auto"/>
        </w:rPr>
      </w:pPr>
      <w:r>
        <w:rPr>
          <w:rFonts w:ascii="Times New Roman" w:cs="Times New Roman" w:eastAsia="Times New Roman" w:hAnsi="Times New Roman"/>
          <w:sz w:val="17"/>
          <w:szCs w:val="17"/>
          <w:color w:val="auto"/>
        </w:rPr>
        <w:t>“Default Right” has the meaning assigned to that term in, and shall be interpreted in accordance with, 12 C.F.R. §§ 252.81, 47.2 or 382.1, as applicable.</w:t>
      </w:r>
    </w:p>
    <w:p>
      <w:pPr>
        <w:spacing w:after="0" w:line="50" w:lineRule="exact"/>
        <w:rPr>
          <w:sz w:val="20"/>
          <w:szCs w:val="20"/>
          <w:color w:val="auto"/>
        </w:rPr>
      </w:pPr>
    </w:p>
    <w:p>
      <w:pPr>
        <w:ind w:left="220" w:firstLine="379"/>
        <w:spacing w:after="0" w:line="283" w:lineRule="auto"/>
        <w:rPr>
          <w:sz w:val="20"/>
          <w:szCs w:val="20"/>
          <w:color w:val="auto"/>
        </w:rPr>
      </w:pPr>
      <w:r>
        <w:rPr>
          <w:rFonts w:ascii="Times New Roman" w:cs="Times New Roman" w:eastAsia="Times New Roman" w:hAnsi="Times New Roman"/>
          <w:sz w:val="17"/>
          <w:szCs w:val="17"/>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48"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153"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9560"/>
          </w:cols>
          <w:pgMar w:left="1440" w:top="264" w:right="899" w:bottom="1440" w:gutter="0" w:footer="0" w:header="0"/>
        </w:sectPr>
      </w:pPr>
    </w:p>
    <w:bookmarkStart w:id="285" w:name="page286"/>
    <w:bookmarkEnd w:id="285"/>
    <w:p>
      <w:pPr>
        <w:ind w:firstLine="417"/>
        <w:spacing w:after="0" w:line="25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If the foregoing is in accordance with your understanding, please sign and return to us one for the Company and each of the Representatives plus one for each counsel counterparts hereof, and upon the acceptance hereof by you, on behalf of each of the Underwriters, this letter and such acceptance hereof shall constitute a binding agreement between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w:t>
      </w:r>
    </w:p>
    <w:p>
      <w:pPr>
        <w:spacing w:after="0" w:line="19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0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7"/>
          <w:szCs w:val="17"/>
          <w:b w:val="1"/>
          <w:bCs w:val="1"/>
          <w:color w:val="auto"/>
        </w:rPr>
        <w:t>Boundless Bio, Inc.</w:t>
      </w:r>
    </w:p>
    <w:p>
      <w:pPr>
        <w:spacing w:after="0" w:line="21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15875</wp:posOffset>
            </wp:positionV>
            <wp:extent cx="232854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3">
                      <a:extLst>
                        <a:ext uri="{28A0092B-C50C-407E-A947-70E740481C1C}"/>
                      </a:extLst>
                    </a:blip>
                    <a:srcRect/>
                    <a:stretch>
                      <a:fillRect/>
                    </a:stretch>
                  </pic:blipFill>
                  <pic:spPr bwMode="auto">
                    <a:xfrm>
                      <a:off x="0" y="0"/>
                      <a:ext cx="2328545" cy="8255"/>
                    </a:xfrm>
                    <a:prstGeom prst="rect">
                      <a:avLst/>
                    </a:prstGeom>
                    <a:noFill/>
                  </pic:spPr>
                </pic:pic>
              </a:graphicData>
            </a:graphic>
          </wp:anchor>
        </w:drawing>
      </w:r>
    </w:p>
    <w:p>
      <w:pPr>
        <w:spacing w:after="0" w:line="6"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7"/>
          <w:szCs w:val="17"/>
          <w:color w:val="auto"/>
        </w:rPr>
        <w:t>Name:</w:t>
      </w:r>
    </w:p>
    <w:p>
      <w:pPr>
        <w:spacing w:after="0" w:line="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7"/>
          <w:szCs w:val="17"/>
          <w:color w:val="auto"/>
        </w:rPr>
        <w:t>Title:</w:t>
      </w:r>
    </w:p>
    <w:p>
      <w:pPr>
        <w:spacing w:after="0" w:line="1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i w:val="1"/>
          <w:iCs w:val="1"/>
          <w:color w:val="auto"/>
        </w:rPr>
        <w:t>[Signature Page to Underwriting Agreement]</w:t>
      </w:r>
    </w:p>
    <w:p>
      <w:pPr>
        <w:sectPr>
          <w:pgSz w:w="11900" w:h="16838" w:orient="portrait"/>
          <w:cols w:equalWidth="0" w:num="1">
            <w:col w:w="10300"/>
          </w:cols>
          <w:pgMar w:left="740" w:top="264" w:right="85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Accepted as of the date hereof:</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Goldman Sachs &amp; Co. LLC</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15875</wp:posOffset>
            </wp:positionV>
            <wp:extent cx="230441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5">
                      <a:extLst>
                        <a:ext uri="{28A0092B-C50C-407E-A947-70E740481C1C}"/>
                      </a:extLst>
                    </a:blip>
                    <a:srcRect/>
                    <a:stretch>
                      <a:fillRect/>
                    </a:stretch>
                  </pic:blipFill>
                  <pic:spPr bwMode="auto">
                    <a:xfrm>
                      <a:off x="0" y="0"/>
                      <a:ext cx="230441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Leerink Partners LLC</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15875</wp:posOffset>
            </wp:positionV>
            <wp:extent cx="230441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6">
                      <a:extLst>
                        <a:ext uri="{28A0092B-C50C-407E-A947-70E740481C1C}"/>
                      </a:extLst>
                    </a:blip>
                    <a:srcRect/>
                    <a:stretch>
                      <a:fillRect/>
                    </a:stretch>
                  </pic:blipFill>
                  <pic:spPr bwMode="auto">
                    <a:xfrm>
                      <a:off x="0" y="0"/>
                      <a:ext cx="230441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Piper Sandler &amp; Co.</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15875</wp:posOffset>
            </wp:positionV>
            <wp:extent cx="230441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7">
                      <a:extLst>
                        <a:ext uri="{28A0092B-C50C-407E-A947-70E740481C1C}"/>
                      </a:extLst>
                    </a:blip>
                    <a:srcRect/>
                    <a:stretch>
                      <a:fillRect/>
                    </a:stretch>
                  </pic:blipFill>
                  <pic:spPr bwMode="auto">
                    <a:xfrm>
                      <a:off x="0" y="0"/>
                      <a:ext cx="230441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Guggenheim Securities, LLC</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15875</wp:posOffset>
            </wp:positionV>
            <wp:extent cx="230441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8">
                      <a:extLst>
                        <a:ext uri="{28A0092B-C50C-407E-A947-70E740481C1C}"/>
                      </a:extLst>
                    </a:blip>
                    <a:srcRect/>
                    <a:stretch>
                      <a:fillRect/>
                    </a:stretch>
                  </pic:blipFill>
                  <pic:spPr bwMode="auto">
                    <a:xfrm>
                      <a:off x="0" y="0"/>
                      <a:ext cx="230441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behalf of each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Underwriters</w:t>
      </w:r>
    </w:p>
    <w:p>
      <w:pPr>
        <w:spacing w:after="0" w:line="141"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7"/>
          <w:szCs w:val="17"/>
          <w:i w:val="1"/>
          <w:iCs w:val="1"/>
          <w:color w:val="auto"/>
        </w:rPr>
        <w:t>[Signature Page to Underwriting Agreement]</w:t>
      </w:r>
    </w:p>
    <w:p>
      <w:pPr>
        <w:sectPr>
          <w:pgSz w:w="11900" w:h="16838" w:orient="portrait"/>
          <w:cols w:equalWidth="0" w:num="1">
            <w:col w:w="9719"/>
          </w:cols>
          <w:pgMar w:left="740" w:top="264" w:right="1440" w:bottom="1440" w:gutter="0" w:footer="0" w:header="0"/>
        </w:sectPr>
      </w:pPr>
    </w:p>
    <w:bookmarkStart w:id="287" w:name="page288"/>
    <w:bookmarkEnd w:id="287"/>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SCHEDULE I</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5"/>
              </w:rPr>
              <w:t>Number of Optional</w:t>
            </w:r>
          </w:p>
        </w:tc>
        <w:tc>
          <w:tcPr>
            <w:tcW w:w="0" w:type="dxa"/>
            <w:vAlign w:val="bottom"/>
          </w:tcPr>
          <w:p>
            <w:pPr>
              <w:spacing w:after="0"/>
              <w:rPr>
                <w:sz w:val="1"/>
                <w:szCs w:val="1"/>
                <w:color w:val="auto"/>
              </w:rPr>
            </w:pPr>
          </w:p>
        </w:tc>
      </w:tr>
      <w:tr>
        <w:trPr>
          <w:trHeight w:val="141"/>
        </w:trPr>
        <w:tc>
          <w:tcPr>
            <w:tcW w:w="74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2020" w:type="dxa"/>
            <w:vAlign w:val="bottom"/>
            <w:gridSpan w:val="3"/>
            <w:vMerge w:val="restart"/>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w w:val="95"/>
              </w:rPr>
              <w:t>Total Number of</w:t>
            </w:r>
          </w:p>
        </w:tc>
        <w:tc>
          <w:tcPr>
            <w:tcW w:w="1240" w:type="dxa"/>
            <w:vAlign w:val="bottom"/>
            <w:gridSpan w:val="2"/>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5"/>
              </w:rPr>
              <w:t>Shares to be</w:t>
            </w:r>
          </w:p>
        </w:tc>
        <w:tc>
          <w:tcPr>
            <w:tcW w:w="0" w:type="dxa"/>
            <w:vAlign w:val="bottom"/>
          </w:tcPr>
          <w:p>
            <w:pPr>
              <w:spacing w:after="0"/>
              <w:rPr>
                <w:sz w:val="1"/>
                <w:szCs w:val="1"/>
                <w:color w:val="auto"/>
              </w:rPr>
            </w:pPr>
          </w:p>
        </w:tc>
      </w:tr>
      <w:tr>
        <w:trPr>
          <w:trHeight w:val="141"/>
        </w:trPr>
        <w:tc>
          <w:tcPr>
            <w:tcW w:w="74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240" w:type="dxa"/>
            <w:vAlign w:val="bottom"/>
            <w:gridSpan w:val="2"/>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8"/>
              </w:rPr>
              <w:t>Purchased if</w:t>
            </w:r>
          </w:p>
        </w:tc>
        <w:tc>
          <w:tcPr>
            <w:tcW w:w="0" w:type="dxa"/>
            <w:vAlign w:val="bottom"/>
          </w:tcPr>
          <w:p>
            <w:pPr>
              <w:spacing w:after="0"/>
              <w:rPr>
                <w:sz w:val="1"/>
                <w:szCs w:val="1"/>
                <w:color w:val="auto"/>
              </w:rPr>
            </w:pPr>
          </w:p>
        </w:tc>
      </w:tr>
      <w:tr>
        <w:trPr>
          <w:trHeight w:val="141"/>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Underwriter</w:t>
            </w:r>
          </w:p>
        </w:tc>
        <w:tc>
          <w:tcPr>
            <w:tcW w:w="6420" w:type="dxa"/>
            <w:vAlign w:val="bottom"/>
            <w:vMerge w:val="restart"/>
          </w:tcPr>
          <w:p>
            <w:pPr>
              <w:spacing w:after="0"/>
              <w:rPr>
                <w:sz w:val="12"/>
                <w:szCs w:val="12"/>
                <w:color w:val="auto"/>
              </w:rPr>
            </w:pPr>
          </w:p>
        </w:tc>
        <w:tc>
          <w:tcPr>
            <w:tcW w:w="2020" w:type="dxa"/>
            <w:vAlign w:val="bottom"/>
            <w:gridSpan w:val="3"/>
          </w:tcPr>
          <w:p>
            <w:pPr>
              <w:jc w:val="right"/>
              <w:ind w:right="980"/>
              <w:spacing w:after="0" w:line="141" w:lineRule="exact"/>
              <w:rPr>
                <w:sz w:val="20"/>
                <w:szCs w:val="20"/>
                <w:color w:val="auto"/>
              </w:rPr>
            </w:pPr>
            <w:r>
              <w:rPr>
                <w:rFonts w:ascii="Times New Roman" w:cs="Times New Roman" w:eastAsia="Times New Roman" w:hAnsi="Times New Roman"/>
                <w:sz w:val="14"/>
                <w:szCs w:val="14"/>
                <w:b w:val="1"/>
                <w:bCs w:val="1"/>
                <w:color w:val="auto"/>
                <w:w w:val="95"/>
              </w:rPr>
              <w:t>Firm Shares to be</w:t>
            </w:r>
          </w:p>
        </w:tc>
        <w:tc>
          <w:tcPr>
            <w:tcW w:w="1240" w:type="dxa"/>
            <w:vAlign w:val="bottom"/>
            <w:gridSpan w:val="2"/>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8"/>
              </w:rPr>
              <w:t>Maximum Option</w:t>
            </w:r>
          </w:p>
        </w:tc>
        <w:tc>
          <w:tcPr>
            <w:tcW w:w="0" w:type="dxa"/>
            <w:vAlign w:val="bottom"/>
          </w:tcPr>
          <w:p>
            <w:pPr>
              <w:spacing w:after="0"/>
              <w:rPr>
                <w:sz w:val="1"/>
                <w:szCs w:val="1"/>
                <w:color w:val="auto"/>
              </w:rPr>
            </w:pPr>
          </w:p>
        </w:tc>
      </w:tr>
      <w:tr>
        <w:trPr>
          <w:trHeight w:val="172"/>
        </w:trPr>
        <w:tc>
          <w:tcPr>
            <w:tcW w:w="740" w:type="dxa"/>
            <w:vAlign w:val="bottom"/>
            <w:tcBorders>
              <w:bottom w:val="single" w:sz="8" w:color="auto"/>
            </w:tcBorders>
            <w:vMerge w:val="continue"/>
          </w:tcPr>
          <w:p>
            <w:pPr>
              <w:spacing w:after="0"/>
              <w:rPr>
                <w:sz w:val="14"/>
                <w:szCs w:val="14"/>
                <w:color w:val="auto"/>
              </w:rPr>
            </w:pPr>
          </w:p>
        </w:tc>
        <w:tc>
          <w:tcPr>
            <w:tcW w:w="6420" w:type="dxa"/>
            <w:vAlign w:val="bottom"/>
            <w:vMerge w:val="continue"/>
          </w:tcPr>
          <w:p>
            <w:pPr>
              <w:spacing w:after="0"/>
              <w:rPr>
                <w:sz w:val="14"/>
                <w:szCs w:val="14"/>
                <w:color w:val="auto"/>
              </w:rPr>
            </w:pPr>
          </w:p>
        </w:tc>
        <w:tc>
          <w:tcPr>
            <w:tcW w:w="2020" w:type="dxa"/>
            <w:vAlign w:val="bottom"/>
            <w:gridSpan w:val="3"/>
          </w:tcPr>
          <w:p>
            <w:pPr>
              <w:jc w:val="center"/>
              <w:ind w:right="980"/>
              <w:spacing w:after="0" w:line="152" w:lineRule="exact"/>
              <w:rPr>
                <w:sz w:val="20"/>
                <w:szCs w:val="20"/>
                <w:color w:val="auto"/>
              </w:rPr>
            </w:pPr>
            <w:r>
              <w:rPr>
                <w:rFonts w:ascii="Times New Roman" w:cs="Times New Roman" w:eastAsia="Times New Roman" w:hAnsi="Times New Roman"/>
                <w:sz w:val="14"/>
                <w:szCs w:val="14"/>
                <w:b w:val="1"/>
                <w:bCs w:val="1"/>
                <w:color w:val="auto"/>
                <w:w w:val="95"/>
              </w:rPr>
              <w:t>Purchased</w:t>
            </w:r>
          </w:p>
        </w:tc>
        <w:tc>
          <w:tcPr>
            <w:tcW w:w="1240" w:type="dxa"/>
            <w:vAlign w:val="bottom"/>
            <w:gridSpan w:val="2"/>
          </w:tcPr>
          <w:p>
            <w:pPr>
              <w:jc w:val="center"/>
              <w:ind w:right="60"/>
              <w:spacing w:after="0" w:line="152" w:lineRule="exact"/>
              <w:rPr>
                <w:sz w:val="20"/>
                <w:szCs w:val="20"/>
                <w:color w:val="auto"/>
              </w:rPr>
            </w:pPr>
            <w:r>
              <w:rPr>
                <w:rFonts w:ascii="Times New Roman" w:cs="Times New Roman" w:eastAsia="Times New Roman" w:hAnsi="Times New Roman"/>
                <w:sz w:val="14"/>
                <w:szCs w:val="14"/>
                <w:b w:val="1"/>
                <w:bCs w:val="1"/>
                <w:color w:val="auto"/>
                <w:w w:val="99"/>
              </w:rPr>
              <w:t>Exercised</w:t>
            </w:r>
          </w:p>
        </w:tc>
        <w:tc>
          <w:tcPr>
            <w:tcW w:w="0" w:type="dxa"/>
            <w:vAlign w:val="bottom"/>
          </w:tcPr>
          <w:p>
            <w:pPr>
              <w:spacing w:after="0"/>
              <w:rPr>
                <w:sz w:val="1"/>
                <w:szCs w:val="1"/>
                <w:color w:val="auto"/>
              </w:rPr>
            </w:pPr>
          </w:p>
        </w:tc>
      </w:tr>
      <w:tr>
        <w:trPr>
          <w:trHeight w:val="203"/>
        </w:trPr>
        <w:tc>
          <w:tcPr>
            <w:tcW w:w="7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Goldman Sachs &amp; Co. LLC</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top w:val="single" w:sz="8" w:color="CCEEFF"/>
            </w:tcBorders>
            <w:gridSpan w:val="2"/>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Leerink Partners LLC</w:t>
            </w:r>
          </w:p>
        </w:tc>
        <w:tc>
          <w:tcPr>
            <w:tcW w:w="2020" w:type="dxa"/>
            <w:vAlign w:val="bottom"/>
            <w:gridSpan w:val="3"/>
          </w:tcPr>
          <w:p>
            <w:pPr>
              <w:jc w:val="right"/>
              <w:ind w:right="980"/>
              <w:spacing w:after="0" w:line="217" w:lineRule="exact"/>
              <w:rPr>
                <w:sz w:val="20"/>
                <w:szCs w:val="20"/>
                <w:color w:val="auto"/>
              </w:rPr>
            </w:pPr>
            <w:r>
              <w:rPr>
                <w:rFonts w:ascii="Times New Roman" w:cs="Times New Roman" w:eastAsia="Times New Roman" w:hAnsi="Times New Roman"/>
                <w:sz w:val="19"/>
                <w:szCs w:val="19"/>
                <w:color w:val="auto"/>
              </w:rPr>
              <w:t>[•]</w:t>
            </w:r>
          </w:p>
        </w:tc>
        <w:tc>
          <w:tcPr>
            <w:tcW w:w="1240" w:type="dxa"/>
            <w:vAlign w:val="bottom"/>
            <w:gridSpan w:val="2"/>
          </w:tcPr>
          <w:p>
            <w:pPr>
              <w:jc w:val="right"/>
              <w:ind w:right="60"/>
              <w:spacing w:after="0" w:line="217" w:lineRule="exact"/>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7"/>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Piper Sandler &amp; Co.</w:t>
            </w:r>
          </w:p>
        </w:tc>
        <w:tc>
          <w:tcPr>
            <w:tcW w:w="2020" w:type="dxa"/>
            <w:vAlign w:val="bottom"/>
            <w:gridSpan w:val="3"/>
            <w:shd w:val="clear" w:color="auto" w:fill="CCEEFF"/>
          </w:tcPr>
          <w:p>
            <w:pPr>
              <w:jc w:val="right"/>
              <w:ind w:right="980"/>
              <w:spacing w:after="0" w:line="217" w:lineRule="exact"/>
              <w:rPr>
                <w:sz w:val="20"/>
                <w:szCs w:val="20"/>
                <w:color w:val="auto"/>
              </w:rPr>
            </w:pPr>
            <w:r>
              <w:rPr>
                <w:rFonts w:ascii="Times New Roman" w:cs="Times New Roman" w:eastAsia="Times New Roman" w:hAnsi="Times New Roman"/>
                <w:sz w:val="19"/>
                <w:szCs w:val="19"/>
                <w:color w:val="auto"/>
              </w:rPr>
              <w:t>[•]</w:t>
            </w:r>
          </w:p>
        </w:tc>
        <w:tc>
          <w:tcPr>
            <w:tcW w:w="1240" w:type="dxa"/>
            <w:vAlign w:val="bottom"/>
            <w:gridSpan w:val="2"/>
            <w:shd w:val="clear" w:color="auto" w:fill="CCEEFF"/>
          </w:tcPr>
          <w:p>
            <w:pPr>
              <w:jc w:val="right"/>
              <w:ind w:right="60"/>
              <w:spacing w:after="0" w:line="217" w:lineRule="exact"/>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7"/>
        </w:trPr>
        <w:tc>
          <w:tcPr>
            <w:tcW w:w="7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Guggenheim Securities, LLC</w:t>
            </w:r>
          </w:p>
        </w:tc>
        <w:tc>
          <w:tcPr>
            <w:tcW w:w="2020" w:type="dxa"/>
            <w:vAlign w:val="bottom"/>
            <w:gridSpan w:val="3"/>
          </w:tcPr>
          <w:p>
            <w:pPr>
              <w:jc w:val="right"/>
              <w:ind w:right="980"/>
              <w:spacing w:after="0" w:line="217" w:lineRule="exact"/>
              <w:rPr>
                <w:sz w:val="20"/>
                <w:szCs w:val="20"/>
                <w:color w:val="auto"/>
              </w:rPr>
            </w:pPr>
            <w:r>
              <w:rPr>
                <w:rFonts w:ascii="Times New Roman" w:cs="Times New Roman" w:eastAsia="Times New Roman" w:hAnsi="Times New Roman"/>
                <w:sz w:val="19"/>
                <w:szCs w:val="19"/>
                <w:color w:val="auto"/>
              </w:rPr>
              <w:t>[•]</w:t>
            </w:r>
          </w:p>
        </w:tc>
        <w:tc>
          <w:tcPr>
            <w:tcW w:w="1240" w:type="dxa"/>
            <w:vAlign w:val="bottom"/>
            <w:gridSpan w:val="2"/>
          </w:tcPr>
          <w:p>
            <w:pPr>
              <w:jc w:val="right"/>
              <w:ind w:right="60"/>
              <w:spacing w:after="0" w:line="217" w:lineRule="exact"/>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7"/>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gridSpan w:val="3"/>
            <w:shd w:val="clear" w:color="auto" w:fill="CCEEFF"/>
          </w:tcPr>
          <w:p>
            <w:pPr>
              <w:jc w:val="right"/>
              <w:ind w:right="980"/>
              <w:spacing w:after="0" w:line="217" w:lineRule="exact"/>
              <w:rPr>
                <w:sz w:val="20"/>
                <w:szCs w:val="20"/>
                <w:color w:val="auto"/>
              </w:rPr>
            </w:pPr>
            <w:r>
              <w:rPr>
                <w:rFonts w:ascii="Times New Roman" w:cs="Times New Roman" w:eastAsia="Times New Roman" w:hAnsi="Times New Roman"/>
                <w:sz w:val="19"/>
                <w:szCs w:val="19"/>
                <w:color w:val="auto"/>
              </w:rPr>
              <w:t>[•]</w:t>
            </w:r>
          </w:p>
        </w:tc>
        <w:tc>
          <w:tcPr>
            <w:tcW w:w="1240" w:type="dxa"/>
            <w:vAlign w:val="bottom"/>
            <w:gridSpan w:val="2"/>
            <w:shd w:val="clear" w:color="auto" w:fill="CCEEFF"/>
          </w:tcPr>
          <w:p>
            <w:pPr>
              <w:jc w:val="right"/>
              <w:ind w:right="60"/>
              <w:spacing w:after="0" w:line="217" w:lineRule="exact"/>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23"/>
        </w:trPr>
        <w:tc>
          <w:tcPr>
            <w:tcW w:w="7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Borders>
              <w:bottom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420"/>
          </w:cols>
          <w:pgMar w:left="740" w:top="260" w:right="739" w:bottom="1440" w:gutter="0" w:footer="0" w:header="0"/>
        </w:sectPr>
      </w:pPr>
    </w:p>
    <w:bookmarkStart w:id="288" w:name="page289"/>
    <w:bookmarkEnd w:id="288"/>
    <w:p>
      <w:pPr>
        <w:ind w:left="464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SCHEDULE II</w:t>
      </w:r>
    </w:p>
    <w:p>
      <w:pPr>
        <w:spacing w:after="0" w:line="217" w:lineRule="exact"/>
        <w:rPr>
          <w:sz w:val="20"/>
          <w:szCs w:val="20"/>
          <w:color w:val="auto"/>
        </w:rPr>
      </w:pPr>
    </w:p>
    <w:p>
      <w:pPr>
        <w:ind w:left="929" w:right="3979" w:hanging="929"/>
        <w:spacing w:after="0" w:line="408" w:lineRule="auto"/>
        <w:tabs>
          <w:tab w:leader="none" w:pos="222"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Issuer Free Writing Prospectuses not included in the Pricing Disclosure Package: [Electronic Roadshow dated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2024.]</w:t>
      </w:r>
    </w:p>
    <w:p>
      <w:pPr>
        <w:spacing w:after="0" w:line="50" w:lineRule="exact"/>
        <w:rPr>
          <w:rFonts w:ascii="Times New Roman" w:cs="Times New Roman" w:eastAsia="Times New Roman" w:hAnsi="Times New Roman"/>
          <w:sz w:val="17"/>
          <w:szCs w:val="17"/>
          <w:color w:val="auto"/>
        </w:rPr>
      </w:pPr>
    </w:p>
    <w:p>
      <w:pPr>
        <w:ind w:left="249" w:hanging="249"/>
        <w:spacing w:after="0"/>
        <w:tabs>
          <w:tab w:leader="none" w:pos="249"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Documents Incorporated by Reference:</w:t>
      </w:r>
    </w:p>
    <w:p>
      <w:pPr>
        <w:spacing w:after="0" w:line="111" w:lineRule="exact"/>
        <w:rPr>
          <w:sz w:val="20"/>
          <w:szCs w:val="20"/>
          <w:color w:val="auto"/>
        </w:rPr>
      </w:pPr>
    </w:p>
    <w:p>
      <w:pPr>
        <w:ind w:left="929"/>
        <w:spacing w:after="0"/>
        <w:rPr>
          <w:sz w:val="20"/>
          <w:szCs w:val="20"/>
          <w:color w:val="auto"/>
        </w:rPr>
      </w:pPr>
      <w:r>
        <w:rPr>
          <w:rFonts w:ascii="Times New Roman" w:cs="Times New Roman" w:eastAsia="Times New Roman" w:hAnsi="Times New Roman"/>
          <w:sz w:val="17"/>
          <w:szCs w:val="17"/>
          <w:color w:val="auto"/>
        </w:rPr>
        <w:t>[None]</w:t>
      </w:r>
    </w:p>
    <w:p>
      <w:pPr>
        <w:spacing w:after="0" w:line="213" w:lineRule="exact"/>
        <w:rPr>
          <w:sz w:val="20"/>
          <w:szCs w:val="20"/>
          <w:color w:val="auto"/>
        </w:rPr>
      </w:pPr>
    </w:p>
    <w:p>
      <w:pPr>
        <w:ind w:left="929" w:right="3219" w:hanging="929"/>
        <w:spacing w:after="0" w:line="408" w:lineRule="auto"/>
        <w:tabs>
          <w:tab w:leader="none" w:pos="222"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other than the Pricing Prospectus that comprise the Pricing Disclosure Package: The initial public offering price per share for the Shares is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p>
      <w:pPr>
        <w:spacing w:after="0" w:line="47" w:lineRule="exact"/>
        <w:rPr>
          <w:sz w:val="20"/>
          <w:szCs w:val="20"/>
          <w:color w:val="auto"/>
        </w:rPr>
      </w:pPr>
    </w:p>
    <w:p>
      <w:pPr>
        <w:ind w:left="929"/>
        <w:spacing w:after="0"/>
        <w:rPr>
          <w:sz w:val="20"/>
          <w:szCs w:val="20"/>
          <w:color w:val="auto"/>
        </w:rPr>
      </w:pPr>
      <w:r>
        <w:rPr>
          <w:rFonts w:ascii="Times New Roman" w:cs="Times New Roman" w:eastAsia="Times New Roman" w:hAnsi="Times New Roman"/>
          <w:sz w:val="17"/>
          <w:szCs w:val="17"/>
          <w:color w:val="auto"/>
        </w:rPr>
        <w:t>The number of Shares purchased by the Underwriters is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ind w:left="92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Add any other pricing disclosure</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929" w:right="6439" w:hanging="929"/>
        <w:spacing w:after="0" w:line="582" w:lineRule="auto"/>
        <w:tabs>
          <w:tab w:leader="none" w:pos="229"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Written Testing-the-Waters Communications [</w:t>
      </w:r>
      <w:r>
        <w:rPr>
          <w:rFonts w:ascii="Times New Roman" w:cs="Times New Roman" w:eastAsia="Times New Roman" w:hAnsi="Times New Roman"/>
          <w:sz w:val="16"/>
          <w:szCs w:val="16"/>
          <w:b w:val="1"/>
          <w:bCs w:val="1"/>
          <w:color w:val="auto"/>
        </w:rPr>
        <w:t>To add TTW Presentations</w:t>
      </w:r>
      <w:r>
        <w:rPr>
          <w:rFonts w:ascii="Times New Roman" w:cs="Times New Roman" w:eastAsia="Times New Roman" w:hAnsi="Times New Roman"/>
          <w:sz w:val="16"/>
          <w:szCs w:val="16"/>
          <w:color w:val="auto"/>
        </w:rPr>
        <w:t>]</w:t>
      </w:r>
    </w:p>
    <w:p>
      <w:pPr>
        <w:sectPr>
          <w:pgSz w:w="11900" w:h="16838" w:orient="portrait"/>
          <w:cols w:equalWidth="0" w:num="1">
            <w:col w:w="9728"/>
          </w:cols>
          <w:pgMar w:left="731" w:top="260" w:right="1440" w:bottom="1440" w:gutter="0" w:footer="0" w:header="0"/>
        </w:sectPr>
      </w:pPr>
    </w:p>
    <w:bookmarkStart w:id="289" w:name="page290"/>
    <w:bookmarkEnd w:id="289"/>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ANNEX I</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PRESS RELEASE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Boundless Bio, Inc.</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w:t>
      </w:r>
    </w:p>
    <w:p>
      <w:pPr>
        <w:spacing w:after="0" w:line="21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7"/>
          <w:szCs w:val="17"/>
          <w:color w:val="auto"/>
        </w:rPr>
        <w:t>Boundless Bio, Inc. (the “Company”) announced today that Goldman Sachs &amp; Co. LLC, Leerink Partners, Piper Sandler &amp; Co. and Guggenheim Securities, LLC, the lead book-running managers in the Company’s recent public sale of       shares of common stock, are [waiving] [releasing] a lock-up restriction with respect to       shares of the Company’s common stock held by [certain officers or directors] [an officer or director] of the Company. The [waiver] [release] will take effect on [date], and the shares may be sold on or after such date.</w:t>
      </w:r>
    </w:p>
    <w:p>
      <w:pPr>
        <w:spacing w:after="0" w:line="168" w:lineRule="exact"/>
        <w:rPr>
          <w:sz w:val="20"/>
          <w:szCs w:val="20"/>
          <w:color w:val="auto"/>
        </w:rPr>
      </w:pPr>
    </w:p>
    <w:p>
      <w:pPr>
        <w:jc w:val="both"/>
        <w:ind w:right="280"/>
        <w:spacing w:after="0" w:line="269" w:lineRule="auto"/>
        <w:rPr>
          <w:sz w:val="20"/>
          <w:szCs w:val="20"/>
          <w:color w:val="auto"/>
        </w:rPr>
      </w:pPr>
      <w:r>
        <w:rPr>
          <w:rFonts w:ascii="Times New Roman" w:cs="Times New Roman" w:eastAsia="Times New Roman" w:hAnsi="Times New Roman"/>
          <w:sz w:val="17"/>
          <w:szCs w:val="17"/>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10420"/>
          </w:cols>
          <w:pgMar w:left="740" w:top="260" w:right="739" w:bottom="1440" w:gutter="0" w:footer="0" w:header="0"/>
        </w:sectPr>
      </w:pPr>
    </w:p>
    <w:bookmarkStart w:id="290" w:name="page291"/>
    <w:bookmarkEnd w:id="290"/>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ANNEX II</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LOCK-UP AGREEMENT</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BOUNDLESS BIO,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2024</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Goldman Sachs &amp; Co.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Leerink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Piper Sandler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Guggenheim Securities, LLC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Representatives of the several Underwriters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named in Schedule I to the Underwriting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Goldman Sachs &amp; Co.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NY 10282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Leerink Partners LLC</w:t>
      </w:r>
    </w:p>
    <w:p>
      <w:pPr>
        <w:spacing w:after="0" w:line="193" w:lineRule="auto"/>
        <w:rPr>
          <w:sz w:val="20"/>
          <w:szCs w:val="20"/>
          <w:color w:val="auto"/>
        </w:rPr>
      </w:pPr>
      <w:r>
        <w:rPr>
          <w:rFonts w:ascii="Times New Roman" w:cs="Times New Roman" w:eastAsia="Times New Roman" w:hAnsi="Times New Roman"/>
          <w:sz w:val="17"/>
          <w:szCs w:val="17"/>
          <w:color w:val="auto"/>
        </w:rPr>
        <w:t>53 State Street, 40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w:t>
      </w:r>
    </w:p>
    <w:p>
      <w:pPr>
        <w:spacing w:after="0"/>
        <w:rPr>
          <w:sz w:val="20"/>
          <w:szCs w:val="20"/>
          <w:color w:val="auto"/>
        </w:rPr>
      </w:pPr>
      <w:r>
        <w:rPr>
          <w:rFonts w:ascii="Times New Roman" w:cs="Times New Roman" w:eastAsia="Times New Roman" w:hAnsi="Times New Roman"/>
          <w:sz w:val="17"/>
          <w:szCs w:val="17"/>
          <w:color w:val="auto"/>
        </w:rPr>
        <w:t>Boston, MA 02109</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Piper Sandler &amp; Co.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800 Nicollet Mall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Minneapolis, MN 55402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Guggenheim Securities,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NY 10017</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Re: </w:t>
      </w:r>
      <w:r>
        <w:rPr>
          <w:rFonts w:ascii="Times New Roman" w:cs="Times New Roman" w:eastAsia="Times New Roman" w:hAnsi="Times New Roman"/>
          <w:sz w:val="17"/>
          <w:szCs w:val="17"/>
          <w:u w:val="single" w:color="auto"/>
          <w:color w:val="auto"/>
        </w:rPr>
        <w:t>Boundless Bio, Inc. - Lock-Up Agreement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111" w:lineRule="exact"/>
        <w:rPr>
          <w:sz w:val="20"/>
          <w:szCs w:val="20"/>
          <w:color w:val="auto"/>
        </w:rPr>
      </w:pPr>
    </w:p>
    <w:p>
      <w:pPr>
        <w:ind w:right="500" w:firstLine="417"/>
        <w:spacing w:after="0" w:line="259" w:lineRule="auto"/>
        <w:rPr>
          <w:sz w:val="20"/>
          <w:szCs w:val="20"/>
          <w:color w:val="auto"/>
        </w:rPr>
      </w:pPr>
      <w:r>
        <w:rPr>
          <w:rFonts w:ascii="Times New Roman" w:cs="Times New Roman" w:eastAsia="Times New Roman" w:hAnsi="Times New Roman"/>
          <w:sz w:val="17"/>
          <w:szCs w:val="17"/>
          <w:color w:val="auto"/>
        </w:rPr>
        <w:t>The undersigned understands that you, as representatives (the “Representatives”), propose to enter into an underwriting agreement (the “Underwriting Agreement”) on behalf of the several Underwriters named in Schedule I to such agreement (collectively, the “Underwriters”), with Boundless Bio, Inc., a Delaware corporation (the “Company”), providing for a public offering (the “Public Offering”) of shares (the “Shares”) of common stock, par value $0.0001 per share, of the Company (the “Common Stock”) pursuant to a Registration Statement on Form S-1 (the “Registration Statement”) to be filed with the Securities and Exchange Commission (the “SEC”).</w:t>
      </w:r>
    </w:p>
    <w:p>
      <w:pPr>
        <w:spacing w:after="0" w:line="172" w:lineRule="exact"/>
        <w:rPr>
          <w:sz w:val="20"/>
          <w:szCs w:val="20"/>
          <w:color w:val="auto"/>
        </w:rPr>
      </w:pPr>
    </w:p>
    <w:p>
      <w:pPr>
        <w:ind w:right="360" w:firstLine="417"/>
        <w:spacing w:after="0" w:line="267" w:lineRule="auto"/>
        <w:rPr>
          <w:sz w:val="20"/>
          <w:szCs w:val="20"/>
          <w:color w:val="auto"/>
        </w:rPr>
      </w:pPr>
      <w:r>
        <w:rPr>
          <w:rFonts w:ascii="Times New Roman" w:cs="Times New Roman" w:eastAsia="Times New Roman" w:hAnsi="Times New Roman"/>
          <w:sz w:val="17"/>
          <w:szCs w:val="17"/>
          <w:color w:val="auto"/>
        </w:rPr>
        <w:t>In consideration of the agreement by the Underwriters to purchase, offer and sell the Shares, and of other good and valuable consideration the receipt and sufficiency of which is hereby acknowledged, the undersigned agrees that, during the period beginning from the date of this Lock-Up Agreement and continuing to and including the date 180 days after the date of the final</w:t>
      </w:r>
    </w:p>
    <w:p>
      <w:pPr>
        <w:sectPr>
          <w:pgSz w:w="11900" w:h="16838" w:orient="portrait"/>
          <w:cols w:equalWidth="0" w:num="1">
            <w:col w:w="10420"/>
          </w:cols>
          <w:pgMar w:left="740" w:top="260" w:right="739" w:bottom="1440" w:gutter="0" w:footer="0" w:header="0"/>
        </w:sectPr>
      </w:pPr>
    </w:p>
    <w:bookmarkStart w:id="291" w:name="page292"/>
    <w:bookmarkEnd w:id="291"/>
    <w:p>
      <w:pPr>
        <w:spacing w:after="0" w:line="25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prospectus relating to the Public Offering (the “Prospectus”) (such period, the “Lock-Up Period”), the undersigned shall not, and shall not cause or direct any of its affiliates to, (i) offer, sell, contract to sell, pledge, grant any option, right or warrant to purchase, purchase any option or contract to sell, lend or otherwise transfer or dispose of any shares of Common Stock, or any options or warrants to purchase any shares of Common Stock, or any securities convertible into, exchangeable for or that represent the right to receive shares of Common Stock (such shares of Common Stock, options, rights, warrants or other securities, collectively, “Lock-Up Securities”), including without limitation any such Lock-Up Securities now owned or hereafter acquired by the undersigned,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Lock-Up Securities, whether any such transaction or arrangement (or instrument provided for thereunder) would be settled by delivery of Common Stock or other securities, in cash or otherwise (any such sale, loan, pledge or other disposition, or transfer of economic consequences, a “Transfer”), (iii) make any demand for or exercise any right with respect to the registration of any Lock-Up Securities or (iv) otherwise publicly announce any intention to engage in or cause any action, activity, transaction or arrangement described in clause (i), (ii) or (iii) above. The undersigned represents and warrants that the undersigned is not, and has not caused or directed any of its affiliates to be or become, currently a party to any agreement or arrangement that provides for, is designed to or reasonably could be expected to lead to or result in any Transfer during the Lock-Up Period.</w:t>
      </w:r>
    </w:p>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Notwithstanding the foregoing, the undersigned may:</w:t>
      </w:r>
    </w:p>
    <w:p>
      <w:pPr>
        <w:spacing w:after="0" w:line="124" w:lineRule="exact"/>
        <w:rPr>
          <w:sz w:val="20"/>
          <w:szCs w:val="20"/>
          <w:color w:val="auto"/>
        </w:rPr>
      </w:pPr>
    </w:p>
    <w:p>
      <w:pPr>
        <w:ind w:left="920" w:hanging="520"/>
        <w:spacing w:after="0"/>
        <w:tabs>
          <w:tab w:leader="none" w:pos="920"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the undersigned’s Lock-Up Securities</w:t>
      </w:r>
    </w:p>
    <w:p>
      <w:pPr>
        <w:spacing w:after="0" w:line="119" w:lineRule="exact"/>
        <w:rPr>
          <w:rFonts w:ascii="Times New Roman" w:cs="Times New Roman" w:eastAsia="Times New Roman" w:hAnsi="Times New Roman"/>
          <w:sz w:val="17"/>
          <w:szCs w:val="17"/>
          <w:color w:val="auto"/>
        </w:rPr>
      </w:pPr>
    </w:p>
    <w:p>
      <w:pPr>
        <w:ind w:left="1340" w:hanging="416"/>
        <w:spacing w:after="0"/>
        <w:tabs>
          <w:tab w:leader="none" w:pos="1340" w:val="left"/>
        </w:tabs>
        <w:numPr>
          <w:ilvl w:val="1"/>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one or more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gifts or charitable contributions, or for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estate planning purposes;</w:t>
      </w:r>
    </w:p>
    <w:p>
      <w:pPr>
        <w:spacing w:after="0" w:line="127" w:lineRule="exact"/>
        <w:rPr>
          <w:rFonts w:ascii="Times New Roman" w:cs="Times New Roman" w:eastAsia="Times New Roman" w:hAnsi="Times New Roman"/>
          <w:sz w:val="17"/>
          <w:szCs w:val="17"/>
          <w:color w:val="auto"/>
        </w:rPr>
      </w:pPr>
    </w:p>
    <w:p>
      <w:pPr>
        <w:ind w:left="1340" w:hanging="416"/>
        <w:spacing w:after="0"/>
        <w:tabs>
          <w:tab w:leader="none" w:pos="1340" w:val="left"/>
        </w:tabs>
        <w:numPr>
          <w:ilvl w:val="1"/>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death by will, testamentary document or intestate succession;</w:t>
      </w:r>
    </w:p>
    <w:p>
      <w:pPr>
        <w:spacing w:after="0" w:line="123" w:lineRule="exact"/>
        <w:rPr>
          <w:rFonts w:ascii="Times New Roman" w:cs="Times New Roman" w:eastAsia="Times New Roman" w:hAnsi="Times New Roman"/>
          <w:sz w:val="17"/>
          <w:szCs w:val="17"/>
          <w:color w:val="auto"/>
        </w:rPr>
      </w:pPr>
    </w:p>
    <w:p>
      <w:pPr>
        <w:ind w:left="1340" w:right="20" w:hanging="416"/>
        <w:spacing w:after="0" w:line="261" w:lineRule="auto"/>
        <w:tabs>
          <w:tab w:leader="none" w:pos="1340" w:val="left"/>
        </w:tabs>
        <w:numPr>
          <w:ilvl w:val="1"/>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undersigned is a natural person, to any member of the undersigned’s immediate family (for purposes of this Lock-Up Agreement, “immediate family” shall mean any relationship by blood, current or former marriage, domestic partnership or adoption, not more remote than first cousin) or to any trust for the direct or indirect benefit of the undersigned or the immediate family of the undersigned or, if the undersigned is a trust, to a trustor or beneficiary of the trust or the estate of a beneficiary of such trust;</w:t>
      </w:r>
    </w:p>
    <w:p>
      <w:pPr>
        <w:spacing w:after="0" w:line="82" w:lineRule="exact"/>
        <w:rPr>
          <w:rFonts w:ascii="Times New Roman" w:cs="Times New Roman" w:eastAsia="Times New Roman" w:hAnsi="Times New Roman"/>
          <w:sz w:val="17"/>
          <w:szCs w:val="17"/>
          <w:color w:val="auto"/>
        </w:rPr>
      </w:pPr>
    </w:p>
    <w:p>
      <w:pPr>
        <w:ind w:left="1340" w:right="60" w:hanging="416"/>
        <w:spacing w:after="0" w:line="283" w:lineRule="auto"/>
        <w:tabs>
          <w:tab w:leader="none" w:pos="1340" w:val="left"/>
        </w:tabs>
        <w:numPr>
          <w:ilvl w:val="1"/>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 partnership, limited liability company or other entity of which the undersigned and the immediate family of the undersigned are the legal and beneficial owner of all of the outstanding equity securities or similar interests;</w:t>
      </w:r>
    </w:p>
    <w:p>
      <w:pPr>
        <w:spacing w:after="0" w:line="62" w:lineRule="exact"/>
        <w:rPr>
          <w:rFonts w:ascii="Times New Roman" w:cs="Times New Roman" w:eastAsia="Times New Roman" w:hAnsi="Times New Roman"/>
          <w:sz w:val="17"/>
          <w:szCs w:val="17"/>
          <w:color w:val="auto"/>
        </w:rPr>
      </w:pPr>
    </w:p>
    <w:p>
      <w:pPr>
        <w:ind w:left="1340" w:right="140" w:hanging="416"/>
        <w:spacing w:after="0" w:line="283" w:lineRule="auto"/>
        <w:tabs>
          <w:tab w:leader="none" w:pos="1340" w:val="left"/>
        </w:tabs>
        <w:numPr>
          <w:ilvl w:val="1"/>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 nominee or custodian of a person or entity to whom a disposition or transfer would be permissible under clauses (a)(i) through (iv) above;</w:t>
      </w:r>
    </w:p>
    <w:p>
      <w:pPr>
        <w:spacing w:after="0" w:line="62" w:lineRule="exact"/>
        <w:rPr>
          <w:rFonts w:ascii="Times New Roman" w:cs="Times New Roman" w:eastAsia="Times New Roman" w:hAnsi="Times New Roman"/>
          <w:sz w:val="17"/>
          <w:szCs w:val="17"/>
          <w:color w:val="auto"/>
        </w:rPr>
      </w:pPr>
    </w:p>
    <w:p>
      <w:pPr>
        <w:ind w:left="1340" w:right="520" w:hanging="416"/>
        <w:spacing w:after="0" w:line="315" w:lineRule="auto"/>
        <w:tabs>
          <w:tab w:leader="none" w:pos="1340" w:val="left"/>
        </w:tabs>
        <w:numPr>
          <w:ilvl w:val="1"/>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undersigned is a corporation, partnership, limited liability company or other business entity, (A) to another corporation, partnership, limited liability company or other business entity that is an affiliate (as defined in Rule 405 under the</w:t>
      </w:r>
    </w:p>
    <w:p>
      <w:pPr>
        <w:sectPr>
          <w:pgSz w:w="11900" w:h="16838" w:orient="portrait"/>
          <w:cols w:equalWidth="0" w:num="1">
            <w:col w:w="10380"/>
          </w:cols>
          <w:pgMar w:left="740" w:top="264" w:right="779" w:bottom="1440" w:gutter="0" w:footer="0" w:header="0"/>
        </w:sectPr>
      </w:pPr>
    </w:p>
    <w:bookmarkStart w:id="292" w:name="page293"/>
    <w:bookmarkEnd w:id="292"/>
    <w:p>
      <w:pPr>
        <w:ind w:left="640" w:right="2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Securities Act of 1933, as amended) of the undersigned, or to any investment fund or other entity controlled or managed by the undersigned or affiliates of the undersigned, or (B) as part of a distribution by the undersigned to its stockholders, partners, members or other equityholders or to the estate of any such stockholders, partners, members or other equityholders;</w:t>
      </w:r>
    </w:p>
    <w:p>
      <w:pPr>
        <w:spacing w:after="0" w:line="76" w:lineRule="exact"/>
        <w:rPr>
          <w:sz w:val="20"/>
          <w:szCs w:val="20"/>
          <w:color w:val="auto"/>
        </w:rPr>
      </w:pPr>
    </w:p>
    <w:p>
      <w:pPr>
        <w:ind w:left="640" w:hanging="416"/>
        <w:spacing w:after="0"/>
        <w:tabs>
          <w:tab w:leader="none" w:pos="64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operation of law, such as pursuant to a qualified domestic order, divorce settlement, divorce decree or separation agreement;</w:t>
      </w:r>
    </w:p>
    <w:p>
      <w:pPr>
        <w:spacing w:after="0" w:line="123" w:lineRule="exact"/>
        <w:rPr>
          <w:rFonts w:ascii="Times New Roman" w:cs="Times New Roman" w:eastAsia="Times New Roman" w:hAnsi="Times New Roman"/>
          <w:sz w:val="17"/>
          <w:szCs w:val="17"/>
          <w:color w:val="auto"/>
        </w:rPr>
      </w:pPr>
    </w:p>
    <w:p>
      <w:pPr>
        <w:ind w:left="640" w:hanging="416"/>
        <w:spacing w:after="0" w:line="255" w:lineRule="auto"/>
        <w:tabs>
          <w:tab w:leader="none" w:pos="64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Company (A) from an employee of the Company upon death, disability or termination of employment, in each case, of such employee or (B) pursuant to any contractual arrangement described in the Prospectus or in an exhibit filed with the registration statement related to the Public Offering that provides for the repurchase of shares of Common Stock in connection with the termination of the undersigned’s employment with or service to the Company; provided that in the case of clause (B), that no public filing, report or announcement reporting a reduction in beneficial ownership of shares of Common Stock shall be required or shall be voluntarily made during the Lock-Up Period within 60 days after the date the undersigned ceases to provide services to the Company, and after such 60th day, if the undersigned is required to file a report reporting a reduction in beneficial ownership of shares of Common Stock during the Lock-Up Period, such report or filing shall clearly indicate in the footnotes thereto that the filing relates to the circumstances described in this clause and no public filing, report or announcement shall be voluntarily made;</w:t>
      </w:r>
    </w:p>
    <w:p>
      <w:pPr>
        <w:spacing w:after="0" w:line="85" w:lineRule="exact"/>
        <w:rPr>
          <w:rFonts w:ascii="Times New Roman" w:cs="Times New Roman" w:eastAsia="Times New Roman" w:hAnsi="Times New Roman"/>
          <w:sz w:val="17"/>
          <w:szCs w:val="17"/>
          <w:color w:val="auto"/>
        </w:rPr>
      </w:pPr>
    </w:p>
    <w:p>
      <w:pPr>
        <w:ind w:left="640" w:right="300" w:hanging="416"/>
        <w:spacing w:after="0" w:line="267" w:lineRule="auto"/>
        <w:tabs>
          <w:tab w:leader="none" w:pos="64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undersigned is not an officer or director of the Company, in connection with a sale of the undersigned’s shares of Common Stock acquired (A) from the Underwriters in the Public Offering or (B) in open market transactions after the closing date of the Public Offering;</w:t>
      </w:r>
    </w:p>
    <w:p>
      <w:pPr>
        <w:spacing w:after="0" w:line="75" w:lineRule="exact"/>
        <w:rPr>
          <w:rFonts w:ascii="Times New Roman" w:cs="Times New Roman" w:eastAsia="Times New Roman" w:hAnsi="Times New Roman"/>
          <w:sz w:val="17"/>
          <w:szCs w:val="17"/>
          <w:color w:val="auto"/>
        </w:rPr>
      </w:pPr>
    </w:p>
    <w:p>
      <w:pPr>
        <w:ind w:left="640" w:right="100" w:hanging="416"/>
        <w:spacing w:after="0" w:line="255" w:lineRule="auto"/>
        <w:tabs>
          <w:tab w:leader="none" w:pos="64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Company in connection with the vesting, settlement or exercise of restricted stock units, options, warrants or other rights to purchase shares of Common Stock (including, in each case, by way of “net” or “cashless” exercise), including any transfer to the Company for the payment of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 other equity award plan, or pursuant to the terms of convertible securities, each as described in the Registration Statement, the preliminary prospectus relating to the Shares included in the Registration Statement immediately prior to the time the Underwriting Agreement is executed and the Prospectus, provided that any securities received upon such vesting, settlement, exercise or conversion shall be subject to the terms of this Lock-Up Agreement; or</w:t>
      </w:r>
    </w:p>
    <w:p>
      <w:pPr>
        <w:spacing w:after="0" w:line="85" w:lineRule="exact"/>
        <w:rPr>
          <w:rFonts w:ascii="Times New Roman" w:cs="Times New Roman" w:eastAsia="Times New Roman" w:hAnsi="Times New Roman"/>
          <w:sz w:val="17"/>
          <w:szCs w:val="17"/>
          <w:color w:val="auto"/>
        </w:rPr>
      </w:pPr>
    </w:p>
    <w:p>
      <w:pPr>
        <w:ind w:left="640" w:right="680" w:hanging="416"/>
        <w:spacing w:after="0" w:line="283" w:lineRule="auto"/>
        <w:tabs>
          <w:tab w:leader="none" w:pos="64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prior written consent of Goldman Sachs &amp; Co. LLC, Leerink Partners LLC, Piper Sandler &amp; Co. and Guggenheim Securities, LLC on behalf of the Underwriters;</w:t>
      </w:r>
    </w:p>
    <w:p>
      <w:pPr>
        <w:spacing w:after="0" w:line="50" w:lineRule="exact"/>
        <w:rPr>
          <w:sz w:val="20"/>
          <w:szCs w:val="20"/>
          <w:color w:val="auto"/>
        </w:rPr>
      </w:pPr>
    </w:p>
    <w:p>
      <w:pPr>
        <w:ind w:left="220" w:right="80"/>
        <w:spacing w:after="0" w:line="283" w:lineRule="auto"/>
        <w:rPr>
          <w:sz w:val="20"/>
          <w:szCs w:val="20"/>
          <w:color w:val="auto"/>
        </w:rPr>
      </w:pPr>
      <w:r>
        <w:rPr>
          <w:rFonts w:ascii="Times New Roman" w:cs="Times New Roman" w:eastAsia="Times New Roman" w:hAnsi="Times New Roman"/>
          <w:sz w:val="17"/>
          <w:szCs w:val="17"/>
          <w:color w:val="auto"/>
        </w:rPr>
        <w:t>provided that (A) in the case of clauses (a)(i), (ii), (iii), (iv), (v) and (vi) above, such transfer or distribution shall not involve a disposition for value, (B) in the case of clauses (a)(i), (ii), (iii), (iv), (v), (vi) and (vii) above, it shall be a condition to the transfer or</w:t>
      </w:r>
    </w:p>
    <w:p>
      <w:pPr>
        <w:sectPr>
          <w:pgSz w:w="11900" w:h="16838" w:orient="portrait"/>
          <w:cols w:equalWidth="0" w:num="1">
            <w:col w:w="9700"/>
          </w:cols>
          <w:pgMar w:left="1440" w:top="264" w:right="759" w:bottom="1440" w:gutter="0" w:footer="0" w:header="0"/>
        </w:sectPr>
      </w:pPr>
    </w:p>
    <w:bookmarkStart w:id="293" w:name="page294"/>
    <w:bookmarkEnd w:id="293"/>
    <w:p>
      <w:pPr>
        <w:ind w:left="1340" w:right="20"/>
        <w:spacing w:after="0" w:line="25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distribution that the donee, devisee, transferee or distributee, as the case may be, shall sign and deliver a lock-up agreement in the form of this Lock-Up Agreement, (C) in the case of clauses (a)(iv), and (vi) above, no filing by any party (including, without limitation, any devisee, transferor, transferee, distributor or distributee) under the Securities Exchange Act of 1934, as amended (the “Exchange Act”), or other public filing, report or announcement reporting a reduction in beneficial ownership of Lock-Up Securities shall be required or shall be voluntarily made in connection with such transfer or distribution, and (D) in the case of clauses (a)(i), (ii), (iii), (v), (vii), (viii), (ix) and (x) 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the circumstances of such transfer or distribution;</w:t>
      </w:r>
    </w:p>
    <w:p>
      <w:pPr>
        <w:spacing w:after="0" w:line="89" w:lineRule="exact"/>
        <w:rPr>
          <w:sz w:val="20"/>
          <w:szCs w:val="20"/>
          <w:color w:val="auto"/>
        </w:rPr>
      </w:pPr>
    </w:p>
    <w:p>
      <w:pPr>
        <w:ind w:left="1340" w:right="60" w:hanging="416"/>
        <w:spacing w:after="0" w:line="256" w:lineRule="auto"/>
        <w:tabs>
          <w:tab w:leader="none" w:pos="1340"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 written plan meeting the requirements of Rule 10b5-1 under the Exchange Act relating to the transfer, sale or other disposition of the undersigned’s Lock-Up Securities, if then permitted by the Company, provided that none of the Lock-Up Securities subject to such plan may be transferred, sold or otherwise disposed of until after the expiration of the Lock-Up Period and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the circumstances of the establishment of such plan and such filing or public announcement shall clearly indicate that no transfers under such trading plans will take place during the Lock-Up Period;</w:t>
      </w:r>
    </w:p>
    <w:p>
      <w:pPr>
        <w:spacing w:after="0" w:line="86" w:lineRule="exact"/>
        <w:rPr>
          <w:rFonts w:ascii="Times New Roman" w:cs="Times New Roman" w:eastAsia="Times New Roman" w:hAnsi="Times New Roman"/>
          <w:sz w:val="17"/>
          <w:szCs w:val="17"/>
          <w:color w:val="auto"/>
        </w:rPr>
      </w:pPr>
    </w:p>
    <w:p>
      <w:pPr>
        <w:ind w:left="1340" w:right="20" w:hanging="416"/>
        <w:spacing w:after="0" w:line="255" w:lineRule="auto"/>
        <w:tabs>
          <w:tab w:leader="none" w:pos="1340"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the undersigned’s Lock-Up Securities pursuant to a bona fide third-party tender offer, merger, consolidation or other similar transaction that is approved by the Board of Directors of the Company and made to all holders of the Company’s capital stock involving a Change of Control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provided that in the event that such tender offer, merger, consolidation or other similar transaction is not completed, the undersigned’s Lock-Up Securities shall remain subject to the provisions of this Lock-Up Agreement; and</w:t>
      </w:r>
    </w:p>
    <w:p>
      <w:pPr>
        <w:spacing w:after="0" w:line="88" w:lineRule="exact"/>
        <w:rPr>
          <w:rFonts w:ascii="Times New Roman" w:cs="Times New Roman" w:eastAsia="Times New Roman" w:hAnsi="Times New Roman"/>
          <w:sz w:val="17"/>
          <w:szCs w:val="17"/>
          <w:color w:val="auto"/>
        </w:rPr>
      </w:pPr>
    </w:p>
    <w:p>
      <w:pPr>
        <w:ind w:left="1340" w:hanging="416"/>
        <w:spacing w:after="0" w:line="283" w:lineRule="auto"/>
        <w:tabs>
          <w:tab w:leader="none" w:pos="1340"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convert outstanding preferred stock of the Company into shares of Common Stock, provided that any such shares received upon such conversion shall remain subject to the provisions of this Lock-Up Agreement.</w:t>
      </w:r>
    </w:p>
    <w:p>
      <w:pPr>
        <w:spacing w:after="0" w:line="152" w:lineRule="exact"/>
        <w:rPr>
          <w:sz w:val="20"/>
          <w:szCs w:val="20"/>
          <w:color w:val="auto"/>
        </w:rPr>
      </w:pPr>
    </w:p>
    <w:p>
      <w:pPr>
        <w:ind w:right="20" w:firstLine="417"/>
        <w:spacing w:after="0" w:line="283" w:lineRule="auto"/>
        <w:rPr>
          <w:sz w:val="20"/>
          <w:szCs w:val="20"/>
          <w:color w:val="auto"/>
        </w:rPr>
      </w:pPr>
      <w:r>
        <w:rPr>
          <w:rFonts w:ascii="Times New Roman" w:cs="Times New Roman" w:eastAsia="Times New Roman" w:hAnsi="Times New Roman"/>
          <w:sz w:val="17"/>
          <w:szCs w:val="17"/>
          <w:color w:val="auto"/>
        </w:rPr>
        <w:t>If the undersigned is an officer or director of the Company, the undersigned further agrees that the foregoing provisions shall be equally applicable to any issuer-directed or other Shares the undersigned may purchase in the Public Offering.</w:t>
      </w:r>
    </w:p>
    <w:p>
      <w:pPr>
        <w:spacing w:after="0" w:line="152" w:lineRule="exact"/>
        <w:rPr>
          <w:sz w:val="20"/>
          <w:szCs w:val="20"/>
          <w:color w:val="auto"/>
        </w:rPr>
      </w:pPr>
    </w:p>
    <w:p>
      <w:pPr>
        <w:jc w:val="both"/>
        <w:ind w:right="360" w:firstLine="417"/>
        <w:spacing w:after="0" w:line="261" w:lineRule="auto"/>
        <w:rPr>
          <w:sz w:val="20"/>
          <w:szCs w:val="20"/>
          <w:color w:val="auto"/>
        </w:rPr>
      </w:pPr>
      <w:r>
        <w:rPr>
          <w:rFonts w:ascii="Times New Roman" w:cs="Times New Roman" w:eastAsia="Times New Roman" w:hAnsi="Times New Roman"/>
          <w:sz w:val="17"/>
          <w:szCs w:val="17"/>
          <w:color w:val="auto"/>
        </w:rPr>
        <w:t>If the undersigned is not a natural person, the undersigned represents and warrants that no single natural person, entity or “group” (within the meaning of Section 13(d)(3) of the Exchange Act), other than a natural person, entity or “group” (as described above) that has executed a Lock-Up Agreement in substantially the same form as this Lock-Up Agreement, beneficially owns, directly or indirectly, 50% or more of the common equity interests, or 50% or more of the voting power, in the undersigned.</w:t>
      </w:r>
    </w:p>
    <w:p>
      <w:pPr>
        <w:sectPr>
          <w:pgSz w:w="11900" w:h="16838" w:orient="portrait"/>
          <w:cols w:equalWidth="0" w:num="1">
            <w:col w:w="10420"/>
          </w:cols>
          <w:pgMar w:left="740" w:top="264" w:right="739" w:bottom="1440" w:gutter="0" w:footer="0" w:header="0"/>
        </w:sectPr>
      </w:pPr>
    </w:p>
    <w:bookmarkStart w:id="294" w:name="page295"/>
    <w:bookmarkEnd w:id="294"/>
    <w:p>
      <w:pPr>
        <w:ind w:right="60" w:firstLine="417"/>
        <w:spacing w:after="0" w:line="25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If the undersigned is an officer or director of the Company, (i) Goldman Sachs &amp; Co. LLC, Leerink Partners LLC, Piper Sandler &amp; Co. and Guggenheim Securities, LLC agree that, at least three business days before the effective date of any release or waiver of the foregoing restrictions in connection with a transfer of shares of Common Stock, Goldman Sachs &amp; Co. LLC, Leerink Partners LLC, Piper Sandler &amp; Co. and Guggenheim Securities, LLC will notify the Company of the impending release or waiver, and (ii) the Company has agreed in the Underwriting Agreement to announce the impending release or waiver by press release through a major news service (or such other method approved by Goldman Sachs &amp; Co. LLC, Leerink Partners LLC, Piper Sandler &amp; Co. and Guggenheim Securities, LLC that satisfies the requirements of FINRA Rule 5131(d)(2)) at least two business days before the effective date of the release or waiver. Any release or waiver granted by Goldman Sachs &amp; Co. LLC, Leerink Partners LLC, Piper Sandler &amp; Co. and Guggenheim Securities, LLC hereunder to any such officer or director shall only be effective two business days after the publication date of such press release. The provisions of this paragraph will not apply if (i) the release or waiver is effected solely to permit a transfer not for consideration or that is to an immediate family member as defined in FINRA Rule 5130(i)(5) and (ii) the transferee has agreed in writing to be bound by the same terms described in this Lock-Up Agreement to the extent and for the duration that such terms remain in effect at the time of the transfer.</w:t>
      </w:r>
    </w:p>
    <w:p>
      <w:pPr>
        <w:spacing w:after="0" w:line="185" w:lineRule="exact"/>
        <w:rPr>
          <w:sz w:val="20"/>
          <w:szCs w:val="20"/>
          <w:color w:val="auto"/>
        </w:rPr>
      </w:pPr>
    </w:p>
    <w:p>
      <w:pPr>
        <w:jc w:val="both"/>
        <w:ind w:right="100" w:firstLine="417"/>
        <w:spacing w:after="0" w:line="261" w:lineRule="auto"/>
        <w:rPr>
          <w:sz w:val="20"/>
          <w:szCs w:val="20"/>
          <w:color w:val="auto"/>
        </w:rPr>
      </w:pPr>
      <w:r>
        <w:rPr>
          <w:rFonts w:ascii="Times New Roman" w:cs="Times New Roman" w:eastAsia="Times New Roman" w:hAnsi="Times New Roman"/>
          <w:sz w:val="17"/>
          <w:szCs w:val="17"/>
          <w:color w:val="auto"/>
        </w:rPr>
        <w:t>The undersigned now has, and, except as contemplated by clauses (a) and (c) of the third paragraph of this Lock-Up Agreement, for the duration of this Lock-Up Agreement will have, good and marketable title to the undersigned’s Lock-Up Securities, free and clear of all liens, encumbrances and claims whatsoever. The undersigned also agrees and consents to the entry of stop transfer instructions with the Company’s transfer agent and registrar against the transfer of the undersigned’s Lock-Up Securities except in compliance with the foregoing restrictions.</w:t>
      </w:r>
    </w:p>
    <w:p>
      <w:pPr>
        <w:spacing w:after="0" w:line="172" w:lineRule="exact"/>
        <w:rPr>
          <w:sz w:val="20"/>
          <w:szCs w:val="20"/>
          <w:color w:val="auto"/>
        </w:rPr>
      </w:pPr>
    </w:p>
    <w:p>
      <w:pPr>
        <w:ind w:right="40" w:firstLine="417"/>
        <w:spacing w:after="0" w:line="255" w:lineRule="auto"/>
        <w:rPr>
          <w:sz w:val="20"/>
          <w:szCs w:val="20"/>
          <w:color w:val="auto"/>
        </w:rPr>
      </w:pPr>
      <w:r>
        <w:rPr>
          <w:rFonts w:ascii="Times New Roman" w:cs="Times New Roman" w:eastAsia="Times New Roman" w:hAnsi="Times New Roman"/>
          <w:sz w:val="17"/>
          <w:szCs w:val="17"/>
          <w:color w:val="auto"/>
        </w:rPr>
        <w:t>The undersigned acknowledges and agrees that none of the Underwriters has made any recommendation or provided any investment or other advice to the undersigned with respect to this Lock-Up Agreement or the subject matter hereof, and the undersigned has consulted its own legal, accounting, financial, regulatory, tax and other advisors with respect to this Lock-Up Agreement and the subject matter hereof to the extent the undersigned has deemed appropriate. The undersigned further acknowledges and agrees that, although the Underwriters may have provided or hereafter provide to the undersigned in connection with the Public Offering a Form CRS and/or certain other disclosures as contemplated by Regulation Best Interest, the Underwriters have not made and are not making a recommendation to the undersigned to enter into this Lock-Up Agreement or to transfer, sell or dispose of, or to refrain from transferring, selling or disposing of, any shares of Common Stock, and nothing set forth in such disclosures or herein is intended to suggest that any Underwriter is making such a recommendation.</w:t>
      </w:r>
    </w:p>
    <w:p>
      <w:pPr>
        <w:spacing w:after="0" w:line="178" w:lineRule="exact"/>
        <w:rPr>
          <w:sz w:val="20"/>
          <w:szCs w:val="20"/>
          <w:color w:val="auto"/>
        </w:rPr>
      </w:pPr>
    </w:p>
    <w:p>
      <w:pPr>
        <w:ind w:firstLine="417"/>
        <w:spacing w:after="0" w:line="256" w:lineRule="auto"/>
        <w:rPr>
          <w:sz w:val="20"/>
          <w:szCs w:val="20"/>
          <w:color w:val="auto"/>
        </w:rPr>
      </w:pPr>
      <w:r>
        <w:rPr>
          <w:rFonts w:ascii="Times New Roman" w:cs="Times New Roman" w:eastAsia="Times New Roman" w:hAnsi="Times New Roman"/>
          <w:sz w:val="17"/>
          <w:szCs w:val="17"/>
          <w:color w:val="auto"/>
        </w:rPr>
        <w:t>This Lock-Up Agreement shall automatically terminate and the undersigned shall be released from all of his, her or its obligations hereunder upon the earlier of (i) the date on which the Registration Statement filed with the SEC with respect to the Public Offering is withdrawn, (ii) the date on which for any reason the Underwriting Agreement is terminated (other than the provisions thereof that survive termination) prior to payment for and delivery of the Shares to be sold thereunder (other than pursuant to the Underwriters’ option thereunder to purchase additional Shares), (iii) the date on which the Company notifies the Representatives, in writing and prior to the execution of the Underwriting Agreement, that it does not intend to proceed with the Public Offering and (iv) February 29, 2024, in the event that the Underwriting Agreement has not been executed by such date (provided, however, that the Company may, by written notice to the undersigned prior to such date, extend such date by a period of up to an additional 90 days).</w:t>
      </w:r>
    </w:p>
    <w:p>
      <w:pPr>
        <w:sectPr>
          <w:pgSz w:w="11900" w:h="16838" w:orient="portrait"/>
          <w:cols w:equalWidth="0" w:num="1">
            <w:col w:w="10380"/>
          </w:cols>
          <w:pgMar w:left="740" w:top="264" w:right="779" w:bottom="1440" w:gutter="0" w:footer="0" w:header="0"/>
        </w:sectPr>
      </w:pPr>
    </w:p>
    <w:bookmarkStart w:id="295" w:name="page296"/>
    <w:bookmarkEnd w:id="295"/>
    <w:p>
      <w:pPr>
        <w:ind w:firstLine="417"/>
        <w:spacing w:after="0" w:line="25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The undersigned understands that the Company and the Underwriters are relying upon this Lock-Up Agreement in proceeding toward consummation of the Public Offering. The undersigned further understands that this Lock-Up Agreement is irrevocable and shall be binding upon the undersigned’s heirs, legal representatives, successors and assigns. The undersigned hereby represents and warrants that the undersigned has full power and authority to enter into this Lock-Up Agreement. This Lock-Up Agreement shall be governed by, and construed in accordance with, the laws of the State of New York, without regard to principles of conflict of laws that would result in the application of any law other than the laws of the State of New York. This Lock-Up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ectPr>
          <w:pgSz w:w="11900" w:h="16838" w:orient="portrait"/>
          <w:cols w:equalWidth="0" w:num="1">
            <w:col w:w="10380"/>
          </w:cols>
          <w:pgMar w:left="740" w:top="264" w:right="77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Very truly yours,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15875</wp:posOffset>
            </wp:positionV>
            <wp:extent cx="245808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9">
                      <a:extLst>
                        <a:ext uri="{28A0092B-C50C-407E-A947-70E740481C1C}"/>
                      </a:extLst>
                    </a:blip>
                    <a:srcRect/>
                    <a:stretch>
                      <a:fillRect/>
                    </a:stretch>
                  </pic:blipFill>
                  <pic:spPr bwMode="auto">
                    <a:xfrm>
                      <a:off x="0" y="0"/>
                      <a:ext cx="2458085" cy="8255"/>
                    </a:xfrm>
                    <a:prstGeom prst="rect">
                      <a:avLst/>
                    </a:prstGeom>
                    <a:noFill/>
                  </pic:spPr>
                </pic:pic>
              </a:graphicData>
            </a:graphic>
          </wp:anchor>
        </w:drawing>
      </w:r>
    </w:p>
    <w:p>
      <w:pPr>
        <w:spacing w:after="0" w:line="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i w:val="1"/>
          <w:iCs w:val="1"/>
          <w:color w:val="auto"/>
        </w:rPr>
        <w:t>(duly authorized signature)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15875</wp:posOffset>
            </wp:positionV>
            <wp:extent cx="230441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0">
                      <a:extLst>
                        <a:ext uri="{28A0092B-C50C-407E-A947-70E740481C1C}"/>
                      </a:extLst>
                    </a:blip>
                    <a:srcRect/>
                    <a:stretch>
                      <a:fillRect/>
                    </a:stretch>
                  </pic:blipFill>
                  <pic:spPr bwMode="auto">
                    <a:xfrm>
                      <a:off x="0" y="0"/>
                      <a:ext cx="2304415" cy="8255"/>
                    </a:xfrm>
                    <a:prstGeom prst="rect">
                      <a:avLst/>
                    </a:prstGeom>
                    <a:noFill/>
                  </pic:spPr>
                </pic:pic>
              </a:graphicData>
            </a:graphic>
          </wp:anchor>
        </w:drawing>
      </w:r>
    </w:p>
    <w:p>
      <w:pPr>
        <w:spacing w:after="0" w:line="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(please print full name)</w:t>
      </w:r>
    </w:p>
    <w:p>
      <w:pPr>
        <w:sectPr>
          <w:pgSz w:w="11900" w:h="16838" w:orient="portrait"/>
          <w:cols w:equalWidth="0" w:num="1">
            <w:col w:w="9719"/>
          </w:cols>
          <w:pgMar w:left="740" w:top="264" w:right="1440" w:bottom="1440" w:gutter="0" w:footer="0" w:header="0"/>
        </w:sectPr>
      </w:pPr>
    </w:p>
    <w:bookmarkStart w:id="297" w:name="page298"/>
    <w:bookmarkEnd w:id="297"/>
    <w:p>
      <w:pPr>
        <w:jc w:val="right"/>
        <w:spacing w:after="0"/>
        <w:rPr>
          <w:sz w:val="20"/>
          <w:szCs w:val="20"/>
          <w:color w:val="auto"/>
        </w:rPr>
      </w:pPr>
      <w:r>
        <w:rPr>
          <w:rFonts w:ascii="Times New Roman" w:cs="Times New Roman" w:eastAsia="Times New Roman" w:hAnsi="Times New Roman"/>
          <w:sz w:val="17"/>
          <w:szCs w:val="17"/>
          <w:b w:val="1"/>
          <w:bCs w:val="1"/>
          <w:color w:val="auto"/>
        </w:rPr>
        <w:t>Exhibit 3.1</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BOUNDLESS BIO, INC.</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Sections 242 and 245 of the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General Corporation Law of the State of Delaware)</w:t>
      </w:r>
    </w:p>
    <w:p>
      <w:pPr>
        <w:spacing w:after="0" w:line="196" w:lineRule="exact"/>
        <w:rPr>
          <w:sz w:val="20"/>
          <w:szCs w:val="20"/>
          <w:color w:val="auto"/>
        </w:rPr>
      </w:pPr>
    </w:p>
    <w:p>
      <w:pPr>
        <w:ind w:right="320" w:firstLine="417"/>
        <w:spacing w:after="0" w:line="283" w:lineRule="auto"/>
        <w:rPr>
          <w:sz w:val="20"/>
          <w:szCs w:val="20"/>
          <w:color w:val="auto"/>
        </w:rPr>
      </w:pPr>
      <w:r>
        <w:rPr>
          <w:rFonts w:ascii="Times New Roman" w:cs="Times New Roman" w:eastAsia="Times New Roman" w:hAnsi="Times New Roman"/>
          <w:sz w:val="17"/>
          <w:szCs w:val="17"/>
          <w:color w:val="auto"/>
        </w:rPr>
        <w:t>Boundless Bio, Inc., a corporation organized and existing under and by virtue of the provisions of the General Corporation Law of the State of Delaware (the “</w:t>
      </w:r>
      <w:r>
        <w:rPr>
          <w:rFonts w:ascii="Times New Roman" w:cs="Times New Roman" w:eastAsia="Times New Roman" w:hAnsi="Times New Roman"/>
          <w:sz w:val="17"/>
          <w:szCs w:val="17"/>
          <w:b w:val="1"/>
          <w:bCs w:val="1"/>
          <w:color w:val="auto"/>
        </w:rPr>
        <w:t>General Corporation Law</w:t>
      </w:r>
      <w:r>
        <w:rPr>
          <w:rFonts w:ascii="Times New Roman" w:cs="Times New Roman" w:eastAsia="Times New Roman" w:hAnsi="Times New Roman"/>
          <w:sz w:val="17"/>
          <w:szCs w:val="17"/>
          <w:color w:val="auto"/>
        </w:rPr>
        <w:t>”),</w:t>
      </w:r>
    </w:p>
    <w:p>
      <w:pPr>
        <w:spacing w:after="0" w:line="1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DOES HEREBY CERTIFY:</w:t>
      </w:r>
    </w:p>
    <w:p>
      <w:pPr>
        <w:spacing w:after="0" w:line="115" w:lineRule="exact"/>
        <w:rPr>
          <w:sz w:val="20"/>
          <w:szCs w:val="20"/>
          <w:color w:val="auto"/>
        </w:rPr>
      </w:pPr>
    </w:p>
    <w:p>
      <w:pPr>
        <w:ind w:right="200" w:firstLine="929"/>
        <w:spacing w:after="0" w:line="283" w:lineRule="auto"/>
        <w:tabs>
          <w:tab w:leader="none" w:pos="1109" w:val="left"/>
        </w:tabs>
        <w:numPr>
          <w:ilvl w:val="0"/>
          <w:numId w:val="1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That the name of this corporation is Boundless Bio, Inc., and that this corporation was originally incorporated pursuant to the General Corporation Law on April 10, 2018 under the name Pretzel Therapeutics, Inc.</w:t>
      </w:r>
    </w:p>
    <w:p>
      <w:pPr>
        <w:spacing w:after="0" w:line="152" w:lineRule="exact"/>
        <w:rPr>
          <w:rFonts w:ascii="Times New Roman" w:cs="Times New Roman" w:eastAsia="Times New Roman" w:hAnsi="Times New Roman"/>
          <w:sz w:val="17"/>
          <w:szCs w:val="17"/>
          <w:b w:val="1"/>
          <w:bCs w:val="1"/>
          <w:color w:val="auto"/>
        </w:rPr>
      </w:pPr>
    </w:p>
    <w:p>
      <w:pPr>
        <w:ind w:right="40" w:firstLine="929"/>
        <w:spacing w:after="0" w:line="261" w:lineRule="auto"/>
        <w:tabs>
          <w:tab w:leader="none" w:pos="1109" w:val="left"/>
        </w:tabs>
        <w:numPr>
          <w:ilvl w:val="0"/>
          <w:numId w:val="1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That the Board of Directors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b w:val="1"/>
          <w:bCs w:val="1"/>
          <w:color w:val="auto"/>
        </w:rPr>
        <w:t>RESOLVED</w:t>
      </w:r>
      <w:r>
        <w:rPr>
          <w:rFonts w:ascii="Times New Roman" w:cs="Times New Roman" w:eastAsia="Times New Roman" w:hAnsi="Times New Roman"/>
          <w:sz w:val="17"/>
          <w:szCs w:val="17"/>
          <w:color w:val="auto"/>
        </w:rPr>
        <w:t>, that the Certificate of Incorporation of this corporation be amended and restated in its entirety to read as follows:</w:t>
      </w:r>
    </w:p>
    <w:p>
      <w:pPr>
        <w:spacing w:after="0" w:line="21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b w:val="1"/>
          <w:bCs w:val="1"/>
          <w:color w:val="auto"/>
        </w:rPr>
        <w:t xml:space="preserve">FIRST: </w:t>
      </w:r>
      <w:r>
        <w:rPr>
          <w:rFonts w:ascii="Times New Roman" w:cs="Times New Roman" w:eastAsia="Times New Roman" w:hAnsi="Times New Roman"/>
          <w:sz w:val="17"/>
          <w:szCs w:val="17"/>
          <w:color w:val="auto"/>
        </w:rPr>
        <w:t>The name of this corporation is Boundless Bio, Inc.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ind w:right="780" w:firstLine="938"/>
        <w:spacing w:after="0" w:line="288" w:lineRule="auto"/>
        <w:rPr>
          <w:sz w:val="20"/>
          <w:szCs w:val="20"/>
          <w:color w:val="auto"/>
        </w:rPr>
      </w:pPr>
      <w:r>
        <w:rPr>
          <w:rFonts w:ascii="Times New Roman" w:cs="Times New Roman" w:eastAsia="Times New Roman" w:hAnsi="Times New Roman"/>
          <w:sz w:val="17"/>
          <w:szCs w:val="17"/>
          <w:b w:val="1"/>
          <w:bCs w:val="1"/>
          <w:color w:val="auto"/>
        </w:rPr>
        <w:t xml:space="preserve">SECOND: </w:t>
      </w:r>
      <w:r>
        <w:rPr>
          <w:rFonts w:ascii="Times New Roman" w:cs="Times New Roman" w:eastAsia="Times New Roman" w:hAnsi="Times New Roman"/>
          <w:sz w:val="17"/>
          <w:szCs w:val="17"/>
          <w:color w:val="auto"/>
        </w:rPr>
        <w:t>The address of the registered office of the Corporation in the State of Delaware is 1209 Orange Street, in the City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Wilmington, County of New Castle 19801. The name of its registered agent at such address is The Corporation Trust Company.</w:t>
      </w:r>
    </w:p>
    <w:p>
      <w:pPr>
        <w:spacing w:after="0" w:line="144" w:lineRule="exact"/>
        <w:rPr>
          <w:sz w:val="20"/>
          <w:szCs w:val="20"/>
          <w:color w:val="auto"/>
        </w:rPr>
      </w:pPr>
    </w:p>
    <w:p>
      <w:pPr>
        <w:ind w:right="740" w:firstLine="938"/>
        <w:spacing w:after="0" w:line="288" w:lineRule="auto"/>
        <w:rPr>
          <w:sz w:val="20"/>
          <w:szCs w:val="20"/>
          <w:color w:val="auto"/>
        </w:rPr>
      </w:pPr>
      <w:r>
        <w:rPr>
          <w:rFonts w:ascii="Times New Roman" w:cs="Times New Roman" w:eastAsia="Times New Roman" w:hAnsi="Times New Roman"/>
          <w:sz w:val="17"/>
          <w:szCs w:val="17"/>
          <w:b w:val="1"/>
          <w:bCs w:val="1"/>
          <w:color w:val="auto"/>
        </w:rPr>
        <w:t xml:space="preserve">THIRD: </w:t>
      </w:r>
      <w:r>
        <w:rPr>
          <w:rFonts w:ascii="Times New Roman" w:cs="Times New Roman" w:eastAsia="Times New Roman" w:hAnsi="Times New Roman"/>
          <w:sz w:val="17"/>
          <w:szCs w:val="17"/>
          <w:color w:val="auto"/>
        </w:rPr>
        <w:t>The nature of the business or purposes to be conducted or promoted is to engage in any lawful act or activity for which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corporations may be organized under the General Corporation Law.</w:t>
      </w:r>
    </w:p>
    <w:p>
      <w:pPr>
        <w:spacing w:after="0" w:line="144" w:lineRule="exact"/>
        <w:rPr>
          <w:sz w:val="20"/>
          <w:szCs w:val="20"/>
          <w:color w:val="auto"/>
        </w:rPr>
      </w:pPr>
    </w:p>
    <w:p>
      <w:pPr>
        <w:ind w:right="100" w:firstLine="938"/>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FOURTH: </w:t>
      </w:r>
      <w:r>
        <w:rPr>
          <w:rFonts w:ascii="Times New Roman" w:cs="Times New Roman" w:eastAsia="Times New Roman" w:hAnsi="Times New Roman"/>
          <w:sz w:val="17"/>
          <w:szCs w:val="17"/>
          <w:color w:val="auto"/>
        </w:rPr>
        <w:t>The total number of shares of all classes of stock which the Corporation shall have authority to issue is (i) 402,600,000 shares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Common Stock, $0.0001 par value per share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and (ii) 287,446,845 shares of Preferred Stock, $0.0001 par value per share (“</w:t>
      </w:r>
      <w:r>
        <w:rPr>
          <w:rFonts w:ascii="Times New Roman" w:cs="Times New Roman" w:eastAsia="Times New Roman" w:hAnsi="Times New Roman"/>
          <w:sz w:val="17"/>
          <w:szCs w:val="17"/>
          <w:b w:val="1"/>
          <w:bCs w:val="1"/>
          <w:color w:val="auto"/>
        </w:rPr>
        <w:t>Preferred Stock</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right="140" w:firstLine="417"/>
        <w:spacing w:after="0" w:line="283" w:lineRule="auto"/>
        <w:rPr>
          <w:sz w:val="20"/>
          <w:szCs w:val="20"/>
          <w:color w:val="auto"/>
        </w:rPr>
      </w:pPr>
      <w:r>
        <w:rPr>
          <w:rFonts w:ascii="Times New Roman" w:cs="Times New Roman" w:eastAsia="Times New Roman" w:hAnsi="Times New Roman"/>
          <w:sz w:val="17"/>
          <w:szCs w:val="17"/>
          <w:color w:val="auto"/>
        </w:rPr>
        <w:t>The following is a statement of the designations and the powers, privileges and rights, and the qualifications, limitations or restrictions thereof in respect of each class of capital stock of the Corporation.</w:t>
      </w:r>
    </w:p>
    <w:p>
      <w:pPr>
        <w:sectPr>
          <w:pgSz w:w="11900" w:h="16838" w:orient="portrait"/>
          <w:cols w:equalWidth="0" w:num="1">
            <w:col w:w="10420"/>
          </w:cols>
          <w:pgMar w:left="740" w:top="119" w:right="739" w:bottom="1440" w:gutter="0" w:footer="0" w:header="0"/>
        </w:sectPr>
      </w:pPr>
    </w:p>
    <w:bookmarkStart w:id="298" w:name="page299"/>
    <w:bookmarkEnd w:id="298"/>
    <w:p>
      <w:pPr>
        <w:ind w:left="4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A. COMMON STOCK</w:t>
      </w:r>
    </w:p>
    <w:p>
      <w:pPr>
        <w:spacing w:after="0" w:line="213" w:lineRule="exact"/>
        <w:rPr>
          <w:sz w:val="20"/>
          <w:szCs w:val="20"/>
          <w:color w:val="auto"/>
        </w:rPr>
      </w:pPr>
    </w:p>
    <w:p>
      <w:pPr>
        <w:ind w:right="400" w:firstLine="929"/>
        <w:spacing w:after="0" w:line="283" w:lineRule="auto"/>
        <w:tabs>
          <w:tab w:leader="none" w:pos="1109" w:val="left"/>
        </w:tabs>
        <w:numPr>
          <w:ilvl w:val="1"/>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The voting, dividend and liquidation rights of the holders of the Common Stock are subject to and qualified by the rights, powers and preferences of the holders of the Preferred Stock set forth herein.</w:t>
      </w:r>
    </w:p>
    <w:p>
      <w:pPr>
        <w:spacing w:after="0" w:line="152" w:lineRule="exact"/>
        <w:rPr>
          <w:rFonts w:ascii="Times New Roman" w:cs="Times New Roman" w:eastAsia="Times New Roman" w:hAnsi="Times New Roman"/>
          <w:sz w:val="17"/>
          <w:szCs w:val="17"/>
          <w:color w:val="auto"/>
        </w:rPr>
      </w:pPr>
    </w:p>
    <w:p>
      <w:pPr>
        <w:ind w:right="20" w:firstLine="929"/>
        <w:spacing w:after="0" w:line="254" w:lineRule="auto"/>
        <w:tabs>
          <w:tab w:leader="none" w:pos="1109" w:val="left"/>
        </w:tabs>
        <w:numPr>
          <w:ilvl w:val="1"/>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Voting</w:t>
      </w:r>
      <w:r>
        <w:rPr>
          <w:rFonts w:ascii="Times New Roman" w:cs="Times New Roman" w:eastAsia="Times New Roman" w:hAnsi="Times New Roman"/>
          <w:sz w:val="17"/>
          <w:szCs w:val="17"/>
          <w:color w:val="auto"/>
        </w:rPr>
        <w:t xml:space="preserve">. The holders of the Common Stock are entitled to one vote for each share of Common Stock held at all meetings of stockholders (and written actions in lieu of meetings);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except as otherwise required by law, holders of Common Stock, as such, shall not be entitled to vote on any amendment to this Amended and Restated Certificate of Incorporation (this “</w:t>
      </w:r>
      <w:r>
        <w:rPr>
          <w:rFonts w:ascii="Times New Roman" w:cs="Times New Roman" w:eastAsia="Times New Roman" w:hAnsi="Times New Roman"/>
          <w:sz w:val="17"/>
          <w:szCs w:val="17"/>
          <w:b w:val="1"/>
          <w:bCs w:val="1"/>
          <w:color w:val="auto"/>
        </w:rPr>
        <w:t>Certificate of Incorporation</w:t>
      </w:r>
      <w:r>
        <w:rPr>
          <w:rFonts w:ascii="Times New Roman" w:cs="Times New Roman" w:eastAsia="Times New Roman" w:hAnsi="Times New Roman"/>
          <w:sz w:val="17"/>
          <w:szCs w:val="17"/>
          <w:color w:val="auto"/>
        </w:rPr>
        <w:t>”)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or pursuant to the General Corporation Law. There shall be no cumulative voting. The number of authorized shares of Common Stock may be increased or decreased (but not below the number of shares thereof then outstanding) by (in addition to any vote of the holders of one or more series of Preferred Stock that may be required by the terms of this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179" w:lineRule="exact"/>
        <w:rPr>
          <w:rFonts w:ascii="Times New Roman" w:cs="Times New Roman" w:eastAsia="Times New Roman" w:hAnsi="Times New Roman"/>
          <w:sz w:val="17"/>
          <w:szCs w:val="17"/>
          <w:color w:val="auto"/>
        </w:rPr>
      </w:pPr>
    </w:p>
    <w:p>
      <w:pPr>
        <w:ind w:left="600" w:hanging="192"/>
        <w:spacing w:after="0"/>
        <w:tabs>
          <w:tab w:leader="none" w:pos="600"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PREFERRED STOCK</w:t>
      </w:r>
    </w:p>
    <w:p>
      <w:pPr>
        <w:spacing w:after="0" w:line="209" w:lineRule="exact"/>
        <w:rPr>
          <w:sz w:val="20"/>
          <w:szCs w:val="20"/>
          <w:color w:val="auto"/>
        </w:rPr>
      </w:pPr>
    </w:p>
    <w:p>
      <w:pPr>
        <w:ind w:right="120" w:firstLine="417"/>
        <w:spacing w:after="0" w:line="258" w:lineRule="auto"/>
        <w:rPr>
          <w:sz w:val="20"/>
          <w:szCs w:val="20"/>
          <w:color w:val="auto"/>
        </w:rPr>
      </w:pPr>
      <w:r>
        <w:rPr>
          <w:rFonts w:ascii="Times New Roman" w:cs="Times New Roman" w:eastAsia="Times New Roman" w:hAnsi="Times New Roman"/>
          <w:sz w:val="17"/>
          <w:szCs w:val="17"/>
          <w:color w:val="auto"/>
        </w:rPr>
        <w:t>66,378,590 shares of the authorized Preferred Stock of the Corporation are hereby designated “</w:t>
      </w:r>
      <w:r>
        <w:rPr>
          <w:rFonts w:ascii="Times New Roman" w:cs="Times New Roman" w:eastAsia="Times New Roman" w:hAnsi="Times New Roman"/>
          <w:sz w:val="17"/>
          <w:szCs w:val="17"/>
          <w:b w:val="1"/>
          <w:bCs w:val="1"/>
          <w:color w:val="auto"/>
        </w:rPr>
        <w:t>Series A Preferred Stock</w:t>
      </w:r>
      <w:r>
        <w:rPr>
          <w:rFonts w:ascii="Times New Roman" w:cs="Times New Roman" w:eastAsia="Times New Roman" w:hAnsi="Times New Roman"/>
          <w:sz w:val="17"/>
          <w:szCs w:val="17"/>
          <w:color w:val="auto"/>
        </w:rPr>
        <w:t>”, 78,211,116 shares of the authorized Preferred Stock of the Corporation are hereby designated “</w:t>
      </w:r>
      <w:r>
        <w:rPr>
          <w:rFonts w:ascii="Times New Roman" w:cs="Times New Roman" w:eastAsia="Times New Roman" w:hAnsi="Times New Roman"/>
          <w:sz w:val="17"/>
          <w:szCs w:val="17"/>
          <w:b w:val="1"/>
          <w:bCs w:val="1"/>
          <w:color w:val="auto"/>
        </w:rPr>
        <w:t>Series B Preferred Stock</w:t>
      </w:r>
      <w:r>
        <w:rPr>
          <w:rFonts w:ascii="Times New Roman" w:cs="Times New Roman" w:eastAsia="Times New Roman" w:hAnsi="Times New Roman"/>
          <w:sz w:val="17"/>
          <w:szCs w:val="17"/>
          <w:color w:val="auto"/>
        </w:rPr>
        <w:t>”, and 142,857,138 shares of the authorized and unissued Preferred Stock of the Corporation are hereby designated “</w:t>
      </w:r>
      <w:r>
        <w:rPr>
          <w:rFonts w:ascii="Times New Roman" w:cs="Times New Roman" w:eastAsia="Times New Roman" w:hAnsi="Times New Roman"/>
          <w:sz w:val="17"/>
          <w:szCs w:val="17"/>
          <w:b w:val="1"/>
          <w:bCs w:val="1"/>
          <w:color w:val="auto"/>
        </w:rPr>
        <w:t>Series C Preferred Stock</w:t>
      </w:r>
      <w:r>
        <w:rPr>
          <w:rFonts w:ascii="Times New Roman" w:cs="Times New Roman" w:eastAsia="Times New Roman" w:hAnsi="Times New Roman"/>
          <w:sz w:val="17"/>
          <w:szCs w:val="17"/>
          <w:color w:val="auto"/>
        </w:rPr>
        <w:t xml:space="preserve">”, with the following rights, preferences, powers, privileges and restrictions, qualifications and limitations. Unless otherwise indicated, references to “sections” or “subsections” in this </w:t>
      </w:r>
      <w:r>
        <w:rPr>
          <w:rFonts w:ascii="Times New Roman" w:cs="Times New Roman" w:eastAsia="Times New Roman" w:hAnsi="Times New Roman"/>
          <w:sz w:val="17"/>
          <w:szCs w:val="17"/>
          <w:u w:val="single" w:color="auto"/>
          <w:color w:val="auto"/>
        </w:rPr>
        <w:t>Part B</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Article Fourth</w:t>
      </w:r>
      <w:r>
        <w:rPr>
          <w:rFonts w:ascii="Times New Roman" w:cs="Times New Roman" w:eastAsia="Times New Roman" w:hAnsi="Times New Roman"/>
          <w:sz w:val="17"/>
          <w:szCs w:val="17"/>
          <w:color w:val="auto"/>
        </w:rPr>
        <w:t xml:space="preserve"> refer to sections and subsections of </w:t>
      </w:r>
      <w:r>
        <w:rPr>
          <w:rFonts w:ascii="Times New Roman" w:cs="Times New Roman" w:eastAsia="Times New Roman" w:hAnsi="Times New Roman"/>
          <w:sz w:val="17"/>
          <w:szCs w:val="17"/>
          <w:u w:val="single" w:color="auto"/>
          <w:color w:val="auto"/>
        </w:rPr>
        <w:t>Part B</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Article Fourth</w:t>
      </w:r>
      <w:r>
        <w:rPr>
          <w:rFonts w:ascii="Times New Roman" w:cs="Times New Roman" w:eastAsia="Times New Roman" w:hAnsi="Times New Roman"/>
          <w:sz w:val="17"/>
          <w:szCs w:val="17"/>
          <w:color w:val="auto"/>
        </w:rPr>
        <w:t>. References to “Preferred Stock” herein mean Series A Preferred Stock, Series B Preferred Stock, and Series C Preferred Stock.</w:t>
      </w:r>
    </w:p>
    <w:p>
      <w:pPr>
        <w:spacing w:after="0" w:line="174" w:lineRule="exact"/>
        <w:rPr>
          <w:sz w:val="20"/>
          <w:szCs w:val="20"/>
          <w:color w:val="auto"/>
        </w:rPr>
      </w:pPr>
    </w:p>
    <w:p>
      <w:pPr>
        <w:ind w:left="1100" w:hanging="171"/>
        <w:spacing w:after="0"/>
        <w:tabs>
          <w:tab w:leader="none" w:pos="1100"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ind w:firstLine="1355"/>
        <w:spacing w:after="0" w:line="255"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Treatment of Preferred Stock</w:t>
      </w:r>
      <w:r>
        <w:rPr>
          <w:rFonts w:ascii="Times New Roman" w:cs="Times New Roman" w:eastAsia="Times New Roman" w:hAnsi="Times New Roman"/>
          <w:sz w:val="17"/>
          <w:szCs w:val="17"/>
          <w:color w:val="auto"/>
        </w:rPr>
        <w:t>. The holders of shares of Preferred Stock, on a pari passu basis, shall be entitled to receive dividends equal to 6% of the applicable Original Issue Price (as defined below) per annum, payable in cash or in kind at the election of the Corporation’s Board of Directors (“</w:t>
      </w:r>
      <w:r>
        <w:rPr>
          <w:rFonts w:ascii="Times New Roman" w:cs="Times New Roman" w:eastAsia="Times New Roman" w:hAnsi="Times New Roman"/>
          <w:sz w:val="17"/>
          <w:szCs w:val="17"/>
          <w:b w:val="1"/>
          <w:bCs w:val="1"/>
          <w:color w:val="auto"/>
        </w:rPr>
        <w:t>Board of Directors</w:t>
      </w:r>
      <w:r>
        <w:rPr>
          <w:rFonts w:ascii="Times New Roman" w:cs="Times New Roman" w:eastAsia="Times New Roman" w:hAnsi="Times New Roman"/>
          <w:sz w:val="17"/>
          <w:szCs w:val="17"/>
          <w:color w:val="auto"/>
        </w:rPr>
        <w:t>”), out of any assets at the time legally available therefor, when, as and if declared by the Board of Directors, prior and in preference to the Common Stock. No dividends other than those payable solely in Common Stock shall be paid on any Common Stock unless and until (i) the aforementioned dividend is paid on each outstanding share of Preferred Stock, and (ii) a dividend is paid with respect to all outstanding shares of Preferred Stock in an amount equal to or greater than the aggregate amount of dividends which would be payable to the holder of Preferred Stock if, immediately prior to the record date set for such dividend payment on Common Stock, such share of Preferred Stock had been converted into</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400"/>
          </w:cols>
          <w:pgMar w:left="740" w:top="264" w:right="759" w:bottom="1440" w:gutter="0" w:footer="0" w:header="0"/>
        </w:sectPr>
      </w:pPr>
    </w:p>
    <w:bookmarkStart w:id="299" w:name="page300"/>
    <w:bookmarkEnd w:id="299"/>
    <w:p>
      <w:pPr>
        <w:ind w:right="80"/>
        <w:spacing w:after="0" w:line="25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Common Stock at the then-effective conversion rate. The Board of Directors is under no obligation to declare dividends, no rights shall accrue to the holders of Preferred Stock if dividends are not declared, and any dividends on the Preferred Stock shall be noncumulative. As used in this Certificate of Incorporation, “</w:t>
      </w:r>
      <w:r>
        <w:rPr>
          <w:rFonts w:ascii="Times New Roman" w:cs="Times New Roman" w:eastAsia="Times New Roman" w:hAnsi="Times New Roman"/>
          <w:sz w:val="17"/>
          <w:szCs w:val="17"/>
          <w:b w:val="1"/>
          <w:bCs w:val="1"/>
          <w:color w:val="auto"/>
        </w:rPr>
        <w:t>Original Issue Price</w:t>
      </w:r>
      <w:r>
        <w:rPr>
          <w:rFonts w:ascii="Times New Roman" w:cs="Times New Roman" w:eastAsia="Times New Roman" w:hAnsi="Times New Roman"/>
          <w:sz w:val="17"/>
          <w:szCs w:val="17"/>
          <w:color w:val="auto"/>
        </w:rPr>
        <w:t>” shall mean, as applicable, (i) $0.70 for each outstanding share of Series C Preferred Stock (as adjusted for stock splits, combinations, reorganizations and the like with respect to the Series C Preferred Stock) (“</w:t>
      </w:r>
      <w:r>
        <w:rPr>
          <w:rFonts w:ascii="Times New Roman" w:cs="Times New Roman" w:eastAsia="Times New Roman" w:hAnsi="Times New Roman"/>
          <w:sz w:val="17"/>
          <w:szCs w:val="17"/>
          <w:b w:val="1"/>
          <w:bCs w:val="1"/>
          <w:color w:val="auto"/>
        </w:rPr>
        <w:t>Series C Original Issue Price</w:t>
      </w:r>
      <w:r>
        <w:rPr>
          <w:rFonts w:ascii="Times New Roman" w:cs="Times New Roman" w:eastAsia="Times New Roman" w:hAnsi="Times New Roman"/>
          <w:sz w:val="17"/>
          <w:szCs w:val="17"/>
          <w:color w:val="auto"/>
        </w:rPr>
        <w:t>”), (ii) $1.35 for each outstanding share of Series B Preferred Stock (as adjusted for stock splits, combinations, reorganizations and the like with respect to the Series B Preferred Stock) (“</w:t>
      </w:r>
      <w:r>
        <w:rPr>
          <w:rFonts w:ascii="Times New Roman" w:cs="Times New Roman" w:eastAsia="Times New Roman" w:hAnsi="Times New Roman"/>
          <w:sz w:val="17"/>
          <w:szCs w:val="17"/>
          <w:b w:val="1"/>
          <w:bCs w:val="1"/>
          <w:color w:val="auto"/>
        </w:rPr>
        <w:t>Series B Original Issue Price</w:t>
      </w:r>
      <w:r>
        <w:rPr>
          <w:rFonts w:ascii="Times New Roman" w:cs="Times New Roman" w:eastAsia="Times New Roman" w:hAnsi="Times New Roman"/>
          <w:sz w:val="17"/>
          <w:szCs w:val="17"/>
          <w:color w:val="auto"/>
        </w:rPr>
        <w:t>”), and (iii) $0.70 for each outstanding share of Series A Preferred Stock (as adjusted for stock splits, combinations, reorganizations and the like with respect to the Series A Preferred Stock) (“</w:t>
      </w:r>
      <w:r>
        <w:rPr>
          <w:rFonts w:ascii="Times New Roman" w:cs="Times New Roman" w:eastAsia="Times New Roman" w:hAnsi="Times New Roman"/>
          <w:sz w:val="17"/>
          <w:szCs w:val="17"/>
          <w:b w:val="1"/>
          <w:bCs w:val="1"/>
          <w:color w:val="auto"/>
        </w:rPr>
        <w:t>Series A Original Issue Price</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firstLine="1355"/>
        <w:spacing w:after="0" w:line="256"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Treatment of Common Stock</w:t>
      </w:r>
      <w:r>
        <w:rPr>
          <w:rFonts w:ascii="Times New Roman" w:cs="Times New Roman" w:eastAsia="Times New Roman" w:hAnsi="Times New Roman"/>
          <w:sz w:val="17"/>
          <w:szCs w:val="17"/>
          <w:color w:val="auto"/>
        </w:rPr>
        <w:t xml:space="preserve">. If, after dividends in the full preferential amounts specified in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for the Preferred Stock have been paid or declared and set apart in any calendar year of the Corporation, the Board of Directors shall declare additional dividends out of funds legally available therefor in that calendar year, then such additional dividends shall be declared pro rata on the Common Stock and the Preferred Stock on a pari passu basis according to the number of shares of Common Stock held by such holders, where each holder of shares of Preferred Stock is to be treated for this purpose as holding the greatest whole number of shares of Common Stock then issuable upon conversion of all shares of Preferred Stock, as applicable, held by such holder pursuant to </w:t>
      </w:r>
      <w:r>
        <w:rPr>
          <w:rFonts w:ascii="Times New Roman" w:cs="Times New Roman" w:eastAsia="Times New Roman" w:hAnsi="Times New Roman"/>
          <w:sz w:val="17"/>
          <w:szCs w:val="17"/>
          <w:u w:val="single" w:color="auto"/>
          <w:color w:val="auto"/>
        </w:rPr>
        <w:t>Sections 4</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5</w:t>
      </w:r>
      <w:r>
        <w:rPr>
          <w:rFonts w:ascii="Times New Roman" w:cs="Times New Roman" w:eastAsia="Times New Roman" w:hAnsi="Times New Roman"/>
          <w:sz w:val="17"/>
          <w:szCs w:val="17"/>
          <w:color w:val="auto"/>
        </w:rPr>
        <w:t xml:space="preserve"> hereof. The Corporation shall make no Distribution (as defined below) to the holders of shares of Common Stock except in accordance with (i)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or this </w:t>
      </w:r>
      <w:r>
        <w:rPr>
          <w:rFonts w:ascii="Times New Roman" w:cs="Times New Roman" w:eastAsia="Times New Roman" w:hAnsi="Times New Roman"/>
          <w:sz w:val="17"/>
          <w:szCs w:val="17"/>
          <w:u w:val="single" w:color="auto"/>
          <w:color w:val="auto"/>
        </w:rPr>
        <w:t>Section 1.2</w:t>
      </w:r>
      <w:r>
        <w:rPr>
          <w:rFonts w:ascii="Times New Roman" w:cs="Times New Roman" w:eastAsia="Times New Roman" w:hAnsi="Times New Roman"/>
          <w:sz w:val="17"/>
          <w:szCs w:val="17"/>
          <w:color w:val="auto"/>
        </w:rPr>
        <w:t xml:space="preserve"> or (ii)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right="140" w:firstLine="1355"/>
        <w:spacing w:after="0" w:line="260"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u w:val="single" w:color="auto"/>
          <w:color w:val="auto"/>
        </w:rPr>
        <w:t>Distribution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Distribution</w:t>
      </w:r>
      <w:r>
        <w:rPr>
          <w:rFonts w:ascii="Times New Roman" w:cs="Times New Roman" w:eastAsia="Times New Roman" w:hAnsi="Times New Roman"/>
          <w:sz w:val="17"/>
          <w:szCs w:val="17"/>
          <w:color w:val="auto"/>
        </w:rPr>
        <w:t>” means the transfer of cash, property or securities without consideration, whether by way of dividend or otherwise, or the purchase of shares of the Corporation (other than in connection with the repurchase of shares of Common Stock issued to or held by employees, consultants, officers or directors at a price not greater than the amount paid by such persons for such shares upon termination of their employment or services pursuant to agreements providing for the right of said repurchase or upon exercise of a right of first refusal approved by the Board of Directors) for cash or property.</w:t>
      </w:r>
    </w:p>
    <w:p>
      <w:pPr>
        <w:spacing w:after="0" w:line="172" w:lineRule="exact"/>
        <w:rPr>
          <w:sz w:val="20"/>
          <w:szCs w:val="20"/>
          <w:color w:val="auto"/>
        </w:rPr>
      </w:pPr>
    </w:p>
    <w:p>
      <w:pPr>
        <w:ind w:left="1100" w:hanging="171"/>
        <w:spacing w:after="0"/>
        <w:tabs>
          <w:tab w:leader="none" w:pos="1100"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Liquidation, Dissolution or Winding Up; Certain Mergers, Consolidations and Asset Sales</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ind w:right="40" w:firstLine="1355"/>
        <w:spacing w:after="0" w:line="255" w:lineRule="auto"/>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Preferential Payments to Holders of Preferred Stock</w:t>
      </w:r>
      <w:r>
        <w:rPr>
          <w:rFonts w:ascii="Times New Roman" w:cs="Times New Roman" w:eastAsia="Times New Roman" w:hAnsi="Times New Roman"/>
          <w:sz w:val="17"/>
          <w:szCs w:val="17"/>
          <w:color w:val="auto"/>
        </w:rPr>
        <w:t xml:space="preserve">. In the event of any voluntary or involuntary liquidation, dissolution or winding up of the Corporation or Deemed Liquidation Event, the holders of shares of each series of Preferred Stock then outstanding shall be entitled to be paid out of the assets of the Corporation available for distribution to its stockholders before any payment shall be made to the holders of Common Stock by reason of their ownership thereof, on a pari passu basis, an amount per share equal to the greater of (i) the applicable Original Issue Price, plus any dividends declared but unpaid thereon or (ii) such amount per share as would have been payable had all shares of such series of Preferred Stock been converted into Common Stock pursuant to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immediately prior to such liquidation, dissolution, winding up or Deemed Liquidation Event (the amount payable pursuant to this sentence with respect to the Preferred Stock is hereinafter referred to as the “</w:t>
      </w:r>
      <w:r>
        <w:rPr>
          <w:rFonts w:ascii="Times New Roman" w:cs="Times New Roman" w:eastAsia="Times New Roman" w:hAnsi="Times New Roman"/>
          <w:sz w:val="17"/>
          <w:szCs w:val="17"/>
          <w:b w:val="1"/>
          <w:bCs w:val="1"/>
          <w:color w:val="auto"/>
        </w:rPr>
        <w:t>Liquidation Amount</w:t>
      </w:r>
      <w:r>
        <w:rPr>
          <w:rFonts w:ascii="Times New Roman" w:cs="Times New Roman" w:eastAsia="Times New Roman" w:hAnsi="Times New Roman"/>
          <w:sz w:val="17"/>
          <w:szCs w:val="17"/>
          <w:color w:val="auto"/>
        </w:rPr>
        <w:t>”). If upon any such liquidation, dissolution or winding up of the Corporation or Deemed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400"/>
          </w:cols>
          <w:pgMar w:left="740" w:top="264" w:right="759" w:bottom="1440" w:gutter="0" w:footer="0" w:header="0"/>
        </w:sectPr>
      </w:pPr>
    </w:p>
    <w:bookmarkStart w:id="300" w:name="page301"/>
    <w:bookmarkEnd w:id="300"/>
    <w:p>
      <w:pPr>
        <w:spacing w:after="0" w:line="26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Liquidation Event, the assets of the Corporation available for distribution to its stockholders shall be insufficient to pay the holders of shares of Preferred Stock the full amount to which they shall be entitled under this </w:t>
      </w:r>
      <w:r>
        <w:rPr>
          <w:rFonts w:ascii="Times New Roman" w:cs="Times New Roman" w:eastAsia="Times New Roman" w:hAnsi="Times New Roman"/>
          <w:sz w:val="17"/>
          <w:szCs w:val="17"/>
          <w:u w:val="single" w:color="auto"/>
          <w:color w:val="auto"/>
        </w:rPr>
        <w:t>Subsection 2.1</w:t>
      </w:r>
      <w:r>
        <w:rPr>
          <w:rFonts w:ascii="Times New Roman" w:cs="Times New Roman" w:eastAsia="Times New Roman" w:hAnsi="Times New Roman"/>
          <w:sz w:val="17"/>
          <w:szCs w:val="17"/>
          <w:color w:val="auto"/>
        </w:rPr>
        <w:t>, the holders of shares of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72" w:lineRule="exact"/>
        <w:rPr>
          <w:sz w:val="20"/>
          <w:szCs w:val="20"/>
          <w:color w:val="auto"/>
        </w:rPr>
      </w:pPr>
    </w:p>
    <w:p>
      <w:pPr>
        <w:ind w:right="100" w:firstLine="1355"/>
        <w:spacing w:after="0" w:line="261"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u w:val="single" w:color="auto"/>
          <w:color w:val="auto"/>
        </w:rPr>
        <w:t>Payments to Holders of Common Stock</w:t>
      </w:r>
      <w:r>
        <w:rPr>
          <w:rFonts w:ascii="Times New Roman" w:cs="Times New Roman" w:eastAsia="Times New Roman" w:hAnsi="Times New Roman"/>
          <w:sz w:val="17"/>
          <w:szCs w:val="17"/>
          <w:color w:val="auto"/>
        </w:rPr>
        <w:t>. In the event of any voluntary or involuntary liquidation, dissolution or winding up of the Corporation or Deemed Liquidation Event, after the payment of all preferential amounts required to be paid to the holders of shares of Preferred Stock, the remaining assets of the Corporation available for distribution to its stockholders shall be distributed among the holders of shares of Common Stock, pro rata based on the number of shares held by each such holder.</w:t>
      </w:r>
    </w:p>
    <w:p>
      <w:pPr>
        <w:spacing w:after="0" w:line="17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Deemed Liquidation Events</w:t>
      </w:r>
      <w:r>
        <w:rPr>
          <w:rFonts w:ascii="Times New Roman" w:cs="Times New Roman" w:eastAsia="Times New Roman" w:hAnsi="Times New Roman"/>
          <w:sz w:val="17"/>
          <w:szCs w:val="17"/>
          <w:color w:val="auto"/>
        </w:rPr>
        <w:t>.</w:t>
      </w:r>
    </w:p>
    <w:p>
      <w:pPr>
        <w:spacing w:after="0" w:line="209" w:lineRule="exact"/>
        <w:rPr>
          <w:sz w:val="20"/>
          <w:szCs w:val="20"/>
          <w:color w:val="auto"/>
        </w:rPr>
      </w:pPr>
    </w:p>
    <w:p>
      <w:pPr>
        <w:ind w:right="180" w:firstLine="1877"/>
        <w:spacing w:after="0" w:line="263" w:lineRule="auto"/>
        <w:rPr>
          <w:sz w:val="20"/>
          <w:szCs w:val="20"/>
          <w:color w:val="auto"/>
        </w:rPr>
      </w:pPr>
      <w:r>
        <w:rPr>
          <w:rFonts w:ascii="Times New Roman" w:cs="Times New Roman" w:eastAsia="Times New Roman" w:hAnsi="Times New Roman"/>
          <w:sz w:val="17"/>
          <w:szCs w:val="17"/>
          <w:color w:val="auto"/>
        </w:rPr>
        <w:t xml:space="preserve">2.3.1 </w:t>
      </w:r>
      <w:r>
        <w:rPr>
          <w:rFonts w:ascii="Times New Roman" w:cs="Times New Roman" w:eastAsia="Times New Roman" w:hAnsi="Times New Roman"/>
          <w:sz w:val="17"/>
          <w:szCs w:val="17"/>
          <w:u w:val="single" w:color="auto"/>
          <w:color w:val="auto"/>
        </w:rPr>
        <w:t>Definition</w:t>
      </w:r>
      <w:r>
        <w:rPr>
          <w:rFonts w:ascii="Times New Roman" w:cs="Times New Roman" w:eastAsia="Times New Roman" w:hAnsi="Times New Roman"/>
          <w:sz w:val="17"/>
          <w:szCs w:val="17"/>
          <w:color w:val="auto"/>
        </w:rPr>
        <w:t>. Each of the following events shall be considered a “</w:t>
      </w:r>
      <w:r>
        <w:rPr>
          <w:rFonts w:ascii="Times New Roman" w:cs="Times New Roman" w:eastAsia="Times New Roman" w:hAnsi="Times New Roman"/>
          <w:sz w:val="17"/>
          <w:szCs w:val="17"/>
          <w:b w:val="1"/>
          <w:bCs w:val="1"/>
          <w:color w:val="auto"/>
        </w:rPr>
        <w:t>Deemed Liquidation Event</w:t>
      </w:r>
      <w:r>
        <w:rPr>
          <w:rFonts w:ascii="Times New Roman" w:cs="Times New Roman" w:eastAsia="Times New Roman" w:hAnsi="Times New Roman"/>
          <w:sz w:val="17"/>
          <w:szCs w:val="17"/>
          <w:color w:val="auto"/>
        </w:rPr>
        <w:t>” unless the holders of at least sixty percent (60%) of the outstanding shares of Preferred Stock, voting together as a single class on an as-converted basis, which such holders shall include the holders of a majority of the outstanding shares of Series C Preferred Stock, voting together as a separate class (collectively, the “</w:t>
      </w:r>
      <w:r>
        <w:rPr>
          <w:rFonts w:ascii="Times New Roman" w:cs="Times New Roman" w:eastAsia="Times New Roman" w:hAnsi="Times New Roman"/>
          <w:sz w:val="17"/>
          <w:szCs w:val="17"/>
          <w:b w:val="1"/>
          <w:bCs w:val="1"/>
          <w:color w:val="auto"/>
        </w:rPr>
        <w:t>Requisite Holders</w:t>
      </w:r>
      <w:r>
        <w:rPr>
          <w:rFonts w:ascii="Times New Roman" w:cs="Times New Roman" w:eastAsia="Times New Roman" w:hAnsi="Times New Roman"/>
          <w:sz w:val="17"/>
          <w:szCs w:val="17"/>
          <w:color w:val="auto"/>
        </w:rPr>
        <w:t>”), elect otherwise by written notice sent to the Corporation at least 15 days prior to the effective date of any such event:</w:t>
      </w:r>
    </w:p>
    <w:p>
      <w:pPr>
        <w:spacing w:after="0" w:line="169" w:lineRule="exact"/>
        <w:rPr>
          <w:sz w:val="20"/>
          <w:szCs w:val="20"/>
          <w:color w:val="auto"/>
        </w:rPr>
      </w:pPr>
    </w:p>
    <w:p>
      <w:pPr>
        <w:ind w:left="2520" w:hanging="235"/>
        <w:spacing w:after="0"/>
        <w:tabs>
          <w:tab w:leader="none" w:pos="2520"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merger, consolidation or conversion in which</w:t>
      </w:r>
    </w:p>
    <w:p>
      <w:pPr>
        <w:spacing w:after="0" w:line="123" w:lineRule="exact"/>
        <w:rPr>
          <w:rFonts w:ascii="Times New Roman" w:cs="Times New Roman" w:eastAsia="Times New Roman" w:hAnsi="Times New Roman"/>
          <w:sz w:val="17"/>
          <w:szCs w:val="17"/>
          <w:color w:val="auto"/>
        </w:rPr>
      </w:pPr>
    </w:p>
    <w:p>
      <w:pPr>
        <w:ind w:left="3220" w:hanging="520"/>
        <w:spacing w:after="0"/>
        <w:tabs>
          <w:tab w:leader="none" w:pos="3220" w:val="left"/>
        </w:tabs>
        <w:numPr>
          <w:ilvl w:val="1"/>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is a constituent party or</w:t>
      </w:r>
    </w:p>
    <w:p>
      <w:pPr>
        <w:spacing w:after="0" w:line="123" w:lineRule="exact"/>
        <w:rPr>
          <w:rFonts w:ascii="Times New Roman" w:cs="Times New Roman" w:eastAsia="Times New Roman" w:hAnsi="Times New Roman"/>
          <w:sz w:val="17"/>
          <w:szCs w:val="17"/>
          <w:color w:val="auto"/>
        </w:rPr>
      </w:pPr>
    </w:p>
    <w:p>
      <w:pPr>
        <w:ind w:left="3220" w:hanging="520"/>
        <w:spacing w:after="0" w:line="283" w:lineRule="auto"/>
        <w:tabs>
          <w:tab w:leader="none" w:pos="3220" w:val="left"/>
        </w:tabs>
        <w:numPr>
          <w:ilvl w:val="1"/>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subsidiary of the Corporation is a constituent party and the Corporation issues shares of its capital stock pursuant to such merger, consolidation or conversion,</w:t>
      </w:r>
    </w:p>
    <w:p>
      <w:pPr>
        <w:spacing w:after="0" w:line="15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7"/>
          <w:szCs w:val="17"/>
          <w:color w:val="auto"/>
        </w:rPr>
        <w:t>except any such merger, consolidation or conversion, other than a merger, consolidation or conversion with a special purpose acquisition company, or a subsidiary thereof, listed on a national securities exchange (a “</w:t>
      </w:r>
      <w:r>
        <w:rPr>
          <w:rFonts w:ascii="Times New Roman" w:cs="Times New Roman" w:eastAsia="Times New Roman" w:hAnsi="Times New Roman"/>
          <w:sz w:val="17"/>
          <w:szCs w:val="17"/>
          <w:b w:val="1"/>
          <w:bCs w:val="1"/>
          <w:color w:val="auto"/>
        </w:rPr>
        <w:t>SPAC Entity</w:t>
      </w:r>
      <w:r>
        <w:rPr>
          <w:rFonts w:ascii="Times New Roman" w:cs="Times New Roman" w:eastAsia="Times New Roman" w:hAnsi="Times New Roman"/>
          <w:sz w:val="17"/>
          <w:szCs w:val="17"/>
          <w:color w:val="auto"/>
        </w:rPr>
        <w:t>”) (which shall be a Deemed Liquidation Event irrespective of the post-closing ownership thereof unless such treatment is waived by the Requisite Holders) involving the Corporation or a subsidiary in which the shares of capital stock of the Corporation outstanding immediately prior to such merger, consolidation or conversion continue to represent, or are converted into or exchanged for shares of capital stock that represent, immediately following such merger, consolidation or conversion, at least a majority, by voting power, of the capital stock of (1) the surviving or resulting corporation; or (2) if the surviving or resulting corporation is a wholly owned subsidiary of another corporation immediately following such merger, consolidation or conversion, the parent corporation of such surviving or resulting corporation; or</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400"/>
          </w:cols>
          <w:pgMar w:left="740" w:top="264" w:right="759" w:bottom="1440" w:gutter="0" w:footer="0" w:header="0"/>
        </w:sectPr>
      </w:pPr>
    </w:p>
    <w:bookmarkStart w:id="301" w:name="page302"/>
    <w:bookmarkEnd w:id="301"/>
    <w:p>
      <w:pPr>
        <w:ind w:left="9" w:right="100" w:firstLine="2285"/>
        <w:spacing w:after="0" w:line="259" w:lineRule="auto"/>
        <w:tabs>
          <w:tab w:leader="none" w:pos="2544"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the sale, lease, transfer, exclusive license or other disposition, in a single transaction or series of related transactions, by the Corporation or any subsidiary of the Corporation of all or substantially all the assets of the Corporation and its subsidiaries taken as a whole, or the sale or disposition (whether by merger, consolidation or otherwise)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172" w:lineRule="exact"/>
        <w:rPr>
          <w:sz w:val="20"/>
          <w:szCs w:val="20"/>
          <w:color w:val="auto"/>
        </w:rPr>
      </w:pPr>
    </w:p>
    <w:p>
      <w:pPr>
        <w:ind w:left="1869"/>
        <w:spacing w:after="0"/>
        <w:rPr>
          <w:sz w:val="20"/>
          <w:szCs w:val="20"/>
          <w:color w:val="auto"/>
        </w:rPr>
      </w:pPr>
      <w:r>
        <w:rPr>
          <w:rFonts w:ascii="Times New Roman" w:cs="Times New Roman" w:eastAsia="Times New Roman" w:hAnsi="Times New Roman"/>
          <w:sz w:val="17"/>
          <w:szCs w:val="17"/>
          <w:color w:val="auto"/>
        </w:rPr>
        <w:t xml:space="preserve">2.3.2 </w:t>
      </w:r>
      <w:r>
        <w:rPr>
          <w:rFonts w:ascii="Times New Roman" w:cs="Times New Roman" w:eastAsia="Times New Roman" w:hAnsi="Times New Roman"/>
          <w:sz w:val="17"/>
          <w:szCs w:val="17"/>
          <w:u w:val="single" w:color="auto"/>
          <w:color w:val="auto"/>
        </w:rPr>
        <w:t>Effecting a Deemed Liquidation Event</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ind w:left="9" w:firstLine="2285"/>
        <w:spacing w:after="0" w:line="261" w:lineRule="auto"/>
        <w:tabs>
          <w:tab w:leader="none" w:pos="2534" w:val="left"/>
        </w:tabs>
        <w:numPr>
          <w:ilvl w:val="1"/>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Corporation shall not have the power to effect a Deemed Liquidation Event referred to in </w:t>
      </w:r>
      <w:r>
        <w:rPr>
          <w:rFonts w:ascii="Times New Roman" w:cs="Times New Roman" w:eastAsia="Times New Roman" w:hAnsi="Times New Roman"/>
          <w:sz w:val="17"/>
          <w:szCs w:val="17"/>
          <w:u w:val="single" w:color="auto"/>
          <w:color w:val="auto"/>
        </w:rPr>
        <w:t>Subsection 2.3.1(a)(i)</w:t>
      </w:r>
      <w:r>
        <w:rPr>
          <w:rFonts w:ascii="Times New Roman" w:cs="Times New Roman" w:eastAsia="Times New Roman" w:hAnsi="Times New Roman"/>
          <w:sz w:val="17"/>
          <w:szCs w:val="17"/>
          <w:color w:val="auto"/>
        </w:rPr>
        <w:t xml:space="preserve"> unless the agreement or plan of merger, consolidation or conversion for such transaction (the “</w:t>
      </w:r>
      <w:r>
        <w:rPr>
          <w:rFonts w:ascii="Times New Roman" w:cs="Times New Roman" w:eastAsia="Times New Roman" w:hAnsi="Times New Roman"/>
          <w:sz w:val="17"/>
          <w:szCs w:val="17"/>
          <w:b w:val="1"/>
          <w:bCs w:val="1"/>
          <w:color w:val="auto"/>
        </w:rPr>
        <w:t>Merger Agreement</w:t>
      </w:r>
      <w:r>
        <w:rPr>
          <w:rFonts w:ascii="Times New Roman" w:cs="Times New Roman" w:eastAsia="Times New Roman" w:hAnsi="Times New Roman"/>
          <w:sz w:val="17"/>
          <w:szCs w:val="17"/>
          <w:color w:val="auto"/>
        </w:rPr>
        <w:t xml:space="preserve">”) provides that the consideration payable to the stockholders of the Corporation shall be allocated among the holders of capital stock of the Corporation in accordance with </w:t>
      </w:r>
      <w:r>
        <w:rPr>
          <w:rFonts w:ascii="Times New Roman" w:cs="Times New Roman" w:eastAsia="Times New Roman" w:hAnsi="Times New Roman"/>
          <w:sz w:val="17"/>
          <w:szCs w:val="17"/>
          <w:u w:val="single" w:color="auto"/>
          <w:color w:val="auto"/>
        </w:rPr>
        <w:t>Subsections 2.1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2.2</w:t>
      </w:r>
      <w:r>
        <w:rPr>
          <w:rFonts w:ascii="Times New Roman" w:cs="Times New Roman" w:eastAsia="Times New Roman" w:hAnsi="Times New Roman"/>
          <w:sz w:val="17"/>
          <w:szCs w:val="17"/>
          <w:color w:val="auto"/>
        </w:rPr>
        <w:t>.</w:t>
      </w:r>
    </w:p>
    <w:p>
      <w:pPr>
        <w:spacing w:after="0" w:line="171" w:lineRule="exact"/>
        <w:rPr>
          <w:rFonts w:ascii="Times New Roman" w:cs="Times New Roman" w:eastAsia="Times New Roman" w:hAnsi="Times New Roman"/>
          <w:sz w:val="17"/>
          <w:szCs w:val="17"/>
          <w:color w:val="auto"/>
        </w:rPr>
      </w:pPr>
    </w:p>
    <w:p>
      <w:pPr>
        <w:ind w:left="9" w:right="140" w:firstLine="2285"/>
        <w:spacing w:after="0" w:line="261" w:lineRule="auto"/>
        <w:tabs>
          <w:tab w:leader="none" w:pos="2544" w:val="left"/>
        </w:tabs>
        <w:numPr>
          <w:ilvl w:val="1"/>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of a Deemed Liquidation Event referred to in </w:t>
      </w:r>
      <w:r>
        <w:rPr>
          <w:rFonts w:ascii="Times New Roman" w:cs="Times New Roman" w:eastAsia="Times New Roman" w:hAnsi="Times New Roman"/>
          <w:sz w:val="17"/>
          <w:szCs w:val="17"/>
          <w:u w:val="single" w:color="auto"/>
          <w:color w:val="auto"/>
        </w:rPr>
        <w:t>Subsection 2.3.1(a)(ii)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2.3.1(b)</w:t>
      </w:r>
      <w:r>
        <w:rPr>
          <w:rFonts w:ascii="Times New Roman" w:cs="Times New Roman" w:eastAsia="Times New Roman" w:hAnsi="Times New Roman"/>
          <w:sz w:val="17"/>
          <w:szCs w:val="17"/>
          <w:color w:val="auto"/>
        </w:rPr>
        <w:t>, if the Corporation does not effect a dissolution of the Corporation under the General Corporation Law within ninety (90) days after such Deemed Liquidation Event, then</w:t>
      </w:r>
    </w:p>
    <w:p>
      <w:pPr>
        <w:spacing w:after="0" w:line="1" w:lineRule="exact"/>
        <w:rPr>
          <w:rFonts w:ascii="Times New Roman" w:cs="Times New Roman" w:eastAsia="Times New Roman" w:hAnsi="Times New Roman"/>
          <w:sz w:val="17"/>
          <w:szCs w:val="17"/>
          <w:color w:val="auto"/>
        </w:rPr>
      </w:pPr>
    </w:p>
    <w:p>
      <w:pPr>
        <w:ind w:left="9" w:right="80" w:hanging="9"/>
        <w:spacing w:after="0" w:line="234" w:lineRule="auto"/>
        <w:tabs>
          <w:tab w:leader="none" w:pos="212"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shall send a written notice to each holder of Preferred Stock (the “</w:t>
      </w:r>
      <w:r>
        <w:rPr>
          <w:rFonts w:ascii="Times New Roman" w:cs="Times New Roman" w:eastAsia="Times New Roman" w:hAnsi="Times New Roman"/>
          <w:sz w:val="17"/>
          <w:szCs w:val="17"/>
          <w:b w:val="1"/>
          <w:bCs w:val="1"/>
          <w:color w:val="auto"/>
        </w:rPr>
        <w:t>Redemption Notice</w:t>
      </w:r>
      <w:r>
        <w:rPr>
          <w:rFonts w:ascii="Times New Roman" w:cs="Times New Roman" w:eastAsia="Times New Roman" w:hAnsi="Times New Roman"/>
          <w:sz w:val="17"/>
          <w:szCs w:val="17"/>
          <w:color w:val="auto"/>
        </w:rPr>
        <w:t>”) no later than the ninetieth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day after the Deemed Liquidation Event advising such holders of their right (and the requirements to be met to secure such right) pursuant to the terms of the following clause (ii) to require the redemption of such shares of Preferred Stock, and (ii) if the Requisite Holders so request, in a written instrument delivered to the Corporation not later than one hundred twenty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together with any other assets of the Corporation available for distribution to its stockholders, all to the extent permitted by Delaware law governing distributions to stockholders (the “</w:t>
      </w:r>
      <w:r>
        <w:rPr>
          <w:rFonts w:ascii="Times New Roman" w:cs="Times New Roman" w:eastAsia="Times New Roman" w:hAnsi="Times New Roman"/>
          <w:sz w:val="17"/>
          <w:szCs w:val="17"/>
          <w:b w:val="1"/>
          <w:bCs w:val="1"/>
          <w:color w:val="auto"/>
        </w:rPr>
        <w:t>Available Proceeds</w:t>
      </w:r>
      <w:r>
        <w:rPr>
          <w:rFonts w:ascii="Times New Roman" w:cs="Times New Roman" w:eastAsia="Times New Roman" w:hAnsi="Times New Roman"/>
          <w:sz w:val="17"/>
          <w:szCs w:val="17"/>
          <w:color w:val="auto"/>
        </w:rPr>
        <w:t>”), on the one hundred fiftieth (150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day after such Deemed Liquidation Event, to redeem all outstanding shares of Preferred Stock at a price per share equal to the applicable Liquidation Amount. Notwithstanding the foregoing, in the event of a redemption pursuant to the preceding sentence, if the Available Proceeds are not sufficient to redeem all outstanding shares of Preferred Stock, the Corporation shall ratably redeem each holder’s shares of Preferred Stock to the fullest extent of such Available Proceeds based on the respective amounts which would otherwise be payable in respect of the shares to be redeemed if the Available Proceeds were sufficient to redeem all such shares, and shall redeem the remaining shares as soon as it may lawfully do so under Delaware law governing distributions to stockholders.</w:t>
      </w:r>
    </w:p>
    <w:p>
      <w:pPr>
        <w:spacing w:after="0" w:line="187" w:lineRule="exact"/>
        <w:rPr>
          <w:rFonts w:ascii="Times New Roman" w:cs="Times New Roman" w:eastAsia="Times New Roman" w:hAnsi="Times New Roman"/>
          <w:sz w:val="17"/>
          <w:szCs w:val="17"/>
          <w:color w:val="auto"/>
        </w:rPr>
      </w:pPr>
    </w:p>
    <w:p>
      <w:pPr>
        <w:jc w:val="both"/>
        <w:ind w:left="9" w:right="160" w:firstLine="2702"/>
        <w:spacing w:after="0" w:line="261" w:lineRule="auto"/>
        <w:tabs>
          <w:tab w:leader="none" w:pos="2923" w:val="left"/>
        </w:tabs>
        <w:numPr>
          <w:ilvl w:val="2"/>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Redemption Notice shall state: (1) the number of shares of Preferred Stock held by the holder that the Corporation shall redeem; (2) the date of redemption (the “</w:t>
      </w:r>
      <w:r>
        <w:rPr>
          <w:rFonts w:ascii="Times New Roman" w:cs="Times New Roman" w:eastAsia="Times New Roman" w:hAnsi="Times New Roman"/>
          <w:sz w:val="17"/>
          <w:szCs w:val="17"/>
          <w:b w:val="1"/>
          <w:bCs w:val="1"/>
          <w:color w:val="auto"/>
        </w:rPr>
        <w:t>Redemption Date</w:t>
      </w:r>
      <w:r>
        <w:rPr>
          <w:rFonts w:ascii="Times New Roman" w:cs="Times New Roman" w:eastAsia="Times New Roman" w:hAnsi="Times New Roman"/>
          <w:sz w:val="17"/>
          <w:szCs w:val="17"/>
          <w:color w:val="auto"/>
        </w:rPr>
        <w:t>”) and the amount to be paid to such holder; and (3) for holders of shares in certificated form, that the holder is to surrender to the Corporation, in the manner and at the place designated, his, her or its certificate or certificates representing the shares of Preferred Stock to be redeemed.</w:t>
      </w:r>
    </w:p>
    <w:p>
      <w:pPr>
        <w:spacing w:after="0" w:line="10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429"/>
          </w:cols>
          <w:pgMar w:left="731" w:top="264" w:right="739" w:bottom="1440" w:gutter="0" w:footer="0" w:header="0"/>
        </w:sectPr>
      </w:pPr>
    </w:p>
    <w:bookmarkStart w:id="302" w:name="page303"/>
    <w:bookmarkEnd w:id="302"/>
    <w:p>
      <w:pPr>
        <w:jc w:val="both"/>
        <w:ind w:left="9" w:right="140" w:firstLine="2702"/>
        <w:spacing w:after="0" w:line="257" w:lineRule="auto"/>
        <w:tabs>
          <w:tab w:leader="none" w:pos="2970"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On or before the Redemption Date, each holder of shares of Preferred Stock to be redeemed shall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the Redemption Notice, and thereupon the Available Proceeds for such shares shall be payable to the order of the person whose name appears on such certificate or certificates as the owner thereof.</w:t>
      </w:r>
    </w:p>
    <w:p>
      <w:pPr>
        <w:spacing w:after="0" w:line="175" w:lineRule="exact"/>
        <w:rPr>
          <w:sz w:val="20"/>
          <w:szCs w:val="20"/>
          <w:color w:val="auto"/>
        </w:rPr>
      </w:pPr>
    </w:p>
    <w:p>
      <w:pPr>
        <w:jc w:val="both"/>
        <w:ind w:left="9" w:right="40"/>
        <w:spacing w:after="0" w:line="267" w:lineRule="auto"/>
        <w:rPr>
          <w:sz w:val="20"/>
          <w:szCs w:val="20"/>
          <w:color w:val="auto"/>
        </w:rPr>
      </w:pPr>
      <w:r>
        <w:rPr>
          <w:rFonts w:ascii="Times New Roman" w:cs="Times New Roman" w:eastAsia="Times New Roman" w:hAnsi="Times New Roman"/>
          <w:sz w:val="17"/>
          <w:szCs w:val="17"/>
          <w:color w:val="auto"/>
        </w:rPr>
        <w:t xml:space="preserve">Prior to the distribution or redemption provided for in this </w:t>
      </w:r>
      <w:r>
        <w:rPr>
          <w:rFonts w:ascii="Times New Roman" w:cs="Times New Roman" w:eastAsia="Times New Roman" w:hAnsi="Times New Roman"/>
          <w:sz w:val="17"/>
          <w:szCs w:val="17"/>
          <w:u w:val="single" w:color="auto"/>
          <w:color w:val="auto"/>
        </w:rPr>
        <w:t>Subsection 2.3.2(b)</w:t>
      </w:r>
      <w:r>
        <w:rPr>
          <w:rFonts w:ascii="Times New Roman" w:cs="Times New Roman" w:eastAsia="Times New Roman" w:hAnsi="Times New Roman"/>
          <w:sz w:val="17"/>
          <w:szCs w:val="17"/>
          <w:color w:val="auto"/>
        </w:rPr>
        <w:t>, the Corporation shall not expend or dissipate the consideration received for such Deemed Liquidation Event, except to discharge expenses incurred in connection with such Deemed Liquidation Event or in the ordinary course of business.</w:t>
      </w:r>
    </w:p>
    <w:p>
      <w:pPr>
        <w:spacing w:after="0" w:line="165" w:lineRule="exact"/>
        <w:rPr>
          <w:sz w:val="20"/>
          <w:szCs w:val="20"/>
          <w:color w:val="auto"/>
        </w:rPr>
      </w:pPr>
    </w:p>
    <w:p>
      <w:pPr>
        <w:ind w:left="9" w:right="60" w:firstLine="2294"/>
        <w:spacing w:after="0" w:line="259" w:lineRule="auto"/>
        <w:rPr>
          <w:sz w:val="20"/>
          <w:szCs w:val="20"/>
          <w:color w:val="auto"/>
        </w:rPr>
      </w:pPr>
      <w:r>
        <w:rPr>
          <w:rFonts w:ascii="Times New Roman" w:cs="Times New Roman" w:eastAsia="Times New Roman" w:hAnsi="Times New Roman"/>
          <w:sz w:val="17"/>
          <w:szCs w:val="17"/>
          <w:color w:val="auto"/>
        </w:rPr>
        <w:t xml:space="preserve">2.3.3 </w:t>
      </w:r>
      <w:r>
        <w:rPr>
          <w:rFonts w:ascii="Times New Roman" w:cs="Times New Roman" w:eastAsia="Times New Roman" w:hAnsi="Times New Roman"/>
          <w:sz w:val="17"/>
          <w:szCs w:val="17"/>
          <w:u w:val="single" w:color="auto"/>
          <w:color w:val="auto"/>
        </w:rPr>
        <w:t>Amount Deemed Paid or Distributed</w:t>
      </w:r>
      <w:r>
        <w:rPr>
          <w:rFonts w:ascii="Times New Roman" w:cs="Times New Roman" w:eastAsia="Times New Roman" w:hAnsi="Times New Roman"/>
          <w:sz w:val="17"/>
          <w:szCs w:val="17"/>
          <w:color w:val="auto"/>
        </w:rPr>
        <w:t>. The amount deemed paid or distributed to the holders of capital stock of the Corporation upon any such merger, consolidation, sale, transfer, exclusive license, other disposition or redemption shall be the cash or the value of the property, rights or securities paid or distributed to such holders by the Corporation or the acquiring person, firm or other entity. The value of such property, rights or securities shall be determined in good faith by the Board of Directors, including at least one Series A Director (as defined below), the Series B Director (as defined below), and the Series C Director (as defined below), in each case, if then in office (“</w:t>
      </w:r>
      <w:r>
        <w:rPr>
          <w:rFonts w:ascii="Times New Roman" w:cs="Times New Roman" w:eastAsia="Times New Roman" w:hAnsi="Times New Roman"/>
          <w:sz w:val="17"/>
          <w:szCs w:val="17"/>
          <w:b w:val="1"/>
          <w:bCs w:val="1"/>
          <w:color w:val="auto"/>
        </w:rPr>
        <w:t>Preferred Director Approval</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left="9" w:right="200" w:firstLine="2294"/>
        <w:spacing w:after="0" w:line="255" w:lineRule="auto"/>
        <w:rPr>
          <w:sz w:val="20"/>
          <w:szCs w:val="20"/>
          <w:color w:val="auto"/>
        </w:rPr>
      </w:pPr>
      <w:r>
        <w:rPr>
          <w:rFonts w:ascii="Times New Roman" w:cs="Times New Roman" w:eastAsia="Times New Roman" w:hAnsi="Times New Roman"/>
          <w:sz w:val="17"/>
          <w:szCs w:val="17"/>
          <w:color w:val="auto"/>
        </w:rPr>
        <w:t xml:space="preserve">2.3.4 </w:t>
      </w:r>
      <w:r>
        <w:rPr>
          <w:rFonts w:ascii="Times New Roman" w:cs="Times New Roman" w:eastAsia="Times New Roman" w:hAnsi="Times New Roman"/>
          <w:sz w:val="17"/>
          <w:szCs w:val="17"/>
          <w:u w:val="single" w:color="auto"/>
          <w:color w:val="auto"/>
        </w:rPr>
        <w:t>Allocation of Escrow and Contingent Consideration</w:t>
      </w:r>
      <w:r>
        <w:rPr>
          <w:rFonts w:ascii="Times New Roman" w:cs="Times New Roman" w:eastAsia="Times New Roman" w:hAnsi="Times New Roman"/>
          <w:sz w:val="17"/>
          <w:szCs w:val="17"/>
          <w:color w:val="auto"/>
        </w:rPr>
        <w:t xml:space="preserve">. In the event of a Deemed Liquidation Event pursuant to </w:t>
      </w:r>
      <w:r>
        <w:rPr>
          <w:rFonts w:ascii="Times New Roman" w:cs="Times New Roman" w:eastAsia="Times New Roman" w:hAnsi="Times New Roman"/>
          <w:sz w:val="17"/>
          <w:szCs w:val="17"/>
          <w:u w:val="single" w:color="auto"/>
          <w:color w:val="auto"/>
        </w:rPr>
        <w:t>Subsection 2.3.1(a)(i)</w:t>
      </w:r>
      <w:r>
        <w:rPr>
          <w:rFonts w:ascii="Times New Roman" w:cs="Times New Roman" w:eastAsia="Times New Roman" w:hAnsi="Times New Roman"/>
          <w:sz w:val="17"/>
          <w:szCs w:val="17"/>
          <w:color w:val="auto"/>
        </w:rPr>
        <w:t>, if any portion of the consideration payable to the stockholders of the Corporation is payable only upon satisfaction of contingencies (the “</w:t>
      </w:r>
      <w:r>
        <w:rPr>
          <w:rFonts w:ascii="Times New Roman" w:cs="Times New Roman" w:eastAsia="Times New Roman" w:hAnsi="Times New Roman"/>
          <w:sz w:val="17"/>
          <w:szCs w:val="17"/>
          <w:b w:val="1"/>
          <w:bCs w:val="1"/>
          <w:color w:val="auto"/>
        </w:rPr>
        <w:t>Additional Consideration</w:t>
      </w:r>
      <w:r>
        <w:rPr>
          <w:rFonts w:ascii="Times New Roman" w:cs="Times New Roman" w:eastAsia="Times New Roman" w:hAnsi="Times New Roman"/>
          <w:sz w:val="17"/>
          <w:szCs w:val="17"/>
          <w:color w:val="auto"/>
        </w:rPr>
        <w:t>”), the Merger Agreement shall provide that (a) the portion of such consideration that is not Additional Consideration (such portion, the “</w:t>
      </w:r>
      <w:r>
        <w:rPr>
          <w:rFonts w:ascii="Times New Roman" w:cs="Times New Roman" w:eastAsia="Times New Roman" w:hAnsi="Times New Roman"/>
          <w:sz w:val="17"/>
          <w:szCs w:val="17"/>
          <w:b w:val="1"/>
          <w:bCs w:val="1"/>
          <w:color w:val="auto"/>
        </w:rPr>
        <w:t>Initial Consideration</w:t>
      </w:r>
      <w:r>
        <w:rPr>
          <w:rFonts w:ascii="Times New Roman" w:cs="Times New Roman" w:eastAsia="Times New Roman" w:hAnsi="Times New Roman"/>
          <w:sz w:val="17"/>
          <w:szCs w:val="17"/>
          <w:color w:val="auto"/>
        </w:rPr>
        <w:t xml:space="preserve">”) shall be allocated among the holders of capital stock of the Corporation in accordance with </w:t>
      </w:r>
      <w:r>
        <w:rPr>
          <w:rFonts w:ascii="Times New Roman" w:cs="Times New Roman" w:eastAsia="Times New Roman" w:hAnsi="Times New Roman"/>
          <w:sz w:val="17"/>
          <w:szCs w:val="17"/>
          <w:u w:val="single" w:color="auto"/>
          <w:color w:val="auto"/>
        </w:rPr>
        <w:t>Subsections 2.1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2.2</w:t>
      </w:r>
      <w:r>
        <w:rPr>
          <w:rFonts w:ascii="Times New Roman" w:cs="Times New Roman" w:eastAsia="Times New Roman" w:hAnsi="Times New Roman"/>
          <w:sz w:val="17"/>
          <w:szCs w:val="17"/>
          <w:color w:val="auto"/>
        </w:rPr>
        <w:t xml:space="preserve"> as if the Initial Consideration were the only consideration payable in connection with such Deemed Liquidation Event; and</w:t>
      </w:r>
    </w:p>
    <w:p>
      <w:pPr>
        <w:spacing w:after="0" w:line="1" w:lineRule="exact"/>
        <w:rPr>
          <w:sz w:val="20"/>
          <w:szCs w:val="20"/>
          <w:color w:val="auto"/>
        </w:rPr>
      </w:pPr>
    </w:p>
    <w:p>
      <w:pPr>
        <w:ind w:left="9" w:hanging="9"/>
        <w:spacing w:after="0" w:line="253" w:lineRule="auto"/>
        <w:tabs>
          <w:tab w:leader="none" w:pos="250"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Additional Consideration which becomes payable to the stockholders of the Corporation upon satisfaction of such contingencies shall be allocated among the holders of capital stock of the Corporation in accordance with </w:t>
      </w:r>
      <w:r>
        <w:rPr>
          <w:rFonts w:ascii="Times New Roman" w:cs="Times New Roman" w:eastAsia="Times New Roman" w:hAnsi="Times New Roman"/>
          <w:sz w:val="17"/>
          <w:szCs w:val="17"/>
          <w:u w:val="single" w:color="auto"/>
          <w:color w:val="auto"/>
        </w:rPr>
        <w:t>Subsections 2.1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2.2</w:t>
      </w:r>
      <w:r>
        <w:rPr>
          <w:rFonts w:ascii="Times New Roman" w:cs="Times New Roman" w:eastAsia="Times New Roman" w:hAnsi="Times New Roman"/>
          <w:sz w:val="17"/>
          <w:szCs w:val="17"/>
          <w:color w:val="auto"/>
        </w:rPr>
        <w:t xml:space="preserve"> after taking into account the previous payment of the Initial Consideration as part of the same transaction. For the purposes of this </w:t>
      </w:r>
      <w:r>
        <w:rPr>
          <w:rFonts w:ascii="Times New Roman" w:cs="Times New Roman" w:eastAsia="Times New Roman" w:hAnsi="Times New Roman"/>
          <w:sz w:val="17"/>
          <w:szCs w:val="17"/>
          <w:u w:val="single" w:color="auto"/>
          <w:color w:val="auto"/>
        </w:rPr>
        <w:t>Subsection 2.3.4</w:t>
      </w:r>
      <w:r>
        <w:rPr>
          <w:rFonts w:ascii="Times New Roman" w:cs="Times New Roman" w:eastAsia="Times New Roman" w:hAnsi="Times New Roman"/>
          <w:sz w:val="17"/>
          <w:szCs w:val="17"/>
          <w:color w:val="auto"/>
        </w:rPr>
        <w:t>, consideration placed into escrow or retained as holdback to be available for satisfaction of indemnification or similar obligations in connection with such Deemed Liquidation Event shall be deemed to be Additional Consideration.</w:t>
      </w:r>
    </w:p>
    <w:p>
      <w:pPr>
        <w:spacing w:after="0" w:line="178" w:lineRule="exact"/>
        <w:rPr>
          <w:rFonts w:ascii="Times New Roman" w:cs="Times New Roman" w:eastAsia="Times New Roman" w:hAnsi="Times New Roman"/>
          <w:sz w:val="17"/>
          <w:szCs w:val="17"/>
          <w:color w:val="auto"/>
        </w:rPr>
      </w:pPr>
    </w:p>
    <w:p>
      <w:pPr>
        <w:ind w:left="1109" w:hanging="171"/>
        <w:spacing w:after="0"/>
        <w:tabs>
          <w:tab w:leader="none" w:pos="1109" w:val="left"/>
        </w:tabs>
        <w:numPr>
          <w:ilvl w:val="1"/>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Voting</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ind w:left="9" w:firstLine="1355"/>
        <w:spacing w:after="0" w:line="259"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 other provisions of this Certificate of Incorporation, holders of Preferred Stock shall vote together with the holders of Common Stock as a single class.</w:t>
      </w:r>
    </w:p>
    <w:p>
      <w:pPr>
        <w:spacing w:after="0" w:line="10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409"/>
          </w:cols>
          <w:pgMar w:left="731" w:top="264" w:right="759" w:bottom="1440" w:gutter="0" w:footer="0" w:header="0"/>
        </w:sectPr>
      </w:pPr>
    </w:p>
    <w:bookmarkStart w:id="303" w:name="page304"/>
    <w:bookmarkEnd w:id="303"/>
    <w:p>
      <w:pPr>
        <w:ind w:left="9" w:firstLine="1355"/>
        <w:spacing w:after="0" w:line="27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3.2 </w:t>
      </w:r>
      <w:r>
        <w:rPr>
          <w:rFonts w:ascii="Times New Roman" w:cs="Times New Roman" w:eastAsia="Times New Roman" w:hAnsi="Times New Roman"/>
          <w:sz w:val="16"/>
          <w:szCs w:val="16"/>
          <w:u w:val="single" w:color="auto"/>
          <w:color w:val="auto"/>
        </w:rPr>
        <w:t>Election of Directors</w:t>
      </w:r>
      <w:r>
        <w:rPr>
          <w:rFonts w:ascii="Times New Roman" w:cs="Times New Roman" w:eastAsia="Times New Roman" w:hAnsi="Times New Roman"/>
          <w:sz w:val="16"/>
          <w:szCs w:val="16"/>
          <w:color w:val="auto"/>
        </w:rPr>
        <w:t>. The holders of record of the shares of (a) Series C Preferred Stock, exclusively and as a separate class, shall be entitled to elect one (1) director of the Corporation (the “</w:t>
      </w:r>
      <w:r>
        <w:rPr>
          <w:rFonts w:ascii="Times New Roman" w:cs="Times New Roman" w:eastAsia="Times New Roman" w:hAnsi="Times New Roman"/>
          <w:sz w:val="16"/>
          <w:szCs w:val="16"/>
          <w:b w:val="1"/>
          <w:bCs w:val="1"/>
          <w:color w:val="auto"/>
        </w:rPr>
        <w:t>Series C Director</w:t>
      </w:r>
      <w:r>
        <w:rPr>
          <w:rFonts w:ascii="Times New Roman" w:cs="Times New Roman" w:eastAsia="Times New Roman" w:hAnsi="Times New Roman"/>
          <w:sz w:val="16"/>
          <w:szCs w:val="16"/>
          <w:color w:val="auto"/>
        </w:rPr>
        <w:t>”), (b) Series B Preferred Stock, exclusively and as a separate class, shall be entitled to elect one (1) director of the Corporation (the “</w:t>
      </w:r>
      <w:r>
        <w:rPr>
          <w:rFonts w:ascii="Times New Roman" w:cs="Times New Roman" w:eastAsia="Times New Roman" w:hAnsi="Times New Roman"/>
          <w:sz w:val="16"/>
          <w:szCs w:val="16"/>
          <w:b w:val="1"/>
          <w:bCs w:val="1"/>
          <w:color w:val="auto"/>
        </w:rPr>
        <w:t>Series B Director</w:t>
      </w:r>
      <w:r>
        <w:rPr>
          <w:rFonts w:ascii="Times New Roman" w:cs="Times New Roman" w:eastAsia="Times New Roman" w:hAnsi="Times New Roman"/>
          <w:sz w:val="16"/>
          <w:szCs w:val="16"/>
          <w:color w:val="auto"/>
        </w:rPr>
        <w:t>”), (c) Series A Preferred Stock, exclusively and as a separate class, shall be entitled to elect two (2) directors of the Corporation (the “</w:t>
      </w:r>
      <w:r>
        <w:rPr>
          <w:rFonts w:ascii="Times New Roman" w:cs="Times New Roman" w:eastAsia="Times New Roman" w:hAnsi="Times New Roman"/>
          <w:sz w:val="16"/>
          <w:szCs w:val="16"/>
          <w:b w:val="1"/>
          <w:bCs w:val="1"/>
          <w:color w:val="auto"/>
        </w:rPr>
        <w:t>Series A Directors</w:t>
      </w:r>
      <w:r>
        <w:rPr>
          <w:rFonts w:ascii="Times New Roman" w:cs="Times New Roman" w:eastAsia="Times New Roman" w:hAnsi="Times New Roman"/>
          <w:sz w:val="16"/>
          <w:szCs w:val="16"/>
          <w:color w:val="auto"/>
        </w:rPr>
        <w:t>” and collectively with the Series B Director and Series C Director, the “</w:t>
      </w:r>
      <w:r>
        <w:rPr>
          <w:rFonts w:ascii="Times New Roman" w:cs="Times New Roman" w:eastAsia="Times New Roman" w:hAnsi="Times New Roman"/>
          <w:sz w:val="16"/>
          <w:szCs w:val="16"/>
          <w:b w:val="1"/>
          <w:bCs w:val="1"/>
          <w:color w:val="auto"/>
        </w:rPr>
        <w:t>Preferred Directors</w:t>
      </w:r>
      <w:r>
        <w:rPr>
          <w:rFonts w:ascii="Times New Roman" w:cs="Times New Roman" w:eastAsia="Times New Roman" w:hAnsi="Times New Roman"/>
          <w:sz w:val="16"/>
          <w:szCs w:val="16"/>
          <w:color w:val="auto"/>
        </w:rPr>
        <w:t>”), (d) Common Stock, exclusively and as a separate class, shall be entitled to elect one (1) director of the Corporation, and</w:t>
      </w:r>
    </w:p>
    <w:p>
      <w:pPr>
        <w:spacing w:after="0" w:line="1" w:lineRule="exact"/>
        <w:rPr>
          <w:sz w:val="20"/>
          <w:szCs w:val="20"/>
          <w:color w:val="auto"/>
        </w:rPr>
      </w:pPr>
    </w:p>
    <w:p>
      <w:pPr>
        <w:ind w:left="9" w:hanging="9"/>
        <w:spacing w:after="0" w:line="251" w:lineRule="auto"/>
        <w:tabs>
          <w:tab w:leader="none" w:pos="241"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Common Stock and of any other class or series of voting stock (including the Preferred Stock), exclusively and voting together as a single class, shall be entitled to elect the balance of the total number of directors of the Corporation;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for administrative convenience, the initial director or directors that any class or series of capital stock shall be entitled to elect in accordance with the foregoing may also be appointed by the Board of Directors, acting by a majority of the sitting directors, regardless of whether any such sitting directors are elected by any particular class or series of capital stock, without any action by the holders of such class or series of capital stock. Any director elected as provided in the preceding sentence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Preferred Stock and/or Common Stock, as the case may be, fail to elect a sufficient number of directors to fill all directorships for which they are entitled to elect directors, voting exclusively and as a separate class, pursuant to the first sentence of this </w:t>
      </w:r>
      <w:r>
        <w:rPr>
          <w:rFonts w:ascii="Times New Roman" w:cs="Times New Roman" w:eastAsia="Times New Roman" w:hAnsi="Times New Roman"/>
          <w:sz w:val="17"/>
          <w:szCs w:val="17"/>
          <w:u w:val="single" w:color="auto"/>
          <w:color w:val="auto"/>
        </w:rPr>
        <w:t>Subsection 3.2</w:t>
      </w:r>
      <w:r>
        <w:rPr>
          <w:rFonts w:ascii="Times New Roman" w:cs="Times New Roman" w:eastAsia="Times New Roman" w:hAnsi="Times New Roman"/>
          <w:sz w:val="17"/>
          <w:szCs w:val="17"/>
          <w:color w:val="auto"/>
        </w:rPr>
        <w:t xml:space="preserve">, then any directorship not so filled shall remain vacant until such time as the holders of the Preferred Stock and/or Common Stock, as the case may be,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Times New Roman" w:cs="Times New Roman" w:eastAsia="Times New Roman" w:hAnsi="Times New Roman"/>
          <w:sz w:val="17"/>
          <w:szCs w:val="17"/>
          <w:u w:val="single" w:color="auto"/>
          <w:color w:val="auto"/>
        </w:rPr>
        <w:t>Subsection 3.2</w:t>
      </w:r>
      <w:r>
        <w:rPr>
          <w:rFonts w:ascii="Times New Roman" w:cs="Times New Roman" w:eastAsia="Times New Roman" w:hAnsi="Times New Roman"/>
          <w:sz w:val="17"/>
          <w:szCs w:val="17"/>
          <w:color w:val="auto"/>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Times New Roman" w:cs="Times New Roman" w:eastAsia="Times New Roman" w:hAnsi="Times New Roman"/>
          <w:sz w:val="17"/>
          <w:szCs w:val="17"/>
          <w:u w:val="single" w:color="auto"/>
          <w:color w:val="auto"/>
        </w:rPr>
        <w:t>Subsection 3.2</w:t>
      </w:r>
      <w:r>
        <w:rPr>
          <w:rFonts w:ascii="Times New Roman" w:cs="Times New Roman" w:eastAsia="Times New Roman" w:hAnsi="Times New Roman"/>
          <w:sz w:val="17"/>
          <w:szCs w:val="17"/>
          <w:color w:val="auto"/>
        </w:rPr>
        <w:t>.</w:t>
      </w:r>
    </w:p>
    <w:p>
      <w:pPr>
        <w:spacing w:after="0" w:line="187" w:lineRule="exact"/>
        <w:rPr>
          <w:sz w:val="20"/>
          <w:szCs w:val="20"/>
          <w:color w:val="auto"/>
        </w:rPr>
      </w:pPr>
    </w:p>
    <w:p>
      <w:pPr>
        <w:ind w:left="9" w:right="280" w:firstLine="1355"/>
        <w:spacing w:after="0" w:line="259"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u w:val="single" w:color="auto"/>
          <w:color w:val="auto"/>
        </w:rPr>
        <w:t>Preferred Stock Protective Provisions</w:t>
      </w:r>
      <w:r>
        <w:rPr>
          <w:rFonts w:ascii="Times New Roman" w:cs="Times New Roman" w:eastAsia="Times New Roman" w:hAnsi="Times New Roman"/>
          <w:sz w:val="17"/>
          <w:szCs w:val="17"/>
          <w:color w:val="auto"/>
        </w:rPr>
        <w:t xml:space="preserve">. At any time when any shares of Preferred Stock are outstanding, the Corporation shall not, either directly or indirectly by amendment, merger, consolidation, recapitalization, reclassification, conversion, or otherwise, do any of the following without (in addition to any other vote required by law or this Certificate of Incorporation) the written consent or affirmative vote of the Requisite Holders, given in writing or by vote at a meeting, consenting or voting (as the case may be) separately as a class, and any such act or transaction entered into without such consent or vote shall be null and void </w:t>
      </w:r>
      <w:r>
        <w:rPr>
          <w:rFonts w:ascii="Times New Roman" w:cs="Times New Roman" w:eastAsia="Times New Roman" w:hAnsi="Times New Roman"/>
          <w:sz w:val="17"/>
          <w:szCs w:val="17"/>
          <w:i w:val="1"/>
          <w:iCs w:val="1"/>
          <w:color w:val="auto"/>
        </w:rPr>
        <w:t>ab initio</w:t>
      </w:r>
      <w:r>
        <w:rPr>
          <w:rFonts w:ascii="Times New Roman" w:cs="Times New Roman" w:eastAsia="Times New Roman" w:hAnsi="Times New Roman"/>
          <w:sz w:val="17"/>
          <w:szCs w:val="17"/>
          <w:color w:val="auto"/>
        </w:rPr>
        <w:t>, and of no force or effect:</w:t>
      </w:r>
    </w:p>
    <w:p>
      <w:pPr>
        <w:spacing w:after="0" w:line="172" w:lineRule="exact"/>
        <w:rPr>
          <w:sz w:val="20"/>
          <w:szCs w:val="20"/>
          <w:color w:val="auto"/>
        </w:rPr>
      </w:pPr>
    </w:p>
    <w:p>
      <w:pPr>
        <w:ind w:left="9" w:right="500" w:firstLine="1877"/>
        <w:spacing w:after="0" w:line="283" w:lineRule="auto"/>
        <w:rPr>
          <w:sz w:val="20"/>
          <w:szCs w:val="20"/>
          <w:color w:val="auto"/>
        </w:rPr>
      </w:pPr>
      <w:r>
        <w:rPr>
          <w:rFonts w:ascii="Times New Roman" w:cs="Times New Roman" w:eastAsia="Times New Roman" w:hAnsi="Times New Roman"/>
          <w:sz w:val="17"/>
          <w:szCs w:val="17"/>
          <w:color w:val="auto"/>
        </w:rPr>
        <w:t>3.3.1 liquidate, dissolve or wind-up the business and affairs of the Corporation, effect any merger, consolidation or conversion or other corporate reorganization or sale of voting control or any other Deemed Liquidation Event, or consent to any of the foregoing;</w:t>
      </w:r>
    </w:p>
    <w:p>
      <w:pPr>
        <w:spacing w:after="0" w:line="8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409"/>
          </w:cols>
          <w:pgMar w:left="731" w:top="264" w:right="759" w:bottom="1440" w:gutter="0" w:footer="0" w:header="0"/>
        </w:sectPr>
      </w:pPr>
    </w:p>
    <w:bookmarkStart w:id="304" w:name="page305"/>
    <w:bookmarkEnd w:id="304"/>
    <w:p>
      <w:pPr>
        <w:ind w:right="440" w:firstLine="1877"/>
        <w:spacing w:after="0" w:line="28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3.3.2 amend, waive, alter or repeal any provision of this Certificate of Incorporation or the Corporation’s Bylaws, as amended and/or restated from time to time (“</w:t>
      </w:r>
      <w:r>
        <w:rPr>
          <w:rFonts w:ascii="Times New Roman" w:cs="Times New Roman" w:eastAsia="Times New Roman" w:hAnsi="Times New Roman"/>
          <w:sz w:val="17"/>
          <w:szCs w:val="17"/>
          <w:b w:val="1"/>
          <w:bCs w:val="1"/>
          <w:color w:val="auto"/>
        </w:rPr>
        <w:t>Bylaws</w:t>
      </w:r>
      <w:r>
        <w:rPr>
          <w:rFonts w:ascii="Times New Roman" w:cs="Times New Roman" w:eastAsia="Times New Roman" w:hAnsi="Times New Roman"/>
          <w:sz w:val="17"/>
          <w:szCs w:val="17"/>
          <w:color w:val="auto"/>
        </w:rPr>
        <w:t>”), in a manner that adversely affects the powers, preferences or rights of the Preferred Stock;</w:t>
      </w:r>
    </w:p>
    <w:p>
      <w:pPr>
        <w:spacing w:after="0" w:line="152" w:lineRule="exact"/>
        <w:rPr>
          <w:sz w:val="20"/>
          <w:szCs w:val="20"/>
          <w:color w:val="auto"/>
        </w:rPr>
      </w:pPr>
    </w:p>
    <w:p>
      <w:pPr>
        <w:ind w:right="400" w:firstLine="1877"/>
        <w:spacing w:after="0" w:line="259" w:lineRule="auto"/>
        <w:rPr>
          <w:sz w:val="20"/>
          <w:szCs w:val="20"/>
          <w:color w:val="auto"/>
        </w:rPr>
      </w:pPr>
      <w:r>
        <w:rPr>
          <w:rFonts w:ascii="Times New Roman" w:cs="Times New Roman" w:eastAsia="Times New Roman" w:hAnsi="Times New Roman"/>
          <w:sz w:val="17"/>
          <w:szCs w:val="17"/>
          <w:color w:val="auto"/>
        </w:rPr>
        <w:t>3.3.3 create, or authorize the creation of (by reclassification or otherwise), any additional class or series of capital stock unless the same ranks junior to the Preferred Stock with respect to the distribution of assets on the liquidation, dissolution or winding up of the Corporation, the payment of dividends and rights of redemption, or increase the authorized number of shares of Preferred Stock or increase the authorized number of shares of any additional class or series of capital stock unless the same ranks junior to the Preferred Stock with respect to the distribution of assets on the liquidation, dissolution or winding up of the Corporation, the payment of dividends and rights of redemption;</w:t>
      </w:r>
    </w:p>
    <w:p>
      <w:pPr>
        <w:spacing w:after="0" w:line="172" w:lineRule="exact"/>
        <w:rPr>
          <w:sz w:val="20"/>
          <w:szCs w:val="20"/>
          <w:color w:val="auto"/>
        </w:rPr>
      </w:pPr>
    </w:p>
    <w:p>
      <w:pPr>
        <w:ind w:right="40" w:firstLine="1877"/>
        <w:spacing w:after="0" w:line="256" w:lineRule="auto"/>
        <w:rPr>
          <w:sz w:val="20"/>
          <w:szCs w:val="20"/>
          <w:color w:val="auto"/>
        </w:rPr>
      </w:pPr>
      <w:r>
        <w:rPr>
          <w:rFonts w:ascii="Times New Roman" w:cs="Times New Roman" w:eastAsia="Times New Roman" w:hAnsi="Times New Roman"/>
          <w:sz w:val="17"/>
          <w:szCs w:val="17"/>
          <w:color w:val="auto"/>
        </w:rPr>
        <w:t>3.3.4 (i) reclassify, alter or amend any existing security of the Corporation that is pari passu with the Preferred Stock in respect of the distribution of assets on the liquidation, dissolution or winding up of the Corporation, the payment of dividends or rights of redemption, if such reclassification, alteration or amendment would render such other security senior to the Preferred Stock in respect of any such right, preference, or privilege or (ii) reclassify, alter or amend any existing security of the Corporation that is junior to the Preferred Stock in respect of the distribution of assets on the liquidation, dissolution or winding up of the Corporation, the payment of dividends or rights of redemption, if such reclassification, alteration or amendment would render such other security senior to or pari passu with the Preferred Stock in respect of any such right, preference or privilege;</w:t>
      </w:r>
    </w:p>
    <w:p>
      <w:pPr>
        <w:spacing w:after="0" w:line="17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3.3.5 increase or decrease the authorized number of shares of Common Stock or Preferred Stock (or any series thereof);</w:t>
      </w:r>
    </w:p>
    <w:p>
      <w:pPr>
        <w:spacing w:after="0" w:line="213" w:lineRule="exact"/>
        <w:rPr>
          <w:sz w:val="20"/>
          <w:szCs w:val="20"/>
          <w:color w:val="auto"/>
        </w:rPr>
      </w:pPr>
    </w:p>
    <w:p>
      <w:pPr>
        <w:ind w:firstLine="1877"/>
        <w:spacing w:after="0" w:line="283" w:lineRule="auto"/>
        <w:rPr>
          <w:sz w:val="20"/>
          <w:szCs w:val="20"/>
          <w:color w:val="auto"/>
        </w:rPr>
      </w:pPr>
      <w:r>
        <w:rPr>
          <w:rFonts w:ascii="Times New Roman" w:cs="Times New Roman" w:eastAsia="Times New Roman" w:hAnsi="Times New Roman"/>
          <w:sz w:val="17"/>
          <w:szCs w:val="17"/>
          <w:color w:val="auto"/>
        </w:rPr>
        <w:t>3.3.6 increase or decrease the authorized number of directors constituting the Board of Directors, change the number of votes entitled to be cast by any director or directors on any matter, or adopt any provision inconsistent with Article Sixth;</w:t>
      </w:r>
    </w:p>
    <w:p>
      <w:pPr>
        <w:spacing w:after="0" w:line="152" w:lineRule="exact"/>
        <w:rPr>
          <w:sz w:val="20"/>
          <w:szCs w:val="20"/>
          <w:color w:val="auto"/>
        </w:rPr>
      </w:pPr>
    </w:p>
    <w:p>
      <w:pPr>
        <w:ind w:right="40" w:firstLine="1877"/>
        <w:spacing w:after="0" w:line="259" w:lineRule="auto"/>
        <w:rPr>
          <w:sz w:val="20"/>
          <w:szCs w:val="20"/>
          <w:color w:val="auto"/>
        </w:rPr>
      </w:pPr>
      <w:r>
        <w:rPr>
          <w:rFonts w:ascii="Times New Roman" w:cs="Times New Roman" w:eastAsia="Times New Roman" w:hAnsi="Times New Roman"/>
          <w:sz w:val="17"/>
          <w:szCs w:val="17"/>
          <w:color w:val="auto"/>
        </w:rPr>
        <w:t>3.3.7 create, or hold capital stock in, any subsidiary that is not wholly owned (either directly or through one or more other subsidiaries) by the Corporation, or permit any subsidiary to create, or authorize the creation of, or issue or obligate itself to issue, any shares of any class or series of capital stock,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400"/>
          </w:cols>
          <w:pgMar w:left="740" w:top="264" w:right="759" w:bottom="1440" w:gutter="0" w:footer="0" w:header="0"/>
        </w:sectPr>
      </w:pPr>
    </w:p>
    <w:bookmarkStart w:id="305" w:name="page306"/>
    <w:bookmarkEnd w:id="305"/>
    <w:p>
      <w:pPr>
        <w:ind w:right="80" w:firstLine="1877"/>
        <w:spacing w:after="0" w:line="25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3.3.8 purchase or redeem (or permit any subsidiary to purchase or redeem) or pay or declare any dividend or make any distribution on, any shares of capital stock of the Corporation other than (i) redemptions of or dividends or distributions on the Preferred Stock as expressly authorized herein, (ii) dividends or other distributions payable on the Common Stock solely in the form of additional shares of Common Stock, (iii) repurchases of stock from former employees, officers, directors, consultants or other persons who performed services for the Corporation or any subsidiary in connection with the cessation of such employment or service at the lower of the original purchase price or the then-current fair market value thereof, and (iv) as approved by the Board of Directors, including the approval of all of the Preferred Directors.</w:t>
      </w:r>
    </w:p>
    <w:p>
      <w:pPr>
        <w:spacing w:after="0" w:line="175" w:lineRule="exact"/>
        <w:rPr>
          <w:sz w:val="20"/>
          <w:szCs w:val="20"/>
          <w:color w:val="auto"/>
        </w:rPr>
      </w:pPr>
    </w:p>
    <w:p>
      <w:pPr>
        <w:ind w:right="20" w:firstLine="1355"/>
        <w:spacing w:after="0" w:line="257" w:lineRule="auto"/>
        <w:rPr>
          <w:sz w:val="20"/>
          <w:szCs w:val="20"/>
          <w:color w:val="auto"/>
        </w:rPr>
      </w:pPr>
      <w:r>
        <w:rPr>
          <w:rFonts w:ascii="Times New Roman" w:cs="Times New Roman" w:eastAsia="Times New Roman" w:hAnsi="Times New Roman"/>
          <w:sz w:val="17"/>
          <w:szCs w:val="17"/>
          <w:color w:val="auto"/>
        </w:rPr>
        <w:t xml:space="preserve">3.4 </w:t>
      </w:r>
      <w:r>
        <w:rPr>
          <w:rFonts w:ascii="Times New Roman" w:cs="Times New Roman" w:eastAsia="Times New Roman" w:hAnsi="Times New Roman"/>
          <w:sz w:val="17"/>
          <w:szCs w:val="17"/>
          <w:u w:val="single" w:color="auto"/>
          <w:color w:val="auto"/>
        </w:rPr>
        <w:t>Series C Preferred Stock Protective Provisions</w:t>
      </w:r>
      <w:r>
        <w:rPr>
          <w:rFonts w:ascii="Times New Roman" w:cs="Times New Roman" w:eastAsia="Times New Roman" w:hAnsi="Times New Roman"/>
          <w:sz w:val="17"/>
          <w:szCs w:val="17"/>
          <w:color w:val="auto"/>
        </w:rPr>
        <w:t xml:space="preserve">. At any time when any shares of Series C Preferred Stock are outstanding, the Corporation shall not, either directly or indirectly by amendment, merger, consolidation, recapitalization, reclassification, conversion, or otherwise, do any of the following without (in addition to any other vote required by law or this Certificate of Incorporation) the written consent or affirmative vote of the holders of a majority of the then outstanding shares of Series C Preferred Stock, given in writing or by vote at a meeting, consenting or voting (as the case may be) separately as a class, and any such act or transaction entered into without such consent or vote shall be null and void </w:t>
      </w:r>
      <w:r>
        <w:rPr>
          <w:rFonts w:ascii="Times New Roman" w:cs="Times New Roman" w:eastAsia="Times New Roman" w:hAnsi="Times New Roman"/>
          <w:sz w:val="17"/>
          <w:szCs w:val="17"/>
          <w:i w:val="1"/>
          <w:iCs w:val="1"/>
          <w:color w:val="auto"/>
        </w:rPr>
        <w:t>ab initio</w:t>
      </w:r>
      <w:r>
        <w:rPr>
          <w:rFonts w:ascii="Times New Roman" w:cs="Times New Roman" w:eastAsia="Times New Roman" w:hAnsi="Times New Roman"/>
          <w:sz w:val="17"/>
          <w:szCs w:val="17"/>
          <w:color w:val="auto"/>
        </w:rPr>
        <w:t>, and of no force or effect:</w:t>
      </w:r>
    </w:p>
    <w:p>
      <w:pPr>
        <w:spacing w:after="0" w:line="175" w:lineRule="exact"/>
        <w:rPr>
          <w:sz w:val="20"/>
          <w:szCs w:val="20"/>
          <w:color w:val="auto"/>
        </w:rPr>
      </w:pPr>
    </w:p>
    <w:p>
      <w:pPr>
        <w:ind w:firstLine="1877"/>
        <w:spacing w:after="0" w:line="283" w:lineRule="auto"/>
        <w:rPr>
          <w:sz w:val="20"/>
          <w:szCs w:val="20"/>
          <w:color w:val="auto"/>
        </w:rPr>
      </w:pPr>
      <w:r>
        <w:rPr>
          <w:rFonts w:ascii="Times New Roman" w:cs="Times New Roman" w:eastAsia="Times New Roman" w:hAnsi="Times New Roman"/>
          <w:sz w:val="17"/>
          <w:szCs w:val="17"/>
          <w:color w:val="auto"/>
        </w:rPr>
        <w:t>3.4.1 amend, waive, alter or repeal any provision of this Certificate of Incorporation or the Bylaws in a manner that adversely affects the powers, preferences or rights of the Series C Preferred Stock;</w:t>
      </w:r>
    </w:p>
    <w:p>
      <w:pPr>
        <w:spacing w:after="0" w:line="152" w:lineRule="exact"/>
        <w:rPr>
          <w:sz w:val="20"/>
          <w:szCs w:val="20"/>
          <w:color w:val="auto"/>
        </w:rPr>
      </w:pPr>
    </w:p>
    <w:p>
      <w:pPr>
        <w:ind w:right="80" w:firstLine="1877"/>
        <w:spacing w:after="0" w:line="257" w:lineRule="auto"/>
        <w:rPr>
          <w:sz w:val="20"/>
          <w:szCs w:val="20"/>
          <w:color w:val="auto"/>
        </w:rPr>
      </w:pPr>
      <w:r>
        <w:rPr>
          <w:rFonts w:ascii="Times New Roman" w:cs="Times New Roman" w:eastAsia="Times New Roman" w:hAnsi="Times New Roman"/>
          <w:sz w:val="17"/>
          <w:szCs w:val="17"/>
          <w:color w:val="auto"/>
        </w:rPr>
        <w:t>3.4.2 create, or authorize the creation of (by reclassification or otherwise), any additional class or series of capital stock unless the same ranks junior to the Series C Preferred Stock with respect to the distribution of assets on the liquidation, dissolution or winding up of the Corporation or Deemed Liquidation Event, the payment of dividends and rights of redemption, or increase the authorized number of shares of Series C Preferred Stock or increase the authorized number of shares of any additional class or series of capital stock unless the same ranks junior to the Series C Preferred Stock with respect to the distribution of assets on the liquidation, dissolution or winding up of the Corporation or Deemed Liquidation Event, the payment of dividends and rights of redemption; or</w:t>
      </w:r>
    </w:p>
    <w:p>
      <w:pPr>
        <w:spacing w:after="0" w:line="175" w:lineRule="exact"/>
        <w:rPr>
          <w:sz w:val="20"/>
          <w:szCs w:val="20"/>
          <w:color w:val="auto"/>
        </w:rPr>
      </w:pPr>
    </w:p>
    <w:p>
      <w:pPr>
        <w:ind w:firstLine="1877"/>
        <w:spacing w:after="0" w:line="256" w:lineRule="auto"/>
        <w:rPr>
          <w:sz w:val="20"/>
          <w:szCs w:val="20"/>
          <w:color w:val="auto"/>
        </w:rPr>
      </w:pPr>
      <w:r>
        <w:rPr>
          <w:rFonts w:ascii="Times New Roman" w:cs="Times New Roman" w:eastAsia="Times New Roman" w:hAnsi="Times New Roman"/>
          <w:sz w:val="17"/>
          <w:szCs w:val="17"/>
          <w:color w:val="auto"/>
        </w:rPr>
        <w:t>3.4.3 (i) reclassify, alter or amend any existing security of the Corporation that is pari passu with the Series C Preferred Stock in respect of the distribution of assets on the liquidation, dissolution or winding up of the Corporation or Deemed Liquidation Event, the payment of dividends or rights of redemption, if such reclassification, alteration or amendment would render such other security senior to the Series C Preferred Stock in respect of any such right, preference, or privilege or (ii) reclassify, alter or amend any existing security of the Corporation that is junior to the Series C Preferred Stock in respect of the distribution of assets on the liquidation, dissolution or winding up of the Corporation or Deemed Liquidation Event, the payment of dividends or rights of redemption, if such reclassification, alteration or amendment would render such other security senior to or pari passu with the Series C Preferred Stock in respect of any such right, preference or privilege.</w:t>
      </w:r>
    </w:p>
    <w:p>
      <w:pPr>
        <w:spacing w:after="0" w:line="176" w:lineRule="exact"/>
        <w:rPr>
          <w:sz w:val="20"/>
          <w:szCs w:val="20"/>
          <w:color w:val="auto"/>
        </w:rPr>
      </w:pPr>
    </w:p>
    <w:p>
      <w:pPr>
        <w:ind w:right="60" w:firstLine="1355"/>
        <w:spacing w:after="0" w:line="261" w:lineRule="auto"/>
        <w:rPr>
          <w:sz w:val="20"/>
          <w:szCs w:val="20"/>
          <w:color w:val="auto"/>
        </w:rPr>
      </w:pPr>
      <w:r>
        <w:rPr>
          <w:rFonts w:ascii="Times New Roman" w:cs="Times New Roman" w:eastAsia="Times New Roman" w:hAnsi="Times New Roman"/>
          <w:sz w:val="17"/>
          <w:szCs w:val="17"/>
          <w:color w:val="auto"/>
        </w:rPr>
        <w:t xml:space="preserve">3.5 </w:t>
      </w:r>
      <w:r>
        <w:rPr>
          <w:rFonts w:ascii="Times New Roman" w:cs="Times New Roman" w:eastAsia="Times New Roman" w:hAnsi="Times New Roman"/>
          <w:sz w:val="17"/>
          <w:szCs w:val="17"/>
          <w:u w:val="single" w:color="auto"/>
          <w:color w:val="auto"/>
        </w:rPr>
        <w:t>Series B Preferred Stock Protective Provisions</w:t>
      </w:r>
      <w:r>
        <w:rPr>
          <w:rFonts w:ascii="Times New Roman" w:cs="Times New Roman" w:eastAsia="Times New Roman" w:hAnsi="Times New Roman"/>
          <w:sz w:val="17"/>
          <w:szCs w:val="17"/>
          <w:color w:val="auto"/>
        </w:rPr>
        <w:t>. At any time when any shares of Series B Preferred Stock are outstanding, the Corporation shall not, either directly or indirectly by amendment, merger, consolidation, recapitalization, reclassification, conversion, or otherwise, do any of the following without (in addition to any other vote required by law or this Certificate of Incorporation) the written consent or affirmative vote of the holders of at least sixty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420"/>
          </w:cols>
          <w:pgMar w:left="740" w:top="264" w:right="739" w:bottom="1440" w:gutter="0" w:footer="0" w:header="0"/>
        </w:sectPr>
      </w:pPr>
    </w:p>
    <w:bookmarkStart w:id="306" w:name="page307"/>
    <w:bookmarkEnd w:id="306"/>
    <w:p>
      <w:pPr>
        <w:ind w:right="4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percent (60%) of the then outstanding shares of Series B Preferred Stock, given in writing or by vote at a meeting, consenting or voting (as the case may be) separately as a class, and any such act or transaction entered into without such consent or vote shall be null and void </w:t>
      </w:r>
      <w:r>
        <w:rPr>
          <w:rFonts w:ascii="Times New Roman" w:cs="Times New Roman" w:eastAsia="Times New Roman" w:hAnsi="Times New Roman"/>
          <w:sz w:val="17"/>
          <w:szCs w:val="17"/>
          <w:i w:val="1"/>
          <w:iCs w:val="1"/>
          <w:color w:val="auto"/>
        </w:rPr>
        <w:t>ab initio</w:t>
      </w:r>
      <w:r>
        <w:rPr>
          <w:rFonts w:ascii="Times New Roman" w:cs="Times New Roman" w:eastAsia="Times New Roman" w:hAnsi="Times New Roman"/>
          <w:sz w:val="17"/>
          <w:szCs w:val="17"/>
          <w:color w:val="auto"/>
        </w:rPr>
        <w:t>, and of no force or effect:</w:t>
      </w:r>
    </w:p>
    <w:p>
      <w:pPr>
        <w:spacing w:after="0" w:line="165" w:lineRule="exact"/>
        <w:rPr>
          <w:sz w:val="20"/>
          <w:szCs w:val="20"/>
          <w:color w:val="auto"/>
        </w:rPr>
      </w:pPr>
    </w:p>
    <w:p>
      <w:pPr>
        <w:ind w:firstLine="1877"/>
        <w:spacing w:after="0" w:line="283" w:lineRule="auto"/>
        <w:rPr>
          <w:sz w:val="20"/>
          <w:szCs w:val="20"/>
          <w:color w:val="auto"/>
        </w:rPr>
      </w:pPr>
      <w:r>
        <w:rPr>
          <w:rFonts w:ascii="Times New Roman" w:cs="Times New Roman" w:eastAsia="Times New Roman" w:hAnsi="Times New Roman"/>
          <w:sz w:val="17"/>
          <w:szCs w:val="17"/>
          <w:color w:val="auto"/>
        </w:rPr>
        <w:t>3.5.1 amend, waive, alter or repeal any provision of this Certificate of Incorporation or the Bylaws in a manner that adversely affects the powers, preferences or rights of the Series B Preferred Stock;</w:t>
      </w:r>
    </w:p>
    <w:p>
      <w:pPr>
        <w:spacing w:after="0" w:line="152" w:lineRule="exact"/>
        <w:rPr>
          <w:sz w:val="20"/>
          <w:szCs w:val="20"/>
          <w:color w:val="auto"/>
        </w:rPr>
      </w:pPr>
    </w:p>
    <w:p>
      <w:pPr>
        <w:ind w:right="80" w:firstLine="1877"/>
        <w:spacing w:after="0" w:line="257" w:lineRule="auto"/>
        <w:rPr>
          <w:sz w:val="20"/>
          <w:szCs w:val="20"/>
          <w:color w:val="auto"/>
        </w:rPr>
      </w:pPr>
      <w:r>
        <w:rPr>
          <w:rFonts w:ascii="Times New Roman" w:cs="Times New Roman" w:eastAsia="Times New Roman" w:hAnsi="Times New Roman"/>
          <w:sz w:val="17"/>
          <w:szCs w:val="17"/>
          <w:color w:val="auto"/>
        </w:rPr>
        <w:t>3.5.2 create, or authorize the creation of (by reclassification or otherwise), any additional class or series of capital stock unless the same ranks junior to the Series B Preferred Stock with respect to the distribution of assets on the liquidation, dissolution or winding up of the Corporation or Deemed Liquidation Event, the payment of dividends and rights of redemption, or increase the authorized number of shares of Series B Preferred Stock or increase the authorized number of shares of any additional class or series of capital stock unless the same ranks junior to the Series B Preferred Stock with respect to the distribution of assets on the liquidation, dissolution or winding up of the Corporation or Deemed Liquidation Event, the payment of dividends and rights of redemption; or</w:t>
      </w:r>
    </w:p>
    <w:p>
      <w:pPr>
        <w:spacing w:after="0" w:line="175" w:lineRule="exact"/>
        <w:rPr>
          <w:sz w:val="20"/>
          <w:szCs w:val="20"/>
          <w:color w:val="auto"/>
        </w:rPr>
      </w:pPr>
    </w:p>
    <w:p>
      <w:pPr>
        <w:ind w:firstLine="1877"/>
        <w:spacing w:after="0" w:line="256" w:lineRule="auto"/>
        <w:rPr>
          <w:sz w:val="20"/>
          <w:szCs w:val="20"/>
          <w:color w:val="auto"/>
        </w:rPr>
      </w:pPr>
      <w:r>
        <w:rPr>
          <w:rFonts w:ascii="Times New Roman" w:cs="Times New Roman" w:eastAsia="Times New Roman" w:hAnsi="Times New Roman"/>
          <w:sz w:val="17"/>
          <w:szCs w:val="17"/>
          <w:color w:val="auto"/>
        </w:rPr>
        <w:t>3.5.3 (i) reclassify, alter or amend any existing security of the Corporation that is pari passu with the Series B Preferred Stock in respect of the distribution of assets on the liquidation, dissolution or winding up of the Corporation or Deemed Liquidation Event, the payment of dividends or rights of redemption, if such reclassification, alteration or amendment would render such other security senior to the Series B Preferred Stock in respect of any such right, preference, or privilege or (ii) reclassify, alter or amend any existing security of the Corporation that is junior to the Series B Preferred Stock in respect of the distribution of assets on the liquidation, dissolution or winding up of the Corporation or Deemed Liquidation Event, the payment of dividends or rights of redemption, if such reclassification, alteration or amendment would render such other security senior to or pari passu with the Series B Preferred Stock in respect of any such right, preference or privilege.</w:t>
      </w:r>
    </w:p>
    <w:p>
      <w:pPr>
        <w:spacing w:after="0" w:line="176" w:lineRule="exact"/>
        <w:rPr>
          <w:sz w:val="20"/>
          <w:szCs w:val="20"/>
          <w:color w:val="auto"/>
        </w:rPr>
      </w:pPr>
    </w:p>
    <w:p>
      <w:pPr>
        <w:ind w:right="60" w:firstLine="938"/>
        <w:spacing w:after="0" w:line="257" w:lineRule="auto"/>
        <w:rPr>
          <w:sz w:val="20"/>
          <w:szCs w:val="20"/>
          <w:color w:val="auto"/>
        </w:rPr>
      </w:pPr>
      <w:r>
        <w:rPr>
          <w:rFonts w:ascii="Times New Roman" w:cs="Times New Roman" w:eastAsia="Times New Roman" w:hAnsi="Times New Roman"/>
          <w:sz w:val="17"/>
          <w:szCs w:val="17"/>
          <w:color w:val="auto"/>
        </w:rPr>
        <w:t xml:space="preserve">3.6 </w:t>
      </w:r>
      <w:r>
        <w:rPr>
          <w:rFonts w:ascii="Times New Roman" w:cs="Times New Roman" w:eastAsia="Times New Roman" w:hAnsi="Times New Roman"/>
          <w:sz w:val="17"/>
          <w:szCs w:val="17"/>
          <w:u w:val="single" w:color="auto"/>
          <w:color w:val="auto"/>
        </w:rPr>
        <w:t>Series A Preferred Stock Protective Provisions</w:t>
      </w:r>
      <w:r>
        <w:rPr>
          <w:rFonts w:ascii="Times New Roman" w:cs="Times New Roman" w:eastAsia="Times New Roman" w:hAnsi="Times New Roman"/>
          <w:sz w:val="17"/>
          <w:szCs w:val="17"/>
          <w:color w:val="auto"/>
        </w:rPr>
        <w:t xml:space="preserve">. At any time when any shares of Series A Preferred Stock are outstanding, the Corporation shall not, either directly or indirectly by amendment, merger, consolidation, recapitalization, reclassification, conversion, or otherwise, do any of the following without (in addition to any other vote required by law or this Certificate of Incorporation) the written consent or affirmative vote of the holders of at least sixty percent (60%) of the then outstanding shares of Series A Preferred Stock, given in writing or by vote at a meeting, consenting or voting (as the case may be) separately as a class, and any such act or transaction entered into without such consent or vote shall be null and void </w:t>
      </w:r>
      <w:r>
        <w:rPr>
          <w:rFonts w:ascii="Times New Roman" w:cs="Times New Roman" w:eastAsia="Times New Roman" w:hAnsi="Times New Roman"/>
          <w:sz w:val="17"/>
          <w:szCs w:val="17"/>
          <w:i w:val="1"/>
          <w:iCs w:val="1"/>
          <w:color w:val="auto"/>
        </w:rPr>
        <w:t>ab initio</w:t>
      </w:r>
      <w:r>
        <w:rPr>
          <w:rFonts w:ascii="Times New Roman" w:cs="Times New Roman" w:eastAsia="Times New Roman" w:hAnsi="Times New Roman"/>
          <w:sz w:val="17"/>
          <w:szCs w:val="17"/>
          <w:color w:val="auto"/>
        </w:rPr>
        <w:t>, and of no force or effect:</w:t>
      </w:r>
    </w:p>
    <w:p>
      <w:pPr>
        <w:spacing w:after="0" w:line="175" w:lineRule="exact"/>
        <w:rPr>
          <w:sz w:val="20"/>
          <w:szCs w:val="20"/>
          <w:color w:val="auto"/>
        </w:rPr>
      </w:pPr>
    </w:p>
    <w:p>
      <w:pPr>
        <w:ind w:right="260" w:firstLine="1877"/>
        <w:spacing w:after="0" w:line="283" w:lineRule="auto"/>
        <w:rPr>
          <w:sz w:val="20"/>
          <w:szCs w:val="20"/>
          <w:color w:val="auto"/>
        </w:rPr>
      </w:pPr>
      <w:r>
        <w:rPr>
          <w:rFonts w:ascii="Times New Roman" w:cs="Times New Roman" w:eastAsia="Times New Roman" w:hAnsi="Times New Roman"/>
          <w:sz w:val="17"/>
          <w:szCs w:val="17"/>
          <w:color w:val="auto"/>
        </w:rPr>
        <w:t>3.6.1 amend, waive, alter or repeal any provision of this Certificate of Incorporation or Bylaws in a manner that adversely affects the powers, preferences or rights of the Series A Preferred Stock;</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420"/>
          </w:cols>
          <w:pgMar w:left="740" w:top="263" w:right="739" w:bottom="1440" w:gutter="0" w:footer="0" w:header="0"/>
        </w:sectPr>
      </w:pPr>
    </w:p>
    <w:bookmarkStart w:id="307" w:name="page308"/>
    <w:bookmarkEnd w:id="307"/>
    <w:p>
      <w:pPr>
        <w:ind w:right="40" w:firstLine="1877"/>
        <w:spacing w:after="0" w:line="25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3.6.2 create, or authorize the creation of (by reclassification or otherwise), any additional class or series of capital stock unless the same ranks junior to the Series A Preferred Stock with respect to the distribution of assets on the liquidation, dissolution or winding up of the Corporation or Deemed Liquidation Event, the payment of dividends and rights of redemption, or increase the authorized number of shares of Series A Preferred Stock or increase the authorized number of shares of any additional class or series of capital stock unless the same ranks junior to the Series A Preferred Stock with respect to the distribution of assets on the liquidation, dissolution or winding up of the Corporation or Deemed Liquidation Event, the payment of dividends and rights of redemption; or</w:t>
      </w:r>
    </w:p>
    <w:p>
      <w:pPr>
        <w:spacing w:after="0" w:line="175" w:lineRule="exact"/>
        <w:rPr>
          <w:sz w:val="20"/>
          <w:szCs w:val="20"/>
          <w:color w:val="auto"/>
        </w:rPr>
      </w:pPr>
    </w:p>
    <w:p>
      <w:pPr>
        <w:ind w:right="60" w:firstLine="1877"/>
        <w:spacing w:after="0" w:line="256" w:lineRule="auto"/>
        <w:rPr>
          <w:sz w:val="20"/>
          <w:szCs w:val="20"/>
          <w:color w:val="auto"/>
        </w:rPr>
      </w:pPr>
      <w:r>
        <w:rPr>
          <w:rFonts w:ascii="Times New Roman" w:cs="Times New Roman" w:eastAsia="Times New Roman" w:hAnsi="Times New Roman"/>
          <w:sz w:val="17"/>
          <w:szCs w:val="17"/>
          <w:color w:val="auto"/>
        </w:rPr>
        <w:t>3.6.3 (i) reclassify, alter or amend any existing security of the Corporation that is pari passu with the Series A Preferred Stock in respect of the distribution of assets on the liquidation, dissolution or winding up of the Corporation or Deemed Liquidation Event, the payment of dividends or rights of redemption, if such reclassification, alteration or amendment would render such other security senior to the Series A Preferred Stock in respect of any such right, preference, or privilege or (ii) reclassify, alter or amend any existing security of the Corporation that is junior to the Series A Preferred Stock in respect of the distribution of assets on the liquidation, dissolution or winding up of the Corporation or Deemed Liquidation Event, the payment of dividends or rights of redemption, if such reclassification, alteration or amendment would render such other security senior to or pari passu with the Series A Preferred Stock in respect of any such right, preference or privilege.</w:t>
      </w:r>
    </w:p>
    <w:p>
      <w:pPr>
        <w:spacing w:after="0" w:line="172" w:lineRule="exact"/>
        <w:rPr>
          <w:sz w:val="20"/>
          <w:szCs w:val="20"/>
          <w:color w:val="auto"/>
        </w:rPr>
      </w:pPr>
    </w:p>
    <w:p>
      <w:pPr>
        <w:ind w:left="1340" w:right="800" w:hanging="411"/>
        <w:spacing w:after="0" w:line="504" w:lineRule="auto"/>
        <w:tabs>
          <w:tab w:leader="none" w:pos="1093"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Optional Conversion</w:t>
      </w:r>
      <w:r>
        <w:rPr>
          <w:rFonts w:ascii="Times New Roman" w:cs="Times New Roman" w:eastAsia="Times New Roman" w:hAnsi="Times New Roman"/>
          <w:sz w:val="17"/>
          <w:szCs w:val="17"/>
          <w:color w:val="auto"/>
        </w:rPr>
        <w:t>. The holders of the Preferred Stock shall have conversion rights as follows (the “</w:t>
      </w:r>
      <w:r>
        <w:rPr>
          <w:rFonts w:ascii="Times New Roman" w:cs="Times New Roman" w:eastAsia="Times New Roman" w:hAnsi="Times New Roman"/>
          <w:sz w:val="17"/>
          <w:szCs w:val="17"/>
          <w:b w:val="1"/>
          <w:bCs w:val="1"/>
          <w:color w:val="auto"/>
        </w:rPr>
        <w:t>Conversion Rights</w:t>
      </w:r>
      <w:r>
        <w:rPr>
          <w:rFonts w:ascii="Times New Roman" w:cs="Times New Roman" w:eastAsia="Times New Roman" w:hAnsi="Times New Roman"/>
          <w:sz w:val="17"/>
          <w:szCs w:val="17"/>
          <w:color w:val="auto"/>
        </w:rPr>
        <w:t xml:space="preserve">”): 4.1 </w:t>
      </w:r>
      <w:r>
        <w:rPr>
          <w:rFonts w:ascii="Times New Roman" w:cs="Times New Roman" w:eastAsia="Times New Roman" w:hAnsi="Times New Roman"/>
          <w:sz w:val="17"/>
          <w:szCs w:val="17"/>
          <w:u w:val="single" w:color="auto"/>
          <w:color w:val="auto"/>
        </w:rPr>
        <w:t>Right to Convert</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firstLine="1877"/>
        <w:spacing w:after="0" w:line="255" w:lineRule="auto"/>
        <w:rPr>
          <w:sz w:val="20"/>
          <w:szCs w:val="20"/>
          <w:color w:val="auto"/>
        </w:rPr>
      </w:pPr>
      <w:r>
        <w:rPr>
          <w:rFonts w:ascii="Times New Roman" w:cs="Times New Roman" w:eastAsia="Times New Roman" w:hAnsi="Times New Roman"/>
          <w:sz w:val="17"/>
          <w:szCs w:val="17"/>
          <w:color w:val="auto"/>
        </w:rPr>
        <w:t xml:space="preserve">4.1.1 </w:t>
      </w:r>
      <w:r>
        <w:rPr>
          <w:rFonts w:ascii="Times New Roman" w:cs="Times New Roman" w:eastAsia="Times New Roman" w:hAnsi="Times New Roman"/>
          <w:sz w:val="17"/>
          <w:szCs w:val="17"/>
          <w:u w:val="single" w:color="auto"/>
          <w:color w:val="auto"/>
        </w:rPr>
        <w:t>Conversion Ratio</w:t>
      </w:r>
      <w:r>
        <w:rPr>
          <w:rFonts w:ascii="Times New Roman" w:cs="Times New Roman" w:eastAsia="Times New Roman" w:hAnsi="Times New Roman"/>
          <w:sz w:val="17"/>
          <w:szCs w:val="17"/>
          <w:color w:val="auto"/>
        </w:rPr>
        <w:t>.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applicable Original Issue Price by the applicable Conversion Price (as defined below) in effect at the time of conversion; provided that such holder may waive such option to convert upon written notice to the Corporation. The “</w:t>
      </w:r>
      <w:r>
        <w:rPr>
          <w:rFonts w:ascii="Times New Roman" w:cs="Times New Roman" w:eastAsia="Times New Roman" w:hAnsi="Times New Roman"/>
          <w:sz w:val="17"/>
          <w:szCs w:val="17"/>
          <w:b w:val="1"/>
          <w:bCs w:val="1"/>
          <w:color w:val="auto"/>
        </w:rPr>
        <w:t>Conversion Price</w:t>
      </w:r>
      <w:r>
        <w:rPr>
          <w:rFonts w:ascii="Times New Roman" w:cs="Times New Roman" w:eastAsia="Times New Roman" w:hAnsi="Times New Roman"/>
          <w:sz w:val="17"/>
          <w:szCs w:val="17"/>
          <w:color w:val="auto"/>
        </w:rPr>
        <w:t>” shall mean, as applicable, initially (i) the Series C Original Issue Price with respect to Series C Preferred Stock (“</w:t>
      </w:r>
      <w:r>
        <w:rPr>
          <w:rFonts w:ascii="Times New Roman" w:cs="Times New Roman" w:eastAsia="Times New Roman" w:hAnsi="Times New Roman"/>
          <w:sz w:val="17"/>
          <w:szCs w:val="17"/>
          <w:b w:val="1"/>
          <w:bCs w:val="1"/>
          <w:color w:val="auto"/>
        </w:rPr>
        <w:t>Series C Conversion Price</w:t>
      </w:r>
      <w:r>
        <w:rPr>
          <w:rFonts w:ascii="Times New Roman" w:cs="Times New Roman" w:eastAsia="Times New Roman" w:hAnsi="Times New Roman"/>
          <w:sz w:val="17"/>
          <w:szCs w:val="17"/>
          <w:color w:val="auto"/>
        </w:rPr>
        <w:t>”), (ii) the Series B Original Issue Price with respect to Series B Preferred Stock (“</w:t>
      </w:r>
      <w:r>
        <w:rPr>
          <w:rFonts w:ascii="Times New Roman" w:cs="Times New Roman" w:eastAsia="Times New Roman" w:hAnsi="Times New Roman"/>
          <w:sz w:val="17"/>
          <w:szCs w:val="17"/>
          <w:b w:val="1"/>
          <w:bCs w:val="1"/>
          <w:color w:val="auto"/>
        </w:rPr>
        <w:t>Series B Conversion Price</w:t>
      </w:r>
      <w:r>
        <w:rPr>
          <w:rFonts w:ascii="Times New Roman" w:cs="Times New Roman" w:eastAsia="Times New Roman" w:hAnsi="Times New Roman"/>
          <w:sz w:val="17"/>
          <w:szCs w:val="17"/>
          <w:color w:val="auto"/>
        </w:rPr>
        <w:t>”), and (iii) the Series A Original Issue Price with respect to Series A Preferred Stock (“</w:t>
      </w:r>
      <w:r>
        <w:rPr>
          <w:rFonts w:ascii="Times New Roman" w:cs="Times New Roman" w:eastAsia="Times New Roman" w:hAnsi="Times New Roman"/>
          <w:sz w:val="17"/>
          <w:szCs w:val="17"/>
          <w:b w:val="1"/>
          <w:bCs w:val="1"/>
          <w:color w:val="auto"/>
        </w:rPr>
        <w:t>Series A Conversion Price</w:t>
      </w:r>
      <w:r>
        <w:rPr>
          <w:rFonts w:ascii="Times New Roman" w:cs="Times New Roman" w:eastAsia="Times New Roman" w:hAnsi="Times New Roman"/>
          <w:sz w:val="17"/>
          <w:szCs w:val="17"/>
          <w:color w:val="auto"/>
        </w:rPr>
        <w:t>”). Such initial Conversion Price, and the rate at which shares of Preferred Stock may be converted into shares of Common Stock, shall be subject to adjustment as provided below.</w:t>
      </w:r>
    </w:p>
    <w:p>
      <w:pPr>
        <w:spacing w:after="0" w:line="178" w:lineRule="exact"/>
        <w:rPr>
          <w:sz w:val="20"/>
          <w:szCs w:val="20"/>
          <w:color w:val="auto"/>
        </w:rPr>
      </w:pPr>
    </w:p>
    <w:p>
      <w:pPr>
        <w:ind w:firstLine="1877"/>
        <w:spacing w:after="0" w:line="259" w:lineRule="auto"/>
        <w:rPr>
          <w:sz w:val="20"/>
          <w:szCs w:val="20"/>
          <w:color w:val="auto"/>
        </w:rPr>
      </w:pPr>
      <w:r>
        <w:rPr>
          <w:rFonts w:ascii="Times New Roman" w:cs="Times New Roman" w:eastAsia="Times New Roman" w:hAnsi="Times New Roman"/>
          <w:sz w:val="17"/>
          <w:szCs w:val="17"/>
          <w:color w:val="auto"/>
        </w:rPr>
        <w:t xml:space="preserve">4.1.2 </w:t>
      </w:r>
      <w:r>
        <w:rPr>
          <w:rFonts w:ascii="Times New Roman" w:cs="Times New Roman" w:eastAsia="Times New Roman" w:hAnsi="Times New Roman"/>
          <w:sz w:val="17"/>
          <w:szCs w:val="17"/>
          <w:u w:val="single" w:color="auto"/>
          <w:color w:val="auto"/>
        </w:rPr>
        <w:t>Termination of Conversion Rights</w:t>
      </w:r>
      <w:r>
        <w:rPr>
          <w:rFonts w:ascii="Times New Roman" w:cs="Times New Roman" w:eastAsia="Times New Roman" w:hAnsi="Times New Roman"/>
          <w:sz w:val="17"/>
          <w:szCs w:val="17"/>
          <w:color w:val="auto"/>
        </w:rPr>
        <w:t xml:space="preserve">.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foregoing termination of Conversion Rights shall not affect the amount(s) otherwise paid or payable in accordance with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to holders of Preferred Stock pursuant to such liquidation, dissolution or winding up of the Corporation or a Deemed Liquidation Event.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400"/>
          </w:cols>
          <w:pgMar w:left="740" w:top="263" w:right="759" w:bottom="1440" w:gutter="0" w:footer="0" w:header="0"/>
        </w:sectPr>
      </w:pPr>
    </w:p>
    <w:bookmarkStart w:id="308" w:name="page309"/>
    <w:bookmarkEnd w:id="308"/>
    <w:p>
      <w:pPr>
        <w:ind w:right="40" w:firstLine="1355"/>
        <w:spacing w:after="0" w:line="25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4.2 </w:t>
      </w:r>
      <w:r>
        <w:rPr>
          <w:rFonts w:ascii="Times New Roman" w:cs="Times New Roman" w:eastAsia="Times New Roman" w:hAnsi="Times New Roman"/>
          <w:sz w:val="17"/>
          <w:szCs w:val="17"/>
          <w:u w:val="single" w:color="auto"/>
          <w:color w:val="auto"/>
        </w:rPr>
        <w:t>Fractional Shares</w:t>
      </w:r>
      <w:r>
        <w:rPr>
          <w:rFonts w:ascii="Times New Roman" w:cs="Times New Roman" w:eastAsia="Times New Roman" w:hAnsi="Times New Roman"/>
          <w:sz w:val="17"/>
          <w:szCs w:val="17"/>
          <w:color w:val="auto"/>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of Directors.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pacing w:after="0" w:line="17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u w:val="single" w:color="auto"/>
          <w:color w:val="auto"/>
        </w:rPr>
        <w:t>Mechanics of Conversion</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ind w:right="20" w:firstLine="1877"/>
        <w:spacing w:after="0" w:line="252" w:lineRule="auto"/>
        <w:rPr>
          <w:sz w:val="20"/>
          <w:szCs w:val="20"/>
          <w:color w:val="auto"/>
        </w:rPr>
      </w:pPr>
      <w:r>
        <w:rPr>
          <w:rFonts w:ascii="Times New Roman" w:cs="Times New Roman" w:eastAsia="Times New Roman" w:hAnsi="Times New Roman"/>
          <w:sz w:val="17"/>
          <w:szCs w:val="17"/>
          <w:color w:val="auto"/>
        </w:rPr>
        <w:t xml:space="preserve">4.3.1 </w:t>
      </w:r>
      <w:r>
        <w:rPr>
          <w:rFonts w:ascii="Times New Roman" w:cs="Times New Roman" w:eastAsia="Times New Roman" w:hAnsi="Times New Roman"/>
          <w:sz w:val="17"/>
          <w:szCs w:val="17"/>
          <w:u w:val="single" w:color="auto"/>
          <w:color w:val="auto"/>
        </w:rPr>
        <w:t>Notice of Conversion</w:t>
      </w:r>
      <w:r>
        <w:rPr>
          <w:rFonts w:ascii="Times New Roman" w:cs="Times New Roman" w:eastAsia="Times New Roman" w:hAnsi="Times New Roman"/>
          <w:sz w:val="17"/>
          <w:szCs w:val="17"/>
          <w:color w:val="auto"/>
        </w:rPr>
        <w:t>. In order for a holder of Preferred Stock to voluntarily convert shares of Preferred Stock into shares of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Such notice shall state such holder’s name or the names of the nominees in which such holder wishes the shares of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Times New Roman" w:cs="Times New Roman" w:eastAsia="Times New Roman" w:hAnsi="Times New Roman"/>
          <w:sz w:val="17"/>
          <w:szCs w:val="17"/>
          <w:b w:val="1"/>
          <w:bCs w:val="1"/>
          <w:color w:val="auto"/>
        </w:rPr>
        <w:t>Conversion Time</w:t>
      </w:r>
      <w:r>
        <w:rPr>
          <w:rFonts w:ascii="Times New Roman" w:cs="Times New Roman" w:eastAsia="Times New Roman" w:hAnsi="Times New Roman"/>
          <w:sz w:val="17"/>
          <w:szCs w:val="17"/>
          <w:color w:val="auto"/>
        </w:rPr>
        <w:t xml:space="preserve">”), and the shares of Common Stock issuable upon conversion of the specified shares shall be deemed to be outstanding of record as of such date. The Corporation shall, as soon as practicable after the Conversion Time (i) issue and deliver to such holder of Preferred Stock, or to his, her or its nominees, a certificate or 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 (ii) pay in cash such amount as provided in </w:t>
      </w:r>
      <w:r>
        <w:rPr>
          <w:rFonts w:ascii="Times New Roman" w:cs="Times New Roman" w:eastAsia="Times New Roman" w:hAnsi="Times New Roman"/>
          <w:sz w:val="17"/>
          <w:szCs w:val="17"/>
          <w:u w:val="single" w:color="auto"/>
          <w:color w:val="auto"/>
        </w:rPr>
        <w:t>Subsection 4.2</w:t>
      </w:r>
      <w:r>
        <w:rPr>
          <w:rFonts w:ascii="Times New Roman" w:cs="Times New Roman" w:eastAsia="Times New Roman" w:hAnsi="Times New Roman"/>
          <w:sz w:val="17"/>
          <w:szCs w:val="17"/>
          <w:color w:val="auto"/>
        </w:rPr>
        <w:t xml:space="preserve"> in lieu of any fraction of a share of Common Stock otherwise issuable upon such conversion and (iii) pay all declared but unpaid dividends on the shares of Preferred Stock converted.</w:t>
      </w:r>
    </w:p>
    <w:p>
      <w:pPr>
        <w:spacing w:after="0" w:line="189" w:lineRule="exact"/>
        <w:rPr>
          <w:sz w:val="20"/>
          <w:szCs w:val="20"/>
          <w:color w:val="auto"/>
        </w:rPr>
      </w:pPr>
    </w:p>
    <w:p>
      <w:pPr>
        <w:ind w:firstLine="1877"/>
        <w:spacing w:after="0" w:line="261" w:lineRule="auto"/>
        <w:rPr>
          <w:sz w:val="20"/>
          <w:szCs w:val="20"/>
          <w:color w:val="auto"/>
        </w:rPr>
      </w:pPr>
      <w:r>
        <w:rPr>
          <w:rFonts w:ascii="Times New Roman" w:cs="Times New Roman" w:eastAsia="Times New Roman" w:hAnsi="Times New Roman"/>
          <w:sz w:val="17"/>
          <w:szCs w:val="17"/>
          <w:color w:val="auto"/>
        </w:rPr>
        <w:t xml:space="preserve">4.3.2 </w:t>
      </w:r>
      <w:r>
        <w:rPr>
          <w:rFonts w:ascii="Times New Roman" w:cs="Times New Roman" w:eastAsia="Times New Roman" w:hAnsi="Times New Roman"/>
          <w:sz w:val="17"/>
          <w:szCs w:val="17"/>
          <w:u w:val="single" w:color="auto"/>
          <w:color w:val="auto"/>
        </w:rPr>
        <w:t>Reservation of Shares</w:t>
      </w:r>
      <w:r>
        <w:rPr>
          <w:rFonts w:ascii="Times New Roman" w:cs="Times New Roman" w:eastAsia="Times New Roman" w:hAnsi="Times New Roman"/>
          <w:sz w:val="17"/>
          <w:szCs w:val="17"/>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400"/>
          </w:cols>
          <w:pgMar w:left="740" w:top="264" w:right="759" w:bottom="1440" w:gutter="0" w:footer="0" w:header="0"/>
        </w:sectPr>
      </w:pPr>
    </w:p>
    <w:bookmarkStart w:id="309" w:name="page310"/>
    <w:bookmarkEnd w:id="309"/>
    <w:p>
      <w:pPr>
        <w:ind w:right="40"/>
        <w:spacing w:after="0" w:line="25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this Certificate of Incorporation. Before taking any action which would cause an adjustment reducing the Conversion Price below the then par value of the shares of Common Stock issuable upon conversion of the Preferred Stock, the Corporation will take any corporate action which may, in the opinion of its counsel, be necessary in order that the Corporation may validly and legally issue fully paid and non-assessable shares of Common Stock at such adjusted Conversion Price.</w:t>
      </w:r>
    </w:p>
    <w:p>
      <w:pPr>
        <w:spacing w:after="0" w:line="175" w:lineRule="exact"/>
        <w:rPr>
          <w:sz w:val="20"/>
          <w:szCs w:val="20"/>
          <w:color w:val="auto"/>
        </w:rPr>
      </w:pPr>
    </w:p>
    <w:p>
      <w:pPr>
        <w:ind w:right="40" w:firstLine="1877"/>
        <w:spacing w:after="0" w:line="256" w:lineRule="auto"/>
        <w:rPr>
          <w:sz w:val="20"/>
          <w:szCs w:val="20"/>
          <w:color w:val="auto"/>
        </w:rPr>
      </w:pPr>
      <w:r>
        <w:rPr>
          <w:rFonts w:ascii="Times New Roman" w:cs="Times New Roman" w:eastAsia="Times New Roman" w:hAnsi="Times New Roman"/>
          <w:sz w:val="17"/>
          <w:szCs w:val="17"/>
          <w:color w:val="auto"/>
        </w:rPr>
        <w:t xml:space="preserve">4.3.3 </w:t>
      </w:r>
      <w:r>
        <w:rPr>
          <w:rFonts w:ascii="Times New Roman" w:cs="Times New Roman" w:eastAsia="Times New Roman" w:hAnsi="Times New Roman"/>
          <w:sz w:val="17"/>
          <w:szCs w:val="17"/>
          <w:u w:val="single" w:color="auto"/>
          <w:color w:val="auto"/>
        </w:rPr>
        <w:t>Effect of Conversion</w:t>
      </w:r>
      <w:r>
        <w:rPr>
          <w:rFonts w:ascii="Times New Roman" w:cs="Times New Roman" w:eastAsia="Times New Roman" w:hAnsi="Times New Roman"/>
          <w:sz w:val="17"/>
          <w:szCs w:val="17"/>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w:t>
      </w:r>
      <w:r>
        <w:rPr>
          <w:rFonts w:ascii="Times New Roman" w:cs="Times New Roman" w:eastAsia="Times New Roman" w:hAnsi="Times New Roman"/>
          <w:sz w:val="17"/>
          <w:szCs w:val="17"/>
          <w:u w:val="single" w:color="auto"/>
          <w:color w:val="auto"/>
        </w:rPr>
        <w:t>Subsection 4.2</w:t>
      </w:r>
      <w:r>
        <w:rPr>
          <w:rFonts w:ascii="Times New Roman" w:cs="Times New Roman" w:eastAsia="Times New Roman" w:hAnsi="Times New Roman"/>
          <w:sz w:val="17"/>
          <w:szCs w:val="17"/>
          <w:color w:val="auto"/>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76" w:lineRule="exact"/>
        <w:rPr>
          <w:sz w:val="20"/>
          <w:szCs w:val="20"/>
          <w:color w:val="auto"/>
        </w:rPr>
      </w:pPr>
    </w:p>
    <w:p>
      <w:pPr>
        <w:ind w:right="420" w:firstLine="1877"/>
        <w:spacing w:after="0" w:line="283" w:lineRule="auto"/>
        <w:rPr>
          <w:sz w:val="20"/>
          <w:szCs w:val="20"/>
          <w:color w:val="auto"/>
        </w:rPr>
      </w:pPr>
      <w:r>
        <w:rPr>
          <w:rFonts w:ascii="Times New Roman" w:cs="Times New Roman" w:eastAsia="Times New Roman" w:hAnsi="Times New Roman"/>
          <w:sz w:val="17"/>
          <w:szCs w:val="17"/>
          <w:color w:val="auto"/>
        </w:rPr>
        <w:t xml:space="preserve">4.3.4 </w:t>
      </w:r>
      <w:r>
        <w:rPr>
          <w:rFonts w:ascii="Times New Roman" w:cs="Times New Roman" w:eastAsia="Times New Roman" w:hAnsi="Times New Roman"/>
          <w:sz w:val="17"/>
          <w:szCs w:val="17"/>
          <w:u w:val="single" w:color="auto"/>
          <w:color w:val="auto"/>
        </w:rPr>
        <w:t>No Further Adjustment</w:t>
      </w:r>
      <w:r>
        <w:rPr>
          <w:rFonts w:ascii="Times New Roman" w:cs="Times New Roman" w:eastAsia="Times New Roman" w:hAnsi="Times New Roman"/>
          <w:sz w:val="17"/>
          <w:szCs w:val="17"/>
          <w:color w:val="auto"/>
        </w:rPr>
        <w:t>. Upon any such conversion, no adjustment to the Conversion Price shall be made for any declared but unpaid dividends on the Preferred Stock surrendered for conversion or on the Common Stock delivered upon conversion.</w:t>
      </w:r>
    </w:p>
    <w:p>
      <w:pPr>
        <w:spacing w:after="0" w:line="152" w:lineRule="exact"/>
        <w:rPr>
          <w:sz w:val="20"/>
          <w:szCs w:val="20"/>
          <w:color w:val="auto"/>
        </w:rPr>
      </w:pPr>
    </w:p>
    <w:p>
      <w:pPr>
        <w:ind w:firstLine="1877"/>
        <w:spacing w:after="0" w:line="257" w:lineRule="auto"/>
        <w:rPr>
          <w:sz w:val="20"/>
          <w:szCs w:val="20"/>
          <w:color w:val="auto"/>
        </w:rPr>
      </w:pPr>
      <w:r>
        <w:rPr>
          <w:rFonts w:ascii="Times New Roman" w:cs="Times New Roman" w:eastAsia="Times New Roman" w:hAnsi="Times New Roman"/>
          <w:sz w:val="17"/>
          <w:szCs w:val="17"/>
          <w:color w:val="auto"/>
        </w:rPr>
        <w:t xml:space="preserve">4.3.5 </w:t>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xml:space="preserve">. The Corporation shall pay any and all issue and other similar taxes that may be payable in respect of any issuance or delivery of shares of Common Stock upon conversion of shares of Preferred Stock pursuant to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7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u w:val="single" w:color="auto"/>
          <w:color w:val="auto"/>
        </w:rPr>
        <w:t>Adjustments to Conversion Price for Diluting Issues</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 xml:space="preserve">4.4.1 </w:t>
      </w:r>
      <w:r>
        <w:rPr>
          <w:rFonts w:ascii="Times New Roman" w:cs="Times New Roman" w:eastAsia="Times New Roman" w:hAnsi="Times New Roman"/>
          <w:sz w:val="17"/>
          <w:szCs w:val="17"/>
          <w:u w:val="single" w:color="auto"/>
          <w:color w:val="auto"/>
        </w:rPr>
        <w:t>Special Definitions</w:t>
      </w:r>
      <w:r>
        <w:rPr>
          <w:rFonts w:ascii="Times New Roman" w:cs="Times New Roman" w:eastAsia="Times New Roman" w:hAnsi="Times New Roman"/>
          <w:sz w:val="17"/>
          <w:szCs w:val="17"/>
          <w:color w:val="auto"/>
        </w:rPr>
        <w:t xml:space="preserve">. For purposes of this </w:t>
      </w:r>
      <w:r>
        <w:rPr>
          <w:rFonts w:ascii="Times New Roman" w:cs="Times New Roman" w:eastAsia="Times New Roman" w:hAnsi="Times New Roman"/>
          <w:sz w:val="17"/>
          <w:szCs w:val="17"/>
          <w:u w:val="single" w:color="auto"/>
          <w:color w:val="auto"/>
        </w:rPr>
        <w:t>Article Fourth</w:t>
      </w:r>
      <w:r>
        <w:rPr>
          <w:rFonts w:ascii="Times New Roman" w:cs="Times New Roman" w:eastAsia="Times New Roman" w:hAnsi="Times New Roman"/>
          <w:sz w:val="17"/>
          <w:szCs w:val="17"/>
          <w:color w:val="auto"/>
        </w:rPr>
        <w:t>, the following definitions shall apply:</w:t>
      </w:r>
    </w:p>
    <w:p>
      <w:pPr>
        <w:spacing w:after="0" w:line="10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color w:val="auto"/>
        </w:rPr>
        <w:t>Option</w:t>
      </w:r>
      <w:r>
        <w:rPr>
          <w:rFonts w:ascii="Times New Roman" w:cs="Times New Roman" w:eastAsia="Times New Roman" w:hAnsi="Times New Roman"/>
          <w:sz w:val="17"/>
          <w:szCs w:val="17"/>
          <w:color w:val="auto"/>
        </w:rPr>
        <w:t>” shall mean rights, options or warrants to subscribe for, purchase or otherwise acquire Common Stock or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Convertible Securities.</w:t>
      </w:r>
    </w:p>
    <w:p>
      <w:pPr>
        <w:spacing w:after="0" w:line="192" w:lineRule="exact"/>
        <w:rPr>
          <w:sz w:val="20"/>
          <w:szCs w:val="20"/>
          <w:color w:val="auto"/>
        </w:rPr>
      </w:pPr>
    </w:p>
    <w:p>
      <w:pPr>
        <w:ind w:left="5120" w:right="560" w:hanging="2835"/>
        <w:spacing w:after="0" w:line="460" w:lineRule="auto"/>
        <w:tabs>
          <w:tab w:leader="none" w:pos="2527"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Original Issue Date</w:t>
      </w:r>
      <w:r>
        <w:rPr>
          <w:rFonts w:ascii="Times New Roman" w:cs="Times New Roman" w:eastAsia="Times New Roman" w:hAnsi="Times New Roman"/>
          <w:sz w:val="17"/>
          <w:szCs w:val="17"/>
          <w:color w:val="auto"/>
        </w:rPr>
        <w:t>” shall mean the date on which the first share of Series C Preferred Stock was issued. 13</w:t>
      </w:r>
    </w:p>
    <w:p>
      <w:pPr>
        <w:sectPr>
          <w:pgSz w:w="11900" w:h="16838" w:orient="portrait"/>
          <w:cols w:equalWidth="0" w:num="1">
            <w:col w:w="10360"/>
          </w:cols>
          <w:pgMar w:left="740" w:top="264" w:right="799" w:bottom="1440" w:gutter="0" w:footer="0" w:header="0"/>
        </w:sectPr>
      </w:pPr>
    </w:p>
    <w:bookmarkStart w:id="310" w:name="page311"/>
    <w:bookmarkEnd w:id="310"/>
    <w:p>
      <w:pPr>
        <w:ind w:left="9" w:right="20" w:firstLine="2285"/>
        <w:spacing w:after="0" w:line="288" w:lineRule="auto"/>
        <w:tabs>
          <w:tab w:leader="none" w:pos="2534" w:val="left"/>
        </w:tabs>
        <w:numPr>
          <w:ilvl w:val="2"/>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Convertible Securities</w:t>
      </w:r>
      <w:r>
        <w:rPr>
          <w:rFonts w:ascii="Times New Roman" w:cs="Times New Roman" w:eastAsia="Times New Roman" w:hAnsi="Times New Roman"/>
          <w:sz w:val="17"/>
          <w:szCs w:val="17"/>
          <w:color w:val="auto"/>
        </w:rPr>
        <w:t>” shall mean any evidences of indebtedness, shares or other securities directly or indirectly convertible into or exchangeable for Common Stock, but excluding Options.</w:t>
      </w:r>
    </w:p>
    <w:p>
      <w:pPr>
        <w:spacing w:after="0" w:line="144" w:lineRule="exact"/>
        <w:rPr>
          <w:rFonts w:ascii="Times New Roman" w:cs="Times New Roman" w:eastAsia="Times New Roman" w:hAnsi="Times New Roman"/>
          <w:sz w:val="17"/>
          <w:szCs w:val="17"/>
          <w:color w:val="auto"/>
        </w:rPr>
      </w:pPr>
    </w:p>
    <w:p>
      <w:pPr>
        <w:ind w:left="9" w:firstLine="2285"/>
        <w:spacing w:after="0" w:line="280" w:lineRule="auto"/>
        <w:tabs>
          <w:tab w:leader="none" w:pos="2544" w:val="left"/>
        </w:tabs>
        <w:numPr>
          <w:ilvl w:val="2"/>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Additional Shares of Common Stock</w:t>
      </w:r>
      <w:r>
        <w:rPr>
          <w:rFonts w:ascii="Times New Roman" w:cs="Times New Roman" w:eastAsia="Times New Roman" w:hAnsi="Times New Roman"/>
          <w:sz w:val="16"/>
          <w:szCs w:val="16"/>
          <w:color w:val="auto"/>
        </w:rPr>
        <w:t xml:space="preserve">” shall mean all shares of Common Stock issued (or, pursuant to </w:t>
      </w:r>
      <w:r>
        <w:rPr>
          <w:rFonts w:ascii="Times New Roman" w:cs="Times New Roman" w:eastAsia="Times New Roman" w:hAnsi="Times New Roman"/>
          <w:sz w:val="16"/>
          <w:szCs w:val="16"/>
          <w:u w:val="single" w:color="auto"/>
          <w:color w:val="auto"/>
        </w:rPr>
        <w:t>Subsection 4.4.3</w:t>
      </w:r>
      <w:r>
        <w:rPr>
          <w:rFonts w:ascii="Times New Roman" w:cs="Times New Roman" w:eastAsia="Times New Roman" w:hAnsi="Times New Roman"/>
          <w:sz w:val="16"/>
          <w:szCs w:val="16"/>
          <w:color w:val="auto"/>
        </w:rPr>
        <w:t xml:space="preserve"> below, deemed to be issued) by the Corporation after the Original Issue Date, other than (1) the following shares of Common Stock and</w:t>
      </w:r>
    </w:p>
    <w:p>
      <w:pPr>
        <w:ind w:left="9" w:right="100" w:hanging="9"/>
        <w:spacing w:after="0" w:line="261" w:lineRule="auto"/>
        <w:tabs>
          <w:tab w:leader="none" w:pos="250"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deemed issued pursuant to the following Options and Convertible Securities (clauses (1) and (2), collectively, “</w:t>
      </w:r>
      <w:r>
        <w:rPr>
          <w:rFonts w:ascii="Times New Roman" w:cs="Times New Roman" w:eastAsia="Times New Roman" w:hAnsi="Times New Roman"/>
          <w:sz w:val="17"/>
          <w:szCs w:val="17"/>
          <w:b w:val="1"/>
          <w:bCs w:val="1"/>
          <w:color w:val="auto"/>
        </w:rPr>
        <w:t>Exempted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Securities</w:t>
      </w:r>
      <w:r>
        <w:rPr>
          <w:rFonts w:ascii="Times New Roman" w:cs="Times New Roman" w:eastAsia="Times New Roman" w:hAnsi="Times New Roman"/>
          <w:sz w:val="17"/>
          <w:szCs w:val="17"/>
          <w:color w:val="auto"/>
        </w:rPr>
        <w:t>”):</w:t>
      </w:r>
    </w:p>
    <w:p>
      <w:pPr>
        <w:spacing w:after="0" w:line="81" w:lineRule="exact"/>
        <w:rPr>
          <w:rFonts w:ascii="Times New Roman" w:cs="Times New Roman" w:eastAsia="Times New Roman" w:hAnsi="Times New Roman"/>
          <w:sz w:val="17"/>
          <w:szCs w:val="17"/>
          <w:color w:val="auto"/>
        </w:rPr>
      </w:pPr>
    </w:p>
    <w:p>
      <w:pPr>
        <w:ind w:left="2269" w:right="40" w:hanging="608"/>
        <w:spacing w:after="0" w:line="283" w:lineRule="auto"/>
        <w:tabs>
          <w:tab w:leader="none" w:pos="2269" w:val="left"/>
        </w:tabs>
        <w:numPr>
          <w:ilvl w:val="1"/>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any series of Preferred Stock, shares of Common Stock, Options or Convertible Securities issued as a dividend or distribution on such series of Preferred Stock;</w:t>
      </w:r>
    </w:p>
    <w:p>
      <w:pPr>
        <w:spacing w:after="0" w:line="62" w:lineRule="exact"/>
        <w:rPr>
          <w:rFonts w:ascii="Times New Roman" w:cs="Times New Roman" w:eastAsia="Times New Roman" w:hAnsi="Times New Roman"/>
          <w:sz w:val="17"/>
          <w:szCs w:val="17"/>
          <w:color w:val="auto"/>
        </w:rPr>
      </w:pPr>
    </w:p>
    <w:p>
      <w:pPr>
        <w:ind w:left="2269" w:right="280" w:hanging="608"/>
        <w:spacing w:after="0" w:line="267" w:lineRule="auto"/>
        <w:tabs>
          <w:tab w:leader="none" w:pos="2269" w:val="left"/>
        </w:tabs>
        <w:numPr>
          <w:ilvl w:val="1"/>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shares of Common Stock, Options or Convertible Securities issued by reason of a dividend, stock split, split-up or other distribution on shares of Common Stock for which an adjustment to the Conversion Price is made pursuant to </w:t>
      </w:r>
      <w:r>
        <w:rPr>
          <w:rFonts w:ascii="Times New Roman" w:cs="Times New Roman" w:eastAsia="Times New Roman" w:hAnsi="Times New Roman"/>
          <w:sz w:val="17"/>
          <w:szCs w:val="17"/>
          <w:u w:val="single" w:color="auto"/>
          <w:color w:val="auto"/>
        </w:rPr>
        <w:t>Subsection 4.5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4.7</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4.8</w:t>
      </w:r>
      <w:r>
        <w:rPr>
          <w:rFonts w:ascii="Times New Roman" w:cs="Times New Roman" w:eastAsia="Times New Roman" w:hAnsi="Times New Roman"/>
          <w:sz w:val="17"/>
          <w:szCs w:val="17"/>
          <w:color w:val="auto"/>
        </w:rPr>
        <w:t>;</w:t>
      </w:r>
    </w:p>
    <w:p>
      <w:pPr>
        <w:spacing w:after="0" w:line="75" w:lineRule="exact"/>
        <w:rPr>
          <w:rFonts w:ascii="Times New Roman" w:cs="Times New Roman" w:eastAsia="Times New Roman" w:hAnsi="Times New Roman"/>
          <w:sz w:val="17"/>
          <w:szCs w:val="17"/>
          <w:color w:val="auto"/>
        </w:rPr>
      </w:pPr>
    </w:p>
    <w:p>
      <w:pPr>
        <w:ind w:left="2269" w:right="60" w:hanging="608"/>
        <w:spacing w:after="0" w:line="267" w:lineRule="auto"/>
        <w:tabs>
          <w:tab w:leader="none" w:pos="2269" w:val="left"/>
        </w:tabs>
        <w:numPr>
          <w:ilvl w:val="1"/>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or Options issued to employees or directors of, or consultants or advisors to, the Corporation or any of its subsidiaries pursuant to a plan, agreement or arrangement approved by the Board of Directors, including with Preferred Director Approval;</w:t>
      </w:r>
    </w:p>
    <w:p>
      <w:pPr>
        <w:spacing w:after="0" w:line="75" w:lineRule="exact"/>
        <w:rPr>
          <w:rFonts w:ascii="Times New Roman" w:cs="Times New Roman" w:eastAsia="Times New Roman" w:hAnsi="Times New Roman"/>
          <w:sz w:val="17"/>
          <w:szCs w:val="17"/>
          <w:color w:val="auto"/>
        </w:rPr>
      </w:pPr>
    </w:p>
    <w:p>
      <w:pPr>
        <w:jc w:val="both"/>
        <w:ind w:left="2269" w:right="100" w:hanging="608"/>
        <w:spacing w:after="0" w:line="267" w:lineRule="auto"/>
        <w:tabs>
          <w:tab w:leader="none" w:pos="2269" w:val="left"/>
        </w:tabs>
        <w:numPr>
          <w:ilvl w:val="1"/>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w:t>
      </w:r>
    </w:p>
    <w:p>
      <w:pPr>
        <w:spacing w:after="0" w:line="75" w:lineRule="exact"/>
        <w:rPr>
          <w:rFonts w:ascii="Times New Roman" w:cs="Times New Roman" w:eastAsia="Times New Roman" w:hAnsi="Times New Roman"/>
          <w:sz w:val="17"/>
          <w:szCs w:val="17"/>
          <w:color w:val="auto"/>
        </w:rPr>
      </w:pPr>
    </w:p>
    <w:p>
      <w:pPr>
        <w:ind w:left="2269" w:right="440" w:hanging="608"/>
        <w:spacing w:after="0" w:line="267" w:lineRule="auto"/>
        <w:tabs>
          <w:tab w:leader="none" w:pos="2269" w:val="left"/>
        </w:tabs>
        <w:numPr>
          <w:ilvl w:val="1"/>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Options or Convertible Securities issued to banks, equipment lessors or other financial institutions, or to real property lessors, pursuant to a debt financing, equipment leasing or real property leasing transaction approved by the Board of Directors, including with Preferred Director Approval;</w:t>
      </w:r>
    </w:p>
    <w:p>
      <w:pPr>
        <w:spacing w:after="0" w:line="75" w:lineRule="exact"/>
        <w:rPr>
          <w:rFonts w:ascii="Times New Roman" w:cs="Times New Roman" w:eastAsia="Times New Roman" w:hAnsi="Times New Roman"/>
          <w:sz w:val="17"/>
          <w:szCs w:val="17"/>
          <w:color w:val="auto"/>
        </w:rPr>
      </w:pPr>
    </w:p>
    <w:p>
      <w:pPr>
        <w:ind w:left="2269" w:right="180" w:hanging="608"/>
        <w:spacing w:after="0" w:line="261" w:lineRule="auto"/>
        <w:tabs>
          <w:tab w:leader="none" w:pos="2269" w:val="left"/>
        </w:tabs>
        <w:numPr>
          <w:ilvl w:val="1"/>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shares of Common Stock, Options or Convertible Securities issued pursuant to the acquisition of another corporation by the Corporation by merger, purchase of substantially all of the assets or other reorganization or to a joint venture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issuances are approved by the Board of Directors, including with Preferred Director Approval; or</w:t>
      </w:r>
    </w:p>
    <w:p>
      <w:pPr>
        <w:spacing w:after="0" w:line="10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409"/>
          </w:cols>
          <w:pgMar w:left="731" w:top="259" w:right="759" w:bottom="1440" w:gutter="0" w:footer="0" w:header="0"/>
        </w:sectPr>
      </w:pPr>
    </w:p>
    <w:bookmarkStart w:id="311" w:name="page312"/>
    <w:bookmarkEnd w:id="311"/>
    <w:p>
      <w:pPr>
        <w:ind w:left="2260" w:right="520" w:hanging="608"/>
        <w:spacing w:after="0" w:line="267" w:lineRule="auto"/>
        <w:tabs>
          <w:tab w:leader="none" w:pos="226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shares of Common Stock, Options or Convertible Securities issued in connection with sponsored research, collaboration, technology license, development, marketing or other similar agreements or strategic partnerships approved by the Board of Directors, including with Preferred Director Approval;</w:t>
      </w:r>
    </w:p>
    <w:p>
      <w:pPr>
        <w:spacing w:after="0" w:line="75" w:lineRule="exact"/>
        <w:rPr>
          <w:rFonts w:ascii="Times New Roman" w:cs="Times New Roman" w:eastAsia="Times New Roman" w:hAnsi="Times New Roman"/>
          <w:sz w:val="17"/>
          <w:szCs w:val="17"/>
          <w:color w:val="auto"/>
        </w:rPr>
      </w:pPr>
    </w:p>
    <w:p>
      <w:pPr>
        <w:ind w:left="2260" w:right="140" w:hanging="608"/>
        <w:spacing w:after="0" w:line="283" w:lineRule="auto"/>
        <w:tabs>
          <w:tab w:leader="none" w:pos="226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issued in an underwritten public offering of the Corporation’s Common Stock pursuant to a registration statement under the Securities Act of 1933, as amended;</w:t>
      </w:r>
    </w:p>
    <w:p>
      <w:pPr>
        <w:spacing w:after="0" w:line="62" w:lineRule="exact"/>
        <w:rPr>
          <w:rFonts w:ascii="Times New Roman" w:cs="Times New Roman" w:eastAsia="Times New Roman" w:hAnsi="Times New Roman"/>
          <w:sz w:val="17"/>
          <w:szCs w:val="17"/>
          <w:color w:val="auto"/>
        </w:rPr>
      </w:pPr>
    </w:p>
    <w:p>
      <w:pPr>
        <w:ind w:left="2260" w:right="80" w:hanging="608"/>
        <w:spacing w:after="0" w:line="283" w:lineRule="auto"/>
        <w:tabs>
          <w:tab w:leader="none" w:pos="226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Options or Convertible Securities issued in connection with strategic partnerships approved by the Board of Directors, including with Preferred Director Approval; or</w:t>
      </w:r>
    </w:p>
    <w:p>
      <w:pPr>
        <w:spacing w:after="0" w:line="62" w:lineRule="exact"/>
        <w:rPr>
          <w:rFonts w:ascii="Times New Roman" w:cs="Times New Roman" w:eastAsia="Times New Roman" w:hAnsi="Times New Roman"/>
          <w:sz w:val="17"/>
          <w:szCs w:val="17"/>
          <w:color w:val="auto"/>
        </w:rPr>
      </w:pPr>
    </w:p>
    <w:p>
      <w:pPr>
        <w:jc w:val="both"/>
        <w:ind w:left="2260" w:hanging="608"/>
        <w:spacing w:after="0" w:line="267" w:lineRule="auto"/>
        <w:tabs>
          <w:tab w:leader="none" w:pos="226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Series C Preferred Stock issued pursuant to the Series C Preferred Stock Purchase Agreement, dated as of the Original Issue Date, by and among the Corporation and the other parties thereto, as amended and/or restated from time to time.</w:t>
      </w:r>
    </w:p>
    <w:p>
      <w:pPr>
        <w:spacing w:after="0" w:line="165" w:lineRule="exact"/>
        <w:rPr>
          <w:sz w:val="20"/>
          <w:szCs w:val="20"/>
          <w:color w:val="auto"/>
        </w:rPr>
      </w:pPr>
    </w:p>
    <w:p>
      <w:pPr>
        <w:ind w:right="60" w:firstLine="1877"/>
        <w:spacing w:after="0" w:line="254" w:lineRule="auto"/>
        <w:rPr>
          <w:sz w:val="20"/>
          <w:szCs w:val="20"/>
          <w:color w:val="auto"/>
        </w:rPr>
      </w:pPr>
      <w:r>
        <w:rPr>
          <w:rFonts w:ascii="Times New Roman" w:cs="Times New Roman" w:eastAsia="Times New Roman" w:hAnsi="Times New Roman"/>
          <w:sz w:val="17"/>
          <w:szCs w:val="17"/>
          <w:color w:val="auto"/>
        </w:rPr>
        <w:t xml:space="preserve">4.4.2 </w:t>
      </w:r>
      <w:r>
        <w:rPr>
          <w:rFonts w:ascii="Times New Roman" w:cs="Times New Roman" w:eastAsia="Times New Roman" w:hAnsi="Times New Roman"/>
          <w:sz w:val="17"/>
          <w:szCs w:val="17"/>
          <w:u w:val="single" w:color="auto"/>
          <w:color w:val="auto"/>
        </w:rPr>
        <w:t>No Adjustment of Conversion Price</w:t>
      </w:r>
      <w:r>
        <w:rPr>
          <w:rFonts w:ascii="Times New Roman" w:cs="Times New Roman" w:eastAsia="Times New Roman" w:hAnsi="Times New Roman"/>
          <w:sz w:val="17"/>
          <w:szCs w:val="17"/>
          <w:color w:val="auto"/>
        </w:rPr>
        <w:t>. No adjustment in the Series C Conversion Price shall be made as the result of the issuance or deemed issuance of Additional Shares of Common Stock if the Corporation receives written notice from the holders of a majority of the shares of Series C Preferred Stock then outstanding agreeing that no such adjustment shall be made as the result of the issuance or deemed issuance of such Additional Shares of Common Stock. No adjustment in the Series B Conversion Price shall be made as the result of the issuance or deemed issuance of Additional Shares of Common Stock if the Corporation receives written notice from the holders of at least sixty percent (60%) of the shares of Series B Preferred Stock then outstanding agreeing that no such adjustment shall be made as the result of the issuance or deemed issuance of such Additional Shares of Common Stock. No adjustment in the Series A Conversion Price shall be made as the result of the issuance or deemed issuance of Additional Shares of Common Stock if the Corporation receives written notice from the holders of at least sixty percent (60%) of the shares of Series A Preferred Stock then outstanding agreeing that no such adjustment shall be made as the result of the issuance or deemed issuance of such Additional Shares of Common Stock.</w:t>
      </w:r>
    </w:p>
    <w:p>
      <w:pPr>
        <w:spacing w:after="0" w:line="18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 xml:space="preserve">4.4.3 </w:t>
      </w:r>
      <w:r>
        <w:rPr>
          <w:rFonts w:ascii="Times New Roman" w:cs="Times New Roman" w:eastAsia="Times New Roman" w:hAnsi="Times New Roman"/>
          <w:sz w:val="17"/>
          <w:szCs w:val="17"/>
          <w:u w:val="single" w:color="auto"/>
          <w:color w:val="auto"/>
        </w:rPr>
        <w:t>Deemed Issue of Additional Shares of Common Stock</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ind w:firstLine="2285"/>
        <w:spacing w:after="0" w:line="259" w:lineRule="auto"/>
        <w:tabs>
          <w:tab w:leader="none" w:pos="2525"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Corporation at any time or from time to time after the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0380"/>
          </w:cols>
          <w:pgMar w:left="740" w:top="264" w:right="779" w:bottom="1440" w:gutter="0" w:footer="0" w:header="0"/>
        </w:sectPr>
      </w:pPr>
    </w:p>
    <w:bookmarkStart w:id="312" w:name="page313"/>
    <w:bookmarkEnd w:id="312"/>
    <w:p>
      <w:pPr>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65" w:lineRule="exact"/>
        <w:rPr>
          <w:sz w:val="20"/>
          <w:szCs w:val="20"/>
          <w:color w:val="auto"/>
        </w:rPr>
      </w:pPr>
    </w:p>
    <w:p>
      <w:pPr>
        <w:ind w:firstLine="2285"/>
        <w:spacing w:after="0" w:line="253" w:lineRule="auto"/>
        <w:tabs>
          <w:tab w:leader="none" w:pos="2535"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terms of any Option or Convertible Security, the issuance of which resulted in an adjustment to the Conversion Price pursuant to the terms of </w:t>
      </w:r>
      <w:r>
        <w:rPr>
          <w:rFonts w:ascii="Times New Roman" w:cs="Times New Roman" w:eastAsia="Times New Roman" w:hAnsi="Times New Roman"/>
          <w:sz w:val="17"/>
          <w:szCs w:val="17"/>
          <w:u w:val="single" w:color="auto"/>
          <w:color w:val="auto"/>
        </w:rPr>
        <w:t>Subsection 4.4.4</w:t>
      </w:r>
      <w:r>
        <w:rPr>
          <w:rFonts w:ascii="Times New Roman" w:cs="Times New Roman" w:eastAsia="Times New Roman" w:hAnsi="Times New Roman"/>
          <w:sz w:val="17"/>
          <w:szCs w:val="17"/>
          <w:color w:val="auto"/>
        </w:rPr>
        <w:t xml:space="preserve">,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Conversion Price computed upon the original issue of such Option or Convertible Security (or upon the occurrence of a record date with respect thereto) shall be readjusted to such Conversion Price, as would have obtained had such revised terms been in effect upon the original date of issuance of such Option or Convertible Security. Notwithstanding the foregoing, no readjustment pursuant to this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shall have the effect of increasing the Conversion Price, to an amount which exceeds the lower of (i) the Conversion Price, in effect immediately prior to the original adjustment made as a result of the issuance of such Option or Convertible Security, or (ii) the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83" w:lineRule="exact"/>
        <w:rPr>
          <w:rFonts w:ascii="Times New Roman" w:cs="Times New Roman" w:eastAsia="Times New Roman" w:hAnsi="Times New Roman"/>
          <w:sz w:val="17"/>
          <w:szCs w:val="17"/>
          <w:color w:val="auto"/>
        </w:rPr>
      </w:pPr>
    </w:p>
    <w:p>
      <w:pPr>
        <w:ind w:right="340" w:firstLine="2285"/>
        <w:spacing w:after="0" w:line="261" w:lineRule="auto"/>
        <w:tabs>
          <w:tab w:leader="none" w:pos="2525"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terms of any Option or Convertible Security (excluding Options or Convertible Securities which are themselves Exempted Securities), the issuance of which did not result in an adjustment to the Conversion Price, pursuant to the terms of </w:t>
      </w:r>
      <w:r>
        <w:rPr>
          <w:rFonts w:ascii="Times New Roman" w:cs="Times New Roman" w:eastAsia="Times New Roman" w:hAnsi="Times New Roman"/>
          <w:sz w:val="17"/>
          <w:szCs w:val="17"/>
          <w:u w:val="single" w:color="auto"/>
          <w:color w:val="auto"/>
        </w:rPr>
        <w:t>Subsection</w:t>
      </w:r>
    </w:p>
    <w:p>
      <w:pPr>
        <w:spacing w:after="0" w:line="1" w:lineRule="exact"/>
        <w:rPr>
          <w:rFonts w:ascii="Times New Roman" w:cs="Times New Roman" w:eastAsia="Times New Roman" w:hAnsi="Times New Roman"/>
          <w:sz w:val="17"/>
          <w:szCs w:val="17"/>
          <w:color w:val="auto"/>
        </w:rPr>
      </w:pPr>
    </w:p>
    <w:p>
      <w:pPr>
        <w:ind w:right="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4.4.4</w:t>
      </w:r>
      <w:r>
        <w:rPr>
          <w:rFonts w:ascii="Times New Roman" w:cs="Times New Roman" w:eastAsia="Times New Roman" w:hAnsi="Times New Roman"/>
          <w:sz w:val="17"/>
          <w:szCs w:val="17"/>
          <w:color w:val="auto"/>
        </w:rPr>
        <w:t xml:space="preserve"> (either because the consideration per share (determined pursuant to </w:t>
      </w:r>
      <w:r>
        <w:rPr>
          <w:rFonts w:ascii="Times New Roman" w:cs="Times New Roman" w:eastAsia="Times New Roman" w:hAnsi="Times New Roman"/>
          <w:sz w:val="17"/>
          <w:szCs w:val="17"/>
          <w:u w:val="single" w:color="auto"/>
          <w:color w:val="auto"/>
        </w:rPr>
        <w:t>Subsection 4.4.5</w:t>
      </w:r>
      <w:r>
        <w:rPr>
          <w:rFonts w:ascii="Times New Roman" w:cs="Times New Roman" w:eastAsia="Times New Roman" w:hAnsi="Times New Roman"/>
          <w:sz w:val="17"/>
          <w:szCs w:val="17"/>
          <w:color w:val="auto"/>
        </w:rPr>
        <w:t xml:space="preserve">) of the Additional Shares of Common Stock subject thereto was equal to or greater than the Conversion Price, then in effect, or because such Option or Convertible Security was issued before the Original Issue Date), are revised after the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Times New Roman" w:cs="Times New Roman" w:eastAsia="Times New Roman" w:hAnsi="Times New Roman"/>
          <w:sz w:val="17"/>
          <w:szCs w:val="17"/>
          <w:u w:val="single" w:color="auto"/>
          <w:color w:val="auto"/>
        </w:rPr>
        <w:t>Subsection 4.4.3(a)</w:t>
      </w:r>
      <w:r>
        <w:rPr>
          <w:rFonts w:ascii="Times New Roman" w:cs="Times New Roman" w:eastAsia="Times New Roman" w:hAnsi="Times New Roman"/>
          <w:sz w:val="17"/>
          <w:szCs w:val="17"/>
          <w:color w:val="auto"/>
        </w:rPr>
        <w:t>) shall be deemed to have been issued effective upon such increase or decrease becoming effective.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0400"/>
          </w:cols>
          <w:pgMar w:left="740" w:top="264" w:right="759" w:bottom="1440" w:gutter="0" w:footer="0" w:header="0"/>
        </w:sectPr>
      </w:pPr>
    </w:p>
    <w:bookmarkStart w:id="313" w:name="page314"/>
    <w:bookmarkEnd w:id="313"/>
    <w:p>
      <w:pPr>
        <w:jc w:val="both"/>
        <w:ind w:firstLine="2285"/>
        <w:spacing w:after="0" w:line="261" w:lineRule="auto"/>
        <w:tabs>
          <w:tab w:leader="none" w:pos="2535"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Upon the expiration or termination of any unexercised Option or unconverted or unexchanged Convertible Security (or portion thereof) which resulted (either upon its original issuance or upon a revision of its terms) in an adjustment to the Conversion Price, pursuant to the terms of </w:t>
      </w:r>
      <w:r>
        <w:rPr>
          <w:rFonts w:ascii="Times New Roman" w:cs="Times New Roman" w:eastAsia="Times New Roman" w:hAnsi="Times New Roman"/>
          <w:sz w:val="17"/>
          <w:szCs w:val="17"/>
          <w:u w:val="single" w:color="auto"/>
          <w:color w:val="auto"/>
        </w:rPr>
        <w:t>Subsection 4.4.4</w:t>
      </w:r>
      <w:r>
        <w:rPr>
          <w:rFonts w:ascii="Times New Roman" w:cs="Times New Roman" w:eastAsia="Times New Roman" w:hAnsi="Times New Roman"/>
          <w:sz w:val="17"/>
          <w:szCs w:val="17"/>
          <w:color w:val="auto"/>
        </w:rPr>
        <w:t>, the Conversion Price, shall be readjusted to such Conversion Price, as would have obtained had such Option or Convertible Security (or portion thereof) never been issued.</w:t>
      </w:r>
    </w:p>
    <w:p>
      <w:pPr>
        <w:spacing w:after="0" w:line="171" w:lineRule="exact"/>
        <w:rPr>
          <w:rFonts w:ascii="Times New Roman" w:cs="Times New Roman" w:eastAsia="Times New Roman" w:hAnsi="Times New Roman"/>
          <w:sz w:val="17"/>
          <w:szCs w:val="17"/>
          <w:color w:val="auto"/>
        </w:rPr>
      </w:pPr>
    </w:p>
    <w:p>
      <w:pPr>
        <w:ind w:right="40" w:firstLine="2285"/>
        <w:spacing w:after="0" w:line="255" w:lineRule="auto"/>
        <w:tabs>
          <w:tab w:leader="none" w:pos="2525"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Conversion Price, provided for in this </w:t>
      </w:r>
      <w:r>
        <w:rPr>
          <w:rFonts w:ascii="Times New Roman" w:cs="Times New Roman" w:eastAsia="Times New Roman" w:hAnsi="Times New Roman"/>
          <w:sz w:val="17"/>
          <w:szCs w:val="17"/>
          <w:u w:val="single" w:color="auto"/>
          <w:color w:val="auto"/>
        </w:rPr>
        <w:t>Subsection 4.4.3</w:t>
      </w:r>
      <w:r>
        <w:rPr>
          <w:rFonts w:ascii="Times New Roman" w:cs="Times New Roman" w:eastAsia="Times New Roman" w:hAnsi="Times New Roman"/>
          <w:sz w:val="17"/>
          <w:szCs w:val="17"/>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w:t>
      </w:r>
    </w:p>
    <w:p>
      <w:pPr>
        <w:ind w:right="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clauses (b)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Subsection 4.4.3</w:t>
      </w:r>
      <w:r>
        <w:rPr>
          <w:rFonts w:ascii="Times New Roman" w:cs="Times New Roman" w:eastAsia="Times New Roman" w:hAnsi="Times New Roman"/>
          <w:sz w:val="17"/>
          <w:szCs w:val="17"/>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Conversion Price, that would result under the terms of this </w:t>
      </w:r>
      <w:r>
        <w:rPr>
          <w:rFonts w:ascii="Times New Roman" w:cs="Times New Roman" w:eastAsia="Times New Roman" w:hAnsi="Times New Roman"/>
          <w:sz w:val="17"/>
          <w:szCs w:val="17"/>
          <w:u w:val="single" w:color="auto"/>
          <w:color w:val="auto"/>
        </w:rPr>
        <w:t>Subsection 4.4.3</w:t>
      </w:r>
      <w:r>
        <w:rPr>
          <w:rFonts w:ascii="Times New Roman" w:cs="Times New Roman" w:eastAsia="Times New Roman" w:hAnsi="Times New Roman"/>
          <w:sz w:val="17"/>
          <w:szCs w:val="17"/>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Conversion Price, that such issuance or amendment took place at the time such calculation can first be made.</w:t>
      </w:r>
    </w:p>
    <w:p>
      <w:pPr>
        <w:spacing w:after="0" w:line="177" w:lineRule="exact"/>
        <w:rPr>
          <w:sz w:val="20"/>
          <w:szCs w:val="20"/>
          <w:color w:val="auto"/>
        </w:rPr>
      </w:pPr>
    </w:p>
    <w:p>
      <w:pPr>
        <w:ind w:right="100" w:firstLine="1877"/>
        <w:spacing w:after="0" w:line="259" w:lineRule="auto"/>
        <w:rPr>
          <w:sz w:val="20"/>
          <w:szCs w:val="20"/>
          <w:color w:val="auto"/>
        </w:rPr>
      </w:pPr>
      <w:r>
        <w:rPr>
          <w:rFonts w:ascii="Times New Roman" w:cs="Times New Roman" w:eastAsia="Times New Roman" w:hAnsi="Times New Roman"/>
          <w:sz w:val="17"/>
          <w:szCs w:val="17"/>
          <w:color w:val="auto"/>
        </w:rPr>
        <w:t xml:space="preserve">4.4.4 </w:t>
      </w:r>
      <w:r>
        <w:rPr>
          <w:rFonts w:ascii="Times New Roman" w:cs="Times New Roman" w:eastAsia="Times New Roman" w:hAnsi="Times New Roman"/>
          <w:sz w:val="17"/>
          <w:szCs w:val="17"/>
          <w:u w:val="single" w:color="auto"/>
          <w:color w:val="auto"/>
        </w:rPr>
        <w:t>Adjustment of Conversion Price Upon Issuance of Additional Shares of Common Stock</w:t>
      </w:r>
      <w:r>
        <w:rPr>
          <w:rFonts w:ascii="Times New Roman" w:cs="Times New Roman" w:eastAsia="Times New Roman" w:hAnsi="Times New Roman"/>
          <w:sz w:val="17"/>
          <w:szCs w:val="17"/>
          <w:color w:val="auto"/>
        </w:rPr>
        <w:t xml:space="preserve">. In the event the Corporation shall at any time or from time to time after the Original Issue Date issue Additional Shares of Common Stock (including Additional Shares of Common Stock deemed to be issued pursuant to </w:t>
      </w:r>
      <w:r>
        <w:rPr>
          <w:rFonts w:ascii="Times New Roman" w:cs="Times New Roman" w:eastAsia="Times New Roman" w:hAnsi="Times New Roman"/>
          <w:sz w:val="17"/>
          <w:szCs w:val="17"/>
          <w:u w:val="single" w:color="auto"/>
          <w:color w:val="auto"/>
        </w:rPr>
        <w:t>Subsection 4.4.3</w:t>
      </w:r>
      <w:r>
        <w:rPr>
          <w:rFonts w:ascii="Times New Roman" w:cs="Times New Roman" w:eastAsia="Times New Roman" w:hAnsi="Times New Roman"/>
          <w:sz w:val="17"/>
          <w:szCs w:val="17"/>
          <w:color w:val="auto"/>
        </w:rPr>
        <w:t>), without consideration or for a consideration per share less than the Conversion Price, in effect immediately prior to such issue, then the Conversion Price, shall be reduced, concurrently with such issue, to a price (calculated to the nearest one-hundredth of a cent) determined in accordance with the following formula:</w:t>
      </w:r>
    </w:p>
    <w:p>
      <w:pPr>
        <w:spacing w:after="0" w:line="6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color w:val="auto"/>
        </w:rPr>
        <w:t>CP</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17"/>
          <w:szCs w:val="17"/>
          <w:color w:val="auto"/>
        </w:rPr>
        <w:t xml:space="preserve"> = CP</w:t>
      </w:r>
      <w:r>
        <w:rPr>
          <w:rFonts w:ascii="Times New Roman" w:cs="Times New Roman" w:eastAsia="Times New Roman" w:hAnsi="Times New Roman"/>
          <w:sz w:val="25"/>
          <w:szCs w:val="25"/>
          <w:color w:val="auto"/>
          <w:vertAlign w:val="subscript"/>
        </w:rPr>
        <w:t>1</w:t>
      </w:r>
      <w:r>
        <w:rPr>
          <w:rFonts w:ascii="Times New Roman" w:cs="Times New Roman" w:eastAsia="Times New Roman" w:hAnsi="Times New Roman"/>
          <w:sz w:val="17"/>
          <w:szCs w:val="17"/>
          <w:color w:val="auto"/>
        </w:rPr>
        <w:t>* (A + B) ÷ (A + 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purposes of the foregoing formula, the following definitions shall apply:</w:t>
      </w:r>
    </w:p>
    <w:p>
      <w:pPr>
        <w:spacing w:after="0" w:line="11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7"/>
          <w:szCs w:val="17"/>
          <w:color w:val="auto"/>
        </w:rPr>
        <w:t>(a) “CP</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17"/>
          <w:szCs w:val="17"/>
          <w:color w:val="auto"/>
        </w:rPr>
        <w:t>” shall mean the Conversion Price, in effect immediately after such issue of Additional Shares of Common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w:t>
      </w:r>
    </w:p>
    <w:p>
      <w:pPr>
        <w:spacing w:after="0" w:line="92"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7"/>
          <w:szCs w:val="17"/>
          <w:color w:val="auto"/>
        </w:rPr>
        <w:t>(b) “CP</w:t>
      </w:r>
      <w:r>
        <w:rPr>
          <w:rFonts w:ascii="Times New Roman" w:cs="Times New Roman" w:eastAsia="Times New Roman" w:hAnsi="Times New Roman"/>
          <w:sz w:val="25"/>
          <w:szCs w:val="25"/>
          <w:color w:val="auto"/>
          <w:vertAlign w:val="subscript"/>
        </w:rPr>
        <w:t>1</w:t>
      </w:r>
      <w:r>
        <w:rPr>
          <w:rFonts w:ascii="Times New Roman" w:cs="Times New Roman" w:eastAsia="Times New Roman" w:hAnsi="Times New Roman"/>
          <w:sz w:val="17"/>
          <w:szCs w:val="17"/>
          <w:color w:val="auto"/>
        </w:rPr>
        <w:t>” shall mean the Conversion Price, in effect immediately prior to such issue of Additional Shares of Common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w:t>
      </w:r>
    </w:p>
    <w:p>
      <w:pPr>
        <w:spacing w:after="0" w:line="195" w:lineRule="exact"/>
        <w:rPr>
          <w:sz w:val="20"/>
          <w:szCs w:val="20"/>
          <w:color w:val="auto"/>
        </w:rPr>
      </w:pPr>
    </w:p>
    <w:p>
      <w:pPr>
        <w:ind w:right="120" w:firstLine="2285"/>
        <w:spacing w:after="0" w:line="261" w:lineRule="auto"/>
        <w:tabs>
          <w:tab w:leader="none" w:pos="2525"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shall mean the number of shares of Common Stock outstanding immediately prior to such issue of Additional Shares of Common Stock (treating for this purpose as outstanding all shares of Common Stock issuable upon exercise of Options outstanding immediately prior to such issue or upon conversion or exchange of Convertible Securities (including the Preferred Stock) outstanding (assuming exercise of any outstanding Options therefor) immediately prior to such issue);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0420"/>
          </w:cols>
          <w:pgMar w:left="740" w:top="263" w:right="739" w:bottom="1440" w:gutter="0" w:footer="0" w:header="0"/>
        </w:sectPr>
      </w:pPr>
    </w:p>
    <w:bookmarkStart w:id="314" w:name="page315"/>
    <w:bookmarkEnd w:id="314"/>
    <w:p>
      <w:pPr>
        <w:ind w:right="140" w:firstLine="2285"/>
        <w:spacing w:after="0" w:line="200" w:lineRule="auto"/>
        <w:tabs>
          <w:tab w:leader="none" w:pos="2535"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“B” shall mean the number of shares of Common Stock that would have been issued if such Additional Shares of Common Stock had been issued at a price per share equal to CP</w:t>
      </w:r>
      <w:r>
        <w:rPr>
          <w:rFonts w:ascii="Times New Roman" w:cs="Times New Roman" w:eastAsia="Times New Roman" w:hAnsi="Times New Roman"/>
          <w:sz w:val="25"/>
          <w:szCs w:val="25"/>
          <w:color w:val="auto"/>
          <w:vertAlign w:val="subscript"/>
        </w:rPr>
        <w:t>1</w:t>
      </w:r>
      <w:r>
        <w:rPr>
          <w:rFonts w:ascii="Times New Roman" w:cs="Times New Roman" w:eastAsia="Times New Roman" w:hAnsi="Times New Roman"/>
          <w:sz w:val="17"/>
          <w:szCs w:val="17"/>
          <w:color w:val="auto"/>
        </w:rPr>
        <w:t xml:space="preserve"> (determined by dividing the aggregate consideration received by the Corporation in respect of such issue by CP</w:t>
      </w:r>
      <w:r>
        <w:rPr>
          <w:rFonts w:ascii="Times New Roman" w:cs="Times New Roman" w:eastAsia="Times New Roman" w:hAnsi="Times New Roman"/>
          <w:sz w:val="25"/>
          <w:szCs w:val="25"/>
          <w:color w:val="auto"/>
          <w:vertAlign w:val="subscript"/>
        </w:rPr>
        <w:t>1</w:t>
      </w:r>
      <w:r>
        <w:rPr>
          <w:rFonts w:ascii="Times New Roman" w:cs="Times New Roman" w:eastAsia="Times New Roman" w:hAnsi="Times New Roman"/>
          <w:sz w:val="17"/>
          <w:szCs w:val="17"/>
          <w:color w:val="auto"/>
        </w:rPr>
        <w:t>); and</w:t>
      </w:r>
    </w:p>
    <w:p>
      <w:pPr>
        <w:spacing w:after="0" w:line="175" w:lineRule="exact"/>
        <w:rPr>
          <w:rFonts w:ascii="Times New Roman" w:cs="Times New Roman" w:eastAsia="Times New Roman" w:hAnsi="Times New Roman"/>
          <w:sz w:val="17"/>
          <w:szCs w:val="17"/>
          <w:color w:val="auto"/>
        </w:rPr>
      </w:pPr>
    </w:p>
    <w:p>
      <w:pPr>
        <w:ind w:left="2520" w:hanging="235"/>
        <w:spacing w:after="0"/>
        <w:tabs>
          <w:tab w:leader="none" w:pos="2520"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 shall mean the number of such Additional Shares of Common Stock issued in such transaction.</w:t>
      </w:r>
    </w:p>
    <w:p>
      <w:pPr>
        <w:spacing w:after="0" w:line="213" w:lineRule="exact"/>
        <w:rPr>
          <w:sz w:val="20"/>
          <w:szCs w:val="20"/>
          <w:color w:val="auto"/>
        </w:rPr>
      </w:pPr>
    </w:p>
    <w:p>
      <w:pPr>
        <w:ind w:right="40" w:firstLine="1877"/>
        <w:spacing w:after="0" w:line="283" w:lineRule="auto"/>
        <w:rPr>
          <w:sz w:val="20"/>
          <w:szCs w:val="20"/>
          <w:color w:val="auto"/>
        </w:rPr>
      </w:pPr>
      <w:r>
        <w:rPr>
          <w:rFonts w:ascii="Times New Roman" w:cs="Times New Roman" w:eastAsia="Times New Roman" w:hAnsi="Times New Roman"/>
          <w:sz w:val="17"/>
          <w:szCs w:val="17"/>
          <w:color w:val="auto"/>
        </w:rPr>
        <w:t xml:space="preserve">4.4.5 </w:t>
      </w:r>
      <w:r>
        <w:rPr>
          <w:rFonts w:ascii="Times New Roman" w:cs="Times New Roman" w:eastAsia="Times New Roman" w:hAnsi="Times New Roman"/>
          <w:sz w:val="17"/>
          <w:szCs w:val="17"/>
          <w:u w:val="single" w:color="auto"/>
          <w:color w:val="auto"/>
        </w:rPr>
        <w:t>Determination of Consideration</w:t>
      </w:r>
      <w:r>
        <w:rPr>
          <w:rFonts w:ascii="Times New Roman" w:cs="Times New Roman" w:eastAsia="Times New Roman" w:hAnsi="Times New Roman"/>
          <w:sz w:val="17"/>
          <w:szCs w:val="17"/>
          <w:color w:val="auto"/>
        </w:rPr>
        <w:t xml:space="preserve">. For purposes of this </w:t>
      </w:r>
      <w:r>
        <w:rPr>
          <w:rFonts w:ascii="Times New Roman" w:cs="Times New Roman" w:eastAsia="Times New Roman" w:hAnsi="Times New Roman"/>
          <w:sz w:val="17"/>
          <w:szCs w:val="17"/>
          <w:u w:val="single" w:color="auto"/>
          <w:color w:val="auto"/>
        </w:rPr>
        <w:t>Subsection 4.4</w:t>
      </w:r>
      <w:r>
        <w:rPr>
          <w:rFonts w:ascii="Times New Roman" w:cs="Times New Roman" w:eastAsia="Times New Roman" w:hAnsi="Times New Roman"/>
          <w:sz w:val="17"/>
          <w:szCs w:val="17"/>
          <w:color w:val="auto"/>
        </w:rPr>
        <w:t>, the consideration received by the Corporation for the issue of any Additional Shares of Common Stock shall be computed as follows:</w:t>
      </w:r>
    </w:p>
    <w:p>
      <w:pPr>
        <w:spacing w:after="0" w:line="152" w:lineRule="exact"/>
        <w:rPr>
          <w:sz w:val="20"/>
          <w:szCs w:val="20"/>
          <w:color w:val="auto"/>
        </w:rPr>
      </w:pPr>
    </w:p>
    <w:p>
      <w:pPr>
        <w:ind w:left="2520" w:hanging="235"/>
        <w:spacing w:after="0"/>
        <w:tabs>
          <w:tab w:leader="none" w:pos="2520"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Cash and Property</w:t>
      </w:r>
      <w:r>
        <w:rPr>
          <w:rFonts w:ascii="Times New Roman" w:cs="Times New Roman" w:eastAsia="Times New Roman" w:hAnsi="Times New Roman"/>
          <w:sz w:val="17"/>
          <w:szCs w:val="17"/>
          <w:color w:val="auto"/>
        </w:rPr>
        <w:t>: Such consideration shall:</w:t>
      </w:r>
    </w:p>
    <w:p>
      <w:pPr>
        <w:spacing w:after="0" w:line="123" w:lineRule="exact"/>
        <w:rPr>
          <w:rFonts w:ascii="Times New Roman" w:cs="Times New Roman" w:eastAsia="Times New Roman" w:hAnsi="Times New Roman"/>
          <w:sz w:val="17"/>
          <w:szCs w:val="17"/>
          <w:color w:val="auto"/>
        </w:rPr>
      </w:pPr>
    </w:p>
    <w:p>
      <w:pPr>
        <w:ind w:left="3220" w:right="100" w:hanging="520"/>
        <w:spacing w:after="0" w:line="283" w:lineRule="auto"/>
        <w:tabs>
          <w:tab w:leader="none" w:pos="3220" w:val="left"/>
        </w:tabs>
        <w:numPr>
          <w:ilvl w:val="1"/>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it consists of cash, be computed at the aggregate amount of cash received by the Corporation, excluding amounts paid or payable for accrued interest;</w:t>
      </w:r>
    </w:p>
    <w:p>
      <w:pPr>
        <w:spacing w:after="0" w:line="62" w:lineRule="exact"/>
        <w:rPr>
          <w:rFonts w:ascii="Times New Roman" w:cs="Times New Roman" w:eastAsia="Times New Roman" w:hAnsi="Times New Roman"/>
          <w:sz w:val="17"/>
          <w:szCs w:val="17"/>
          <w:color w:val="auto"/>
        </w:rPr>
      </w:pPr>
    </w:p>
    <w:p>
      <w:pPr>
        <w:ind w:left="3220" w:right="40" w:hanging="520"/>
        <w:spacing w:after="0" w:line="283" w:lineRule="auto"/>
        <w:tabs>
          <w:tab w:leader="none" w:pos="3220" w:val="left"/>
        </w:tabs>
        <w:numPr>
          <w:ilvl w:val="1"/>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it consists of property other than cash, be computed at the fair market value thereof at the time of such issue, as determined in good faith by the Board of Directors; and</w:t>
      </w:r>
    </w:p>
    <w:p>
      <w:pPr>
        <w:spacing w:after="0" w:line="62" w:lineRule="exact"/>
        <w:rPr>
          <w:rFonts w:ascii="Times New Roman" w:cs="Times New Roman" w:eastAsia="Times New Roman" w:hAnsi="Times New Roman"/>
          <w:sz w:val="17"/>
          <w:szCs w:val="17"/>
          <w:color w:val="auto"/>
        </w:rPr>
      </w:pPr>
    </w:p>
    <w:p>
      <w:pPr>
        <w:ind w:left="3220" w:hanging="520"/>
        <w:spacing w:after="0" w:line="261" w:lineRule="auto"/>
        <w:tabs>
          <w:tab w:leader="none" w:pos="3220" w:val="left"/>
        </w:tabs>
        <w:numPr>
          <w:ilvl w:val="1"/>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Additional Shares of Common Stock are issued together with other shares or securities or other assets of the Corporation for consideration which covers both, be the proportion of such consideration so received, computed as provided in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above, as determined in good faith by the Board of Directors.</w:t>
      </w:r>
    </w:p>
    <w:p>
      <w:pPr>
        <w:spacing w:after="0" w:line="171" w:lineRule="exact"/>
        <w:rPr>
          <w:rFonts w:ascii="Times New Roman" w:cs="Times New Roman" w:eastAsia="Times New Roman" w:hAnsi="Times New Roman"/>
          <w:sz w:val="17"/>
          <w:szCs w:val="17"/>
          <w:color w:val="auto"/>
        </w:rPr>
      </w:pPr>
    </w:p>
    <w:p>
      <w:pPr>
        <w:ind w:right="40" w:firstLine="2285"/>
        <w:spacing w:after="0" w:line="267" w:lineRule="auto"/>
        <w:tabs>
          <w:tab w:leader="none" w:pos="2535"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Options and Convertible Securities</w:t>
      </w:r>
      <w:r>
        <w:rPr>
          <w:rFonts w:ascii="Times New Roman" w:cs="Times New Roman" w:eastAsia="Times New Roman" w:hAnsi="Times New Roman"/>
          <w:sz w:val="17"/>
          <w:szCs w:val="17"/>
          <w:color w:val="auto"/>
        </w:rPr>
        <w:t xml:space="preserve">. The consideration per share received by the Corporation for Additional Shares of Common Stock deemed to have been issued pursuant to </w:t>
      </w:r>
      <w:r>
        <w:rPr>
          <w:rFonts w:ascii="Times New Roman" w:cs="Times New Roman" w:eastAsia="Times New Roman" w:hAnsi="Times New Roman"/>
          <w:sz w:val="17"/>
          <w:szCs w:val="17"/>
          <w:u w:val="single" w:color="auto"/>
          <w:color w:val="auto"/>
        </w:rPr>
        <w:t>Subsection 4.4.3</w:t>
      </w:r>
      <w:r>
        <w:rPr>
          <w:rFonts w:ascii="Times New Roman" w:cs="Times New Roman" w:eastAsia="Times New Roman" w:hAnsi="Times New Roman"/>
          <w:sz w:val="17"/>
          <w:szCs w:val="17"/>
          <w:color w:val="auto"/>
        </w:rPr>
        <w:t>, relating to Options and Convertible Securities, shall be determined by dividing:</w:t>
      </w:r>
    </w:p>
    <w:p>
      <w:pPr>
        <w:spacing w:after="0" w:line="75" w:lineRule="exact"/>
        <w:rPr>
          <w:rFonts w:ascii="Times New Roman" w:cs="Times New Roman" w:eastAsia="Times New Roman" w:hAnsi="Times New Roman"/>
          <w:sz w:val="17"/>
          <w:szCs w:val="17"/>
          <w:color w:val="auto"/>
        </w:rPr>
      </w:pPr>
    </w:p>
    <w:p>
      <w:pPr>
        <w:ind w:left="3220" w:right="60" w:hanging="520"/>
        <w:spacing w:after="0" w:line="261" w:lineRule="auto"/>
        <w:tabs>
          <w:tab w:leader="none" w:pos="3220" w:val="left"/>
        </w:tabs>
        <w:numPr>
          <w:ilvl w:val="1"/>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0380"/>
          </w:cols>
          <w:pgMar w:left="740" w:top="264" w:right="779" w:bottom="1440" w:gutter="0" w:footer="0" w:header="0"/>
        </w:sectPr>
      </w:pPr>
    </w:p>
    <w:bookmarkStart w:id="315" w:name="page316"/>
    <w:bookmarkEnd w:id="315"/>
    <w:p>
      <w:pPr>
        <w:ind w:left="3220" w:right="26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76" w:lineRule="exact"/>
        <w:rPr>
          <w:sz w:val="20"/>
          <w:szCs w:val="20"/>
          <w:color w:val="auto"/>
        </w:rPr>
      </w:pPr>
    </w:p>
    <w:p>
      <w:pPr>
        <w:ind w:left="3220" w:hanging="520"/>
        <w:spacing w:after="0" w:line="259" w:lineRule="auto"/>
        <w:tabs>
          <w:tab w:leader="none" w:pos="3220"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72" w:lineRule="exact"/>
        <w:rPr>
          <w:sz w:val="20"/>
          <w:szCs w:val="20"/>
          <w:color w:val="auto"/>
        </w:rPr>
      </w:pPr>
    </w:p>
    <w:p>
      <w:pPr>
        <w:jc w:val="both"/>
        <w:ind w:right="100" w:firstLine="1877"/>
        <w:spacing w:after="0" w:line="259" w:lineRule="auto"/>
        <w:rPr>
          <w:sz w:val="20"/>
          <w:szCs w:val="20"/>
          <w:color w:val="auto"/>
        </w:rPr>
      </w:pPr>
      <w:r>
        <w:rPr>
          <w:rFonts w:ascii="Times New Roman" w:cs="Times New Roman" w:eastAsia="Times New Roman" w:hAnsi="Times New Roman"/>
          <w:sz w:val="17"/>
          <w:szCs w:val="17"/>
          <w:color w:val="auto"/>
        </w:rPr>
        <w:t xml:space="preserve">4.4.6 </w:t>
      </w:r>
      <w:r>
        <w:rPr>
          <w:rFonts w:ascii="Times New Roman" w:cs="Times New Roman" w:eastAsia="Times New Roman" w:hAnsi="Times New Roman"/>
          <w:sz w:val="17"/>
          <w:szCs w:val="17"/>
          <w:u w:val="single" w:color="auto"/>
          <w:color w:val="auto"/>
        </w:rPr>
        <w:t>Multiple Closing Dates</w:t>
      </w:r>
      <w:r>
        <w:rPr>
          <w:rFonts w:ascii="Times New Roman" w:cs="Times New Roman" w:eastAsia="Times New Roman" w:hAnsi="Times New Roman"/>
          <w:sz w:val="17"/>
          <w:szCs w:val="17"/>
          <w:color w:val="auto"/>
        </w:rPr>
        <w:t xml:space="preserve">. In the event the Corporation shall issue on more than one date Additional Shares of Common Stock that are a part of one transaction or a series of related transactions and that would result in an adjustment to the Conversion Price, pursuant to the terms of </w:t>
      </w:r>
      <w:r>
        <w:rPr>
          <w:rFonts w:ascii="Times New Roman" w:cs="Times New Roman" w:eastAsia="Times New Roman" w:hAnsi="Times New Roman"/>
          <w:sz w:val="17"/>
          <w:szCs w:val="17"/>
          <w:u w:val="single" w:color="auto"/>
          <w:color w:val="auto"/>
        </w:rPr>
        <w:t>Subsection 4.4.4</w:t>
      </w:r>
      <w:r>
        <w:rPr>
          <w:rFonts w:ascii="Times New Roman" w:cs="Times New Roman" w:eastAsia="Times New Roman" w:hAnsi="Times New Roman"/>
          <w:sz w:val="17"/>
          <w:szCs w:val="17"/>
          <w:color w:val="auto"/>
        </w:rPr>
        <w:t>, and such issuance dates occur within a period of no more than ninety (90) days from the first such issuance to the final such issuance, then, upon the final such issuance, the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72" w:lineRule="exact"/>
        <w:rPr>
          <w:sz w:val="20"/>
          <w:szCs w:val="20"/>
          <w:color w:val="auto"/>
        </w:rPr>
      </w:pPr>
    </w:p>
    <w:p>
      <w:pPr>
        <w:ind w:firstLine="1355"/>
        <w:spacing w:after="0" w:line="255" w:lineRule="auto"/>
        <w:rPr>
          <w:sz w:val="20"/>
          <w:szCs w:val="20"/>
          <w:color w:val="auto"/>
        </w:rPr>
      </w:pPr>
      <w:r>
        <w:rPr>
          <w:rFonts w:ascii="Times New Roman" w:cs="Times New Roman" w:eastAsia="Times New Roman" w:hAnsi="Times New Roman"/>
          <w:sz w:val="17"/>
          <w:szCs w:val="17"/>
          <w:color w:val="auto"/>
        </w:rPr>
        <w:t xml:space="preserve">4.5 </w:t>
      </w:r>
      <w:r>
        <w:rPr>
          <w:rFonts w:ascii="Times New Roman" w:cs="Times New Roman" w:eastAsia="Times New Roman" w:hAnsi="Times New Roman"/>
          <w:sz w:val="17"/>
          <w:szCs w:val="17"/>
          <w:u w:val="single" w:color="auto"/>
          <w:color w:val="auto"/>
        </w:rPr>
        <w:t>Adjustment for Stock Splits and Combinations</w:t>
      </w:r>
      <w:r>
        <w:rPr>
          <w:rFonts w:ascii="Times New Roman" w:cs="Times New Roman" w:eastAsia="Times New Roman" w:hAnsi="Times New Roman"/>
          <w:sz w:val="17"/>
          <w:szCs w:val="17"/>
          <w:color w:val="auto"/>
        </w:rPr>
        <w:t>. If the Corporation shall at any time or from time to time after the Original Issue Date effect a subdivision of the outstanding Common Stock, the Conversion Price,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Original Issue Date combine the outstanding shares of Common Stock, the Conversion Price,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pacing w:after="0" w:line="178" w:lineRule="exact"/>
        <w:rPr>
          <w:sz w:val="20"/>
          <w:szCs w:val="20"/>
          <w:color w:val="auto"/>
        </w:rPr>
      </w:pPr>
    </w:p>
    <w:p>
      <w:pPr>
        <w:ind w:right="200" w:firstLine="1355"/>
        <w:spacing w:after="0" w:line="267" w:lineRule="auto"/>
        <w:rPr>
          <w:sz w:val="20"/>
          <w:szCs w:val="20"/>
          <w:color w:val="auto"/>
        </w:rPr>
      </w:pPr>
      <w:r>
        <w:rPr>
          <w:rFonts w:ascii="Times New Roman" w:cs="Times New Roman" w:eastAsia="Times New Roman" w:hAnsi="Times New Roman"/>
          <w:sz w:val="17"/>
          <w:szCs w:val="17"/>
          <w:color w:val="auto"/>
        </w:rPr>
        <w:t xml:space="preserve">4.6 </w:t>
      </w:r>
      <w:r>
        <w:rPr>
          <w:rFonts w:ascii="Times New Roman" w:cs="Times New Roman" w:eastAsia="Times New Roman" w:hAnsi="Times New Roman"/>
          <w:sz w:val="17"/>
          <w:szCs w:val="17"/>
          <w:u w:val="single" w:color="auto"/>
          <w:color w:val="auto"/>
        </w:rPr>
        <w:t>Adjustment for Certain Dividends and Distributions</w:t>
      </w:r>
      <w:r>
        <w:rPr>
          <w:rFonts w:ascii="Times New Roman" w:cs="Times New Roman" w:eastAsia="Times New Roman" w:hAnsi="Times New Roman"/>
          <w:sz w:val="17"/>
          <w:szCs w:val="17"/>
          <w:color w:val="auto"/>
        </w:rPr>
        <w:t>. In the event the Corporation at any time or from time to time after the Original Issue Date shall make or issue, or fix a record date for the determination of holders of Common Stock entitled to receive, a dividend or other distribution payable on the Common Stock in additional shares of Common Stock, then</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0380"/>
          </w:cols>
          <w:pgMar w:left="740" w:top="264" w:right="779" w:bottom="1440" w:gutter="0" w:footer="0" w:header="0"/>
        </w:sectPr>
      </w:pPr>
    </w:p>
    <w:bookmarkStart w:id="316" w:name="page317"/>
    <w:bookmarkEnd w:id="316"/>
    <w:p>
      <w:pPr>
        <w:ind w:right="16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and in each such event the Conversion Price, in effect immediately before such event shall be decreased as of the time of such issuance or, in the event such a record date shall have been fixed, as of the close of business on such record date, by multiplying the Conversion Price, then in effect by a fraction:</w:t>
      </w:r>
    </w:p>
    <w:p>
      <w:pPr>
        <w:spacing w:after="0" w:line="165" w:lineRule="exact"/>
        <w:rPr>
          <w:sz w:val="20"/>
          <w:szCs w:val="20"/>
          <w:color w:val="auto"/>
        </w:rPr>
      </w:pPr>
    </w:p>
    <w:p>
      <w:pPr>
        <w:ind w:firstLine="1868"/>
        <w:spacing w:after="0" w:line="283" w:lineRule="auto"/>
        <w:tabs>
          <w:tab w:leader="none" w:pos="2118"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numerator of which shall be the total number of shares of Common Stock issued and outstanding immediately prior to the time of such issuance or the close of business on such record date, and</w:t>
      </w:r>
    </w:p>
    <w:p>
      <w:pPr>
        <w:spacing w:after="0" w:line="152" w:lineRule="exact"/>
        <w:rPr>
          <w:rFonts w:ascii="Times New Roman" w:cs="Times New Roman" w:eastAsia="Times New Roman" w:hAnsi="Times New Roman"/>
          <w:sz w:val="17"/>
          <w:szCs w:val="17"/>
          <w:color w:val="auto"/>
        </w:rPr>
      </w:pPr>
    </w:p>
    <w:p>
      <w:pPr>
        <w:ind w:firstLine="1868"/>
        <w:spacing w:after="0" w:line="267" w:lineRule="auto"/>
        <w:tabs>
          <w:tab w:leader="none" w:pos="2118"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65"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7"/>
          <w:szCs w:val="17"/>
          <w:color w:val="auto"/>
        </w:rPr>
        <w:t>Notwithstanding the foregoing (a) if such record date shall have been fixed and such dividend is not fully paid or if such distribution is not fully made on the date fixed therefor, the Conversion Price, shall be recomputed accordingly as of the close of business on such record date and thereafter the Conversion Price, shall be adjusted pursuant to this subsection as of the time of actual payment of such dividends or distributions; and (b) that no such adjustment shall be made if the holders of Preferred Stock simultaneously receive a dividend or other distribution of shares of Common Stock in a number equal to the number of shares of Common Stock as they would have received if all outstanding shares of Preferred Stock had been converted into Common Stock on the date of such event.</w:t>
      </w:r>
    </w:p>
    <w:p>
      <w:pPr>
        <w:spacing w:after="0" w:line="175" w:lineRule="exact"/>
        <w:rPr>
          <w:sz w:val="20"/>
          <w:szCs w:val="20"/>
          <w:color w:val="auto"/>
        </w:rPr>
      </w:pPr>
    </w:p>
    <w:p>
      <w:pPr>
        <w:ind w:right="40" w:firstLine="1355"/>
        <w:spacing w:after="0" w:line="256" w:lineRule="auto"/>
        <w:rPr>
          <w:sz w:val="20"/>
          <w:szCs w:val="20"/>
          <w:color w:val="auto"/>
        </w:rPr>
      </w:pPr>
      <w:r>
        <w:rPr>
          <w:rFonts w:ascii="Times New Roman" w:cs="Times New Roman" w:eastAsia="Times New Roman" w:hAnsi="Times New Roman"/>
          <w:sz w:val="17"/>
          <w:szCs w:val="17"/>
          <w:color w:val="auto"/>
        </w:rPr>
        <w:t xml:space="preserve">4.7 </w:t>
      </w:r>
      <w:r>
        <w:rPr>
          <w:rFonts w:ascii="Times New Roman" w:cs="Times New Roman" w:eastAsia="Times New Roman" w:hAnsi="Times New Roman"/>
          <w:sz w:val="17"/>
          <w:szCs w:val="17"/>
          <w:u w:val="single" w:color="auto"/>
          <w:color w:val="auto"/>
        </w:rPr>
        <w:t>Adjustments for Other Dividends and Distributions</w:t>
      </w:r>
      <w:r>
        <w:rPr>
          <w:rFonts w:ascii="Times New Roman" w:cs="Times New Roman" w:eastAsia="Times New Roman" w:hAnsi="Times New Roman"/>
          <w:sz w:val="17"/>
          <w:szCs w:val="17"/>
          <w:color w:val="auto"/>
        </w:rPr>
        <w:t xml:space="preserve">. In the event the Corporation at any time or from time to time after the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 xml:space="preserve">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w:t>
      </w:r>
    </w:p>
    <w:p>
      <w:pPr>
        <w:spacing w:after="0" w:line="176" w:lineRule="exact"/>
        <w:rPr>
          <w:sz w:val="20"/>
          <w:szCs w:val="20"/>
          <w:color w:val="auto"/>
        </w:rPr>
      </w:pPr>
    </w:p>
    <w:p>
      <w:pPr>
        <w:ind w:right="100" w:firstLine="1355"/>
        <w:spacing w:after="0" w:line="256" w:lineRule="auto"/>
        <w:rPr>
          <w:sz w:val="20"/>
          <w:szCs w:val="20"/>
          <w:color w:val="auto"/>
        </w:rPr>
      </w:pPr>
      <w:r>
        <w:rPr>
          <w:rFonts w:ascii="Times New Roman" w:cs="Times New Roman" w:eastAsia="Times New Roman" w:hAnsi="Times New Roman"/>
          <w:sz w:val="17"/>
          <w:szCs w:val="17"/>
          <w:color w:val="auto"/>
        </w:rPr>
        <w:t xml:space="preserve">4.8 </w:t>
      </w:r>
      <w:r>
        <w:rPr>
          <w:rFonts w:ascii="Times New Roman" w:cs="Times New Roman" w:eastAsia="Times New Roman" w:hAnsi="Times New Roman"/>
          <w:sz w:val="17"/>
          <w:szCs w:val="17"/>
          <w:u w:val="single" w:color="auto"/>
          <w:color w:val="auto"/>
        </w:rPr>
        <w:t>Adjustment for Merger or Reorganization, etc</w:t>
      </w:r>
      <w:r>
        <w:rPr>
          <w:rFonts w:ascii="Times New Roman" w:cs="Times New Roman" w:eastAsia="Times New Roman" w:hAnsi="Times New Roman"/>
          <w:sz w:val="17"/>
          <w:szCs w:val="17"/>
          <w:color w:val="auto"/>
        </w:rPr>
        <w:t xml:space="preserve">. Subject to the provisions of </w:t>
      </w:r>
      <w:r>
        <w:rPr>
          <w:rFonts w:ascii="Times New Roman" w:cs="Times New Roman" w:eastAsia="Times New Roman" w:hAnsi="Times New Roman"/>
          <w:sz w:val="17"/>
          <w:szCs w:val="17"/>
          <w:u w:val="single" w:color="auto"/>
          <w:color w:val="auto"/>
        </w:rPr>
        <w:t>Subsection 2.3</w:t>
      </w:r>
      <w:r>
        <w:rPr>
          <w:rFonts w:ascii="Times New Roman" w:cs="Times New Roman" w:eastAsia="Times New Roman" w:hAnsi="Times New Roman"/>
          <w:sz w:val="17"/>
          <w:szCs w:val="17"/>
          <w:color w:val="auto"/>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Times New Roman" w:cs="Times New Roman" w:eastAsia="Times New Roman" w:hAnsi="Times New Roman"/>
          <w:sz w:val="17"/>
          <w:szCs w:val="17"/>
          <w:u w:val="single" w:color="auto"/>
          <w:color w:val="auto"/>
        </w:rPr>
        <w:t>Subsections 4.4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4.6</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4.7</w:t>
      </w:r>
      <w:r>
        <w:rPr>
          <w:rFonts w:ascii="Times New Roman" w:cs="Times New Roman" w:eastAsia="Times New Roman" w:hAnsi="Times New Roman"/>
          <w:sz w:val="17"/>
          <w:szCs w:val="17"/>
          <w:color w:val="auto"/>
        </w:rPr>
        <w:t>),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Preferred Stock immediately prior to such reorganization, recapitalization, reclassification, consolidation or merger would have been entitled to receive pursuant to such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0400"/>
          </w:cols>
          <w:pgMar w:left="740" w:top="264" w:right="759" w:bottom="1440" w:gutter="0" w:footer="0" w:header="0"/>
        </w:sectPr>
      </w:pPr>
    </w:p>
    <w:bookmarkStart w:id="317" w:name="page318"/>
    <w:bookmarkEnd w:id="317"/>
    <w:p>
      <w:pPr>
        <w:ind w:left="9" w:right="20"/>
        <w:spacing w:after="0" w:line="26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transaction; and, in such case, appropriate adjustment (as determined in good faith by the Board of Directors) shall be made in the application of the provisions in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with respect to the rights and interests thereafter of the holders of the Preferred Stock, to the end that the provisions set forth in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(including provisions with respect to changes in and other adjustments of the Conversion Price) shall thereafter be applicable, as nearly as reasonably may be, in relation to any securities or other property thereafter deliverable upon the conversion of the Preferred Stock.</w:t>
      </w:r>
    </w:p>
    <w:p>
      <w:pPr>
        <w:spacing w:after="0" w:line="172" w:lineRule="exact"/>
        <w:rPr>
          <w:sz w:val="20"/>
          <w:szCs w:val="20"/>
          <w:color w:val="auto"/>
        </w:rPr>
      </w:pPr>
    </w:p>
    <w:p>
      <w:pPr>
        <w:ind w:left="9" w:right="40" w:firstLine="1355"/>
        <w:spacing w:after="0" w:line="255" w:lineRule="auto"/>
        <w:rPr>
          <w:sz w:val="20"/>
          <w:szCs w:val="20"/>
          <w:color w:val="auto"/>
        </w:rPr>
      </w:pPr>
      <w:r>
        <w:rPr>
          <w:rFonts w:ascii="Times New Roman" w:cs="Times New Roman" w:eastAsia="Times New Roman" w:hAnsi="Times New Roman"/>
          <w:sz w:val="17"/>
          <w:szCs w:val="17"/>
          <w:color w:val="auto"/>
        </w:rPr>
        <w:t xml:space="preserve">4.9 </w:t>
      </w:r>
      <w:r>
        <w:rPr>
          <w:rFonts w:ascii="Times New Roman" w:cs="Times New Roman" w:eastAsia="Times New Roman" w:hAnsi="Times New Roman"/>
          <w:sz w:val="17"/>
          <w:szCs w:val="17"/>
          <w:u w:val="single" w:color="auto"/>
          <w:color w:val="auto"/>
        </w:rPr>
        <w:t>Certificate as to Adjustments</w:t>
      </w:r>
      <w:r>
        <w:rPr>
          <w:rFonts w:ascii="Times New Roman" w:cs="Times New Roman" w:eastAsia="Times New Roman" w:hAnsi="Times New Roman"/>
          <w:sz w:val="17"/>
          <w:szCs w:val="17"/>
          <w:color w:val="auto"/>
        </w:rPr>
        <w:t xml:space="preserve">. Upon the occurrence of each adjustment or readjustment of the Conversion Price, pursuant to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the Corporation at its expense shall, as promptly as reasonably practicable but in any event not later than ten (10) days thereafter, compute such adjustment or readjustment in accordance with the terms hereof and furnish to each holder of Preferred Stock a certificate setting forth such adjustment or readjustment (including the kind and amount of securities, cash or other property into which the Preferred Stock is convertible) and showing in detail the facts upon which such adjustment or readjustment is based. The Corporation shall, as promptly as reasonably practicable after the written request at any time of any holder of Preferred Stock (but in any event not later than ten (10) days thereafter), furnish or cause to be furnished to such holder a certificate setting forth (i) the Conversion Price, then in effect, and (ii) the number of shares of Common Stock and the amount, if any, of other securities, cash or property which then would be received upon the conversion of Preferred Stock, as applicable.</w:t>
      </w:r>
    </w:p>
    <w:p>
      <w:pPr>
        <w:spacing w:after="0" w:line="178" w:lineRule="exact"/>
        <w:rPr>
          <w:sz w:val="20"/>
          <w:szCs w:val="20"/>
          <w:color w:val="auto"/>
        </w:rPr>
      </w:pPr>
    </w:p>
    <w:p>
      <w:pPr>
        <w:ind w:left="1349"/>
        <w:spacing w:after="0"/>
        <w:rPr>
          <w:sz w:val="20"/>
          <w:szCs w:val="20"/>
          <w:color w:val="auto"/>
        </w:rPr>
      </w:pPr>
      <w:r>
        <w:rPr>
          <w:rFonts w:ascii="Times New Roman" w:cs="Times New Roman" w:eastAsia="Times New Roman" w:hAnsi="Times New Roman"/>
          <w:sz w:val="17"/>
          <w:szCs w:val="17"/>
          <w:color w:val="auto"/>
        </w:rPr>
        <w:t xml:space="preserve">4.10 </w:t>
      </w:r>
      <w:r>
        <w:rPr>
          <w:rFonts w:ascii="Times New Roman" w:cs="Times New Roman" w:eastAsia="Times New Roman" w:hAnsi="Times New Roman"/>
          <w:sz w:val="17"/>
          <w:szCs w:val="17"/>
          <w:u w:val="single" w:color="auto"/>
          <w:color w:val="auto"/>
        </w:rPr>
        <w:t>Notice of Record Date</w:t>
      </w:r>
      <w:r>
        <w:rPr>
          <w:rFonts w:ascii="Times New Roman" w:cs="Times New Roman" w:eastAsia="Times New Roman" w:hAnsi="Times New Roman"/>
          <w:sz w:val="17"/>
          <w:szCs w:val="17"/>
          <w:color w:val="auto"/>
        </w:rPr>
        <w:t>. In the event:</w:t>
      </w:r>
    </w:p>
    <w:p>
      <w:pPr>
        <w:spacing w:after="0" w:line="213" w:lineRule="exact"/>
        <w:rPr>
          <w:sz w:val="20"/>
          <w:szCs w:val="20"/>
          <w:color w:val="auto"/>
        </w:rPr>
      </w:pPr>
    </w:p>
    <w:p>
      <w:pPr>
        <w:jc w:val="both"/>
        <w:ind w:left="9" w:right="200" w:firstLine="2285"/>
        <w:spacing w:after="0" w:line="267" w:lineRule="auto"/>
        <w:tabs>
          <w:tab w:leader="none" w:pos="2534"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65" w:lineRule="exact"/>
        <w:rPr>
          <w:rFonts w:ascii="Times New Roman" w:cs="Times New Roman" w:eastAsia="Times New Roman" w:hAnsi="Times New Roman"/>
          <w:sz w:val="17"/>
          <w:szCs w:val="17"/>
          <w:color w:val="auto"/>
        </w:rPr>
      </w:pPr>
    </w:p>
    <w:p>
      <w:pPr>
        <w:ind w:left="2529" w:hanging="235"/>
        <w:spacing w:after="0"/>
        <w:tabs>
          <w:tab w:leader="none" w:pos="2529"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any capital reorganization of the Corporation, any reclassification of the Common Stock of the Corporation, or</w:t>
      </w:r>
    </w:p>
    <w:p>
      <w:pPr>
        <w:spacing w:after="0" w:line="26" w:lineRule="exact"/>
        <w:rPr>
          <w:rFonts w:ascii="Times New Roman" w:cs="Times New Roman" w:eastAsia="Times New Roman" w:hAnsi="Times New Roman"/>
          <w:sz w:val="17"/>
          <w:szCs w:val="17"/>
          <w:color w:val="auto"/>
        </w:rPr>
      </w:pPr>
    </w:p>
    <w:p>
      <w:pPr>
        <w:ind w:left="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Deemed Liquidation Event; or</w:t>
      </w:r>
    </w:p>
    <w:p>
      <w:pPr>
        <w:spacing w:after="0" w:line="196" w:lineRule="exact"/>
        <w:rPr>
          <w:rFonts w:ascii="Times New Roman" w:cs="Times New Roman" w:eastAsia="Times New Roman" w:hAnsi="Times New Roman"/>
          <w:sz w:val="17"/>
          <w:szCs w:val="17"/>
          <w:color w:val="auto"/>
        </w:rPr>
      </w:pPr>
    </w:p>
    <w:p>
      <w:pPr>
        <w:ind w:left="2529" w:hanging="235"/>
        <w:spacing w:after="0"/>
        <w:tabs>
          <w:tab w:leader="none" w:pos="2529"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voluntary or involuntary dissolution, liquidation or winding-up of the Corporation,</w:t>
      </w:r>
    </w:p>
    <w:p>
      <w:pPr>
        <w:spacing w:after="0" w:line="21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then, and in each such case, the Corporation will send or cause to be sent to the holders of the Preferred Stock a notice specifying, as the case may be,</w:t>
      </w:r>
    </w:p>
    <w:p>
      <w:pPr>
        <w:spacing w:after="0" w:line="26" w:lineRule="exact"/>
        <w:rPr>
          <w:sz w:val="20"/>
          <w:szCs w:val="20"/>
          <w:color w:val="auto"/>
        </w:rPr>
      </w:pPr>
    </w:p>
    <w:p>
      <w:pPr>
        <w:ind w:left="9" w:hanging="9"/>
        <w:spacing w:after="0" w:line="250" w:lineRule="auto"/>
        <w:tabs>
          <w:tab w:leader="none" w:pos="212"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ten</w:t>
      </w:r>
    </w:p>
    <w:p>
      <w:pPr>
        <w:spacing w:after="0" w:line="4" w:lineRule="exact"/>
        <w:rPr>
          <w:rFonts w:ascii="Times New Roman" w:cs="Times New Roman" w:eastAsia="Times New Roman" w:hAnsi="Times New Roman"/>
          <w:sz w:val="17"/>
          <w:szCs w:val="17"/>
          <w:color w:val="auto"/>
        </w:rPr>
      </w:pPr>
    </w:p>
    <w:p>
      <w:pPr>
        <w:ind w:left="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 days prior to the record date or effective date for the event specified in such notice.</w:t>
      </w:r>
    </w:p>
    <w:p>
      <w:pPr>
        <w:spacing w:after="0" w:line="132" w:lineRule="exact"/>
        <w:rPr>
          <w:sz w:val="20"/>
          <w:szCs w:val="20"/>
          <w:color w:val="auto"/>
        </w:rPr>
      </w:pPr>
    </w:p>
    <w:p>
      <w:pPr>
        <w:jc w:val="center"/>
        <w:ind w:right="-68"/>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0369"/>
          </w:cols>
          <w:pgMar w:left="731" w:top="263" w:right="799" w:bottom="1440" w:gutter="0" w:footer="0" w:header="0"/>
        </w:sectPr>
      </w:pPr>
    </w:p>
    <w:bookmarkStart w:id="318" w:name="page319"/>
    <w:bookmarkEnd w:id="318"/>
    <w:p>
      <w:pPr>
        <w:ind w:left="1100" w:hanging="171"/>
        <w:spacing w:after="0"/>
        <w:tabs>
          <w:tab w:leader="none" w:pos="1100"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Mandatory Conversion</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Trigger Events</w:t>
      </w:r>
      <w:r>
        <w:rPr>
          <w:rFonts w:ascii="Times New Roman" w:cs="Times New Roman" w:eastAsia="Times New Roman" w:hAnsi="Times New Roman"/>
          <w:sz w:val="17"/>
          <w:szCs w:val="17"/>
          <w:color w:val="auto"/>
        </w:rPr>
        <w:t>. Upon either (a) the point in time immediately prior to the closing of the sale of shares of Common Stock to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public in a firm-commitment underwritten public offering pursuant to an effective registration statement under the Securities Act of 1933,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a price to the public of at least $0.875 per share (as adjusted for stock splits, stock dividends, combinations, reorganizations and the like)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Qualified IPO Price</w:t>
      </w:r>
      <w:r>
        <w:rPr>
          <w:rFonts w:ascii="Times New Roman" w:cs="Times New Roman" w:eastAsia="Times New Roman" w:hAnsi="Times New Roman"/>
          <w:sz w:val="17"/>
          <w:szCs w:val="17"/>
          <w:color w:val="auto"/>
        </w:rPr>
        <w:t>”) and resulting in at least $75,000,000 of gross proceeds to the Corporation and in connection with such offering the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 is listed for trading on the Nasdaq Stock Market’s National Market, the New York Stock Exchange or another exchange or marketplace approved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the Board of Directors, including with Preferred Director Approval (a “</w:t>
      </w:r>
      <w:r>
        <w:rPr>
          <w:rFonts w:ascii="Times New Roman" w:cs="Times New Roman" w:eastAsia="Times New Roman" w:hAnsi="Times New Roman"/>
          <w:sz w:val="17"/>
          <w:szCs w:val="17"/>
          <w:b w:val="1"/>
          <w:bCs w:val="1"/>
          <w:color w:val="auto"/>
        </w:rPr>
        <w:t>Qualified IPO</w:t>
      </w:r>
      <w:r>
        <w:rPr>
          <w:rFonts w:ascii="Times New Roman" w:cs="Times New Roman" w:eastAsia="Times New Roman" w:hAnsi="Times New Roman"/>
          <w:sz w:val="17"/>
          <w:szCs w:val="17"/>
          <w:color w:val="auto"/>
        </w:rPr>
        <w:t>”), (b) the closing of a Qualified SPAC Transaction; or (c)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and time, or the occurrence of an event, specified by vote or written consent of Requisite Holders (the time of such closing or the date and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specified or the time of the event specified in such vote or written consent is referred to herein as the “</w:t>
      </w:r>
      <w:r>
        <w:rPr>
          <w:rFonts w:ascii="Times New Roman" w:cs="Times New Roman" w:eastAsia="Times New Roman" w:hAnsi="Times New Roman"/>
          <w:sz w:val="17"/>
          <w:szCs w:val="17"/>
          <w:b w:val="1"/>
          <w:bCs w:val="1"/>
          <w:color w:val="auto"/>
        </w:rPr>
        <w:t>Mandatory Conversion Time</w:t>
      </w:r>
      <w:r>
        <w:rPr>
          <w:rFonts w:ascii="Times New Roman" w:cs="Times New Roman" w:eastAsia="Times New Roman" w:hAnsi="Times New Roman"/>
          <w:sz w:val="17"/>
          <w:szCs w:val="17"/>
          <w:color w:val="auto"/>
        </w:rPr>
        <w:t>”), then (i)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shares of Preferred Stock shall automatically be converted into shares of Common Stock, at the then effective conversion rate as calculated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pursuant to </w:t>
      </w:r>
      <w:r>
        <w:rPr>
          <w:rFonts w:ascii="Times New Roman" w:cs="Times New Roman" w:eastAsia="Times New Roman" w:hAnsi="Times New Roman"/>
          <w:sz w:val="17"/>
          <w:szCs w:val="17"/>
          <w:u w:val="single" w:color="auto"/>
          <w:color w:val="auto"/>
        </w:rPr>
        <w:t>Subsection 4.1.1</w:t>
      </w:r>
      <w:r>
        <w:rPr>
          <w:rFonts w:ascii="Times New Roman" w:cs="Times New Roman" w:eastAsia="Times New Roman" w:hAnsi="Times New Roman"/>
          <w:sz w:val="17"/>
          <w:szCs w:val="17"/>
          <w:color w:val="auto"/>
        </w:rPr>
        <w:t xml:space="preserve"> and (ii) such shares may not be reissued by the Corporation. For the purposes hereof, a “</w:t>
      </w:r>
      <w:r>
        <w:rPr>
          <w:rFonts w:ascii="Times New Roman" w:cs="Times New Roman" w:eastAsia="Times New Roman" w:hAnsi="Times New Roman"/>
          <w:sz w:val="17"/>
          <w:szCs w:val="17"/>
          <w:b w:val="1"/>
          <w:bCs w:val="1"/>
          <w:color w:val="auto"/>
        </w:rPr>
        <w:t>Qualified SPAC Transaction</w:t>
      </w:r>
      <w:r>
        <w:rPr>
          <w:rFonts w:ascii="Times New Roman" w:cs="Times New Roman" w:eastAsia="Times New Roman" w:hAnsi="Times New Roman"/>
          <w:sz w:val="17"/>
          <w:szCs w:val="17"/>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shall mean a transaction or series of related transactions pursuant to which (i) the Corporation is merged into, or otherwise combines with, a SPAC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Entity at a value per share of Common Stock of at least the Qualified IPO Price and (ii) the shares of capital stock of the Corporation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immediately prior to such merger or combination are converted into or exchanged for shares of capital stock that represent, immediately following such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transaction or series of related transactions, a majority, by voting power, of the capital stock of the SPAC Entity.</w:t>
      </w:r>
    </w:p>
    <w:p>
      <w:pPr>
        <w:spacing w:after="0" w:line="196" w:lineRule="exact"/>
        <w:rPr>
          <w:sz w:val="20"/>
          <w:szCs w:val="20"/>
          <w:color w:val="auto"/>
        </w:rPr>
      </w:pPr>
    </w:p>
    <w:p>
      <w:pPr>
        <w:ind w:firstLine="1355"/>
        <w:spacing w:after="0" w:line="253"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u w:val="single" w:color="auto"/>
          <w:color w:val="auto"/>
        </w:rPr>
        <w:t>Procedural Requirements</w:t>
      </w:r>
      <w:r>
        <w:rPr>
          <w:rFonts w:ascii="Times New Roman" w:cs="Times New Roman" w:eastAsia="Times New Roman" w:hAnsi="Times New Roman"/>
          <w:sz w:val="17"/>
          <w:szCs w:val="17"/>
          <w:color w:val="auto"/>
        </w:rPr>
        <w:t xml:space="preserve">. All holders of record of shares of Preferred Stock shall be sent written notice of the Mandatory Conversion Time and the place designated for mandatory conversion of all such shares of Preferred Stock pursuant to this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Such notice need not be sent in advance of the occurrence of the Mandatory Conversion Time. Upon receipt of such notice, each holder of shares of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Times New Roman" w:cs="Times New Roman" w:eastAsia="Times New Roman" w:hAnsi="Times New Roman"/>
          <w:sz w:val="17"/>
          <w:szCs w:val="17"/>
          <w:u w:val="single" w:color="auto"/>
          <w:color w:val="auto"/>
        </w:rPr>
        <w:t>Subsection 5.1</w:t>
      </w:r>
      <w:r>
        <w:rPr>
          <w:rFonts w:ascii="Times New Roman" w:cs="Times New Roman" w:eastAsia="Times New Roman" w:hAnsi="Times New Roman"/>
          <w:sz w:val="17"/>
          <w:szCs w:val="17"/>
          <w:color w:val="auto"/>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Times New Roman" w:cs="Times New Roman" w:eastAsia="Times New Roman" w:hAnsi="Times New Roman"/>
          <w:sz w:val="17"/>
          <w:szCs w:val="17"/>
          <w:u w:val="single" w:color="auto"/>
          <w:color w:val="auto"/>
        </w:rPr>
        <w:t>Subsection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5.2</w:t>
      </w:r>
      <w:r>
        <w:rPr>
          <w:rFonts w:ascii="Times New Roman" w:cs="Times New Roman" w:eastAsia="Times New Roman" w:hAnsi="Times New Roman"/>
          <w:sz w:val="17"/>
          <w:szCs w:val="17"/>
          <w:color w:val="auto"/>
        </w:rPr>
        <w:t>. As soon as</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0320"/>
          </w:cols>
          <w:pgMar w:left="740" w:top="264" w:right="839" w:bottom="1440" w:gutter="0" w:footer="0" w:header="0"/>
        </w:sectPr>
      </w:pPr>
    </w:p>
    <w:bookmarkStart w:id="319" w:name="page320"/>
    <w:bookmarkEnd w:id="319"/>
    <w:p>
      <w:pPr>
        <w:spacing w:after="0" w:line="25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practicable after the Mandatory Conversion Time and, if applicable, the surrender of any certificate or certificates (or lost certificate affidavit and agreement) for Preferred Stock, the Corporation shall (a) issue and deliver to such holder, or to his, her or its nominees, a certificate or certificates for the number of full shares of Common Stock issuable on such conversion in accordance with the provisions hereof and (b) pay cash as provided in </w:t>
      </w:r>
      <w:r>
        <w:rPr>
          <w:rFonts w:ascii="Times New Roman" w:cs="Times New Roman" w:eastAsia="Times New Roman" w:hAnsi="Times New Roman"/>
          <w:sz w:val="17"/>
          <w:szCs w:val="17"/>
          <w:u w:val="single" w:color="auto"/>
          <w:color w:val="auto"/>
        </w:rPr>
        <w:t>Subsection 4.2</w:t>
      </w:r>
      <w:r>
        <w:rPr>
          <w:rFonts w:ascii="Times New Roman" w:cs="Times New Roman" w:eastAsia="Times New Roman" w:hAnsi="Times New Roman"/>
          <w:sz w:val="17"/>
          <w:szCs w:val="17"/>
          <w:color w:val="auto"/>
        </w:rPr>
        <w:t xml:space="preserve"> in lieu of any fraction of a share of Common Stock otherwise issuable upon such conversion and the payment of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76" w:lineRule="exact"/>
        <w:rPr>
          <w:sz w:val="20"/>
          <w:szCs w:val="20"/>
          <w:color w:val="auto"/>
        </w:rPr>
      </w:pPr>
    </w:p>
    <w:p>
      <w:pPr>
        <w:ind w:left="1100" w:hanging="171"/>
        <w:spacing w:after="0"/>
        <w:tabs>
          <w:tab w:leader="none" w:pos="1100"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Redemption</w:t>
      </w:r>
      <w:r>
        <w:rPr>
          <w:rFonts w:ascii="Times New Roman" w:cs="Times New Roman" w:eastAsia="Times New Roman" w:hAnsi="Times New Roman"/>
          <w:sz w:val="17"/>
          <w:szCs w:val="17"/>
          <w:color w:val="auto"/>
        </w:rPr>
        <w:t>. The Preferred Stock is not redeemable upon demand by the holders of the Preferred Stock.</w:t>
      </w:r>
    </w:p>
    <w:p>
      <w:pPr>
        <w:spacing w:after="0" w:line="213" w:lineRule="exact"/>
        <w:rPr>
          <w:rFonts w:ascii="Times New Roman" w:cs="Times New Roman" w:eastAsia="Times New Roman" w:hAnsi="Times New Roman"/>
          <w:sz w:val="17"/>
          <w:szCs w:val="17"/>
          <w:color w:val="auto"/>
        </w:rPr>
      </w:pPr>
    </w:p>
    <w:p>
      <w:pPr>
        <w:ind w:right="40" w:firstLine="929"/>
        <w:spacing w:after="0" w:line="261" w:lineRule="auto"/>
        <w:tabs>
          <w:tab w:leader="none" w:pos="1109"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Redeemed or Otherwise Acquired Shares</w:t>
      </w:r>
      <w:r>
        <w:rPr>
          <w:rFonts w:ascii="Times New Roman" w:cs="Times New Roman" w:eastAsia="Times New Roman" w:hAnsi="Times New Roman"/>
          <w:sz w:val="17"/>
          <w:szCs w:val="17"/>
          <w:color w:val="auto"/>
        </w:rPr>
        <w:t>. Any shares of Preferred Stock that are redeemed, converted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 conversion or acquisition.</w:t>
      </w:r>
    </w:p>
    <w:p>
      <w:pPr>
        <w:spacing w:after="0" w:line="171" w:lineRule="exact"/>
        <w:rPr>
          <w:rFonts w:ascii="Times New Roman" w:cs="Times New Roman" w:eastAsia="Times New Roman" w:hAnsi="Times New Roman"/>
          <w:sz w:val="17"/>
          <w:szCs w:val="17"/>
          <w:color w:val="auto"/>
        </w:rPr>
      </w:pPr>
    </w:p>
    <w:p>
      <w:pPr>
        <w:ind w:right="60" w:firstLine="929"/>
        <w:spacing w:after="0" w:line="256" w:lineRule="auto"/>
        <w:tabs>
          <w:tab w:leader="none" w:pos="1109"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Subject to any additional vote required by this Certificate of Incorporation, (i) any of the rights, powers, preferences and other terms of the Series A Preferred Stock set forth herein may be waived on behalf of all holders of Series A Preferred Stock by the affirmative written consent or vote of the holders of at least sixty percent (60%) of the shares of Series A Preferred Stock then outstanding, (ii) any of the rights, powers, preferences and other terms of the Series B Preferred Stock set forth herein may be waived on behalf of all holders of Series B Preferred Stock by the affirmative written consent or vote of the holders of at least sixty percent (60%) of the shares of Series B Preferred Stock then outstanding, and (iii) any of the rights, powers, preferences and other terms of the Series C Preferred Stock set forth herein may be waived on behalf of all holders of Series C Preferred Stock by the affirmative written consent or vote of the holders of a majority of the shares of Series C Preferred Stock then outstanding.</w:t>
      </w:r>
    </w:p>
    <w:p>
      <w:pPr>
        <w:spacing w:after="0" w:line="175" w:lineRule="exact"/>
        <w:rPr>
          <w:rFonts w:ascii="Times New Roman" w:cs="Times New Roman" w:eastAsia="Times New Roman" w:hAnsi="Times New Roman"/>
          <w:sz w:val="17"/>
          <w:szCs w:val="17"/>
          <w:color w:val="auto"/>
        </w:rPr>
      </w:pPr>
    </w:p>
    <w:p>
      <w:pPr>
        <w:ind w:right="220" w:firstLine="929"/>
        <w:spacing w:after="0" w:line="267" w:lineRule="auto"/>
        <w:tabs>
          <w:tab w:leader="none" w:pos="1109"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xml:space="preserve">. Any notice required or permitted by the provisions of this </w:t>
      </w:r>
      <w:r>
        <w:rPr>
          <w:rFonts w:ascii="Times New Roman" w:cs="Times New Roman" w:eastAsia="Times New Roman" w:hAnsi="Times New Roman"/>
          <w:sz w:val="17"/>
          <w:szCs w:val="17"/>
          <w:u w:val="single" w:color="auto"/>
          <w:color w:val="auto"/>
        </w:rPr>
        <w:t>Article Fourth</w:t>
      </w:r>
      <w:r>
        <w:rPr>
          <w:rFonts w:ascii="Times New Roman" w:cs="Times New Roman" w:eastAsia="Times New Roman" w:hAnsi="Times New Roman"/>
          <w:sz w:val="17"/>
          <w:szCs w:val="17"/>
          <w:color w:val="auto"/>
        </w:rPr>
        <w:t xml:space="preserve">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161" w:lineRule="exact"/>
        <w:rPr>
          <w:sz w:val="20"/>
          <w:szCs w:val="20"/>
          <w:color w:val="auto"/>
        </w:rPr>
      </w:pPr>
    </w:p>
    <w:p>
      <w:pPr>
        <w:ind w:right="140" w:firstLine="938"/>
        <w:spacing w:after="0" w:line="288" w:lineRule="auto"/>
        <w:rPr>
          <w:sz w:val="20"/>
          <w:szCs w:val="20"/>
          <w:color w:val="auto"/>
        </w:rPr>
      </w:pPr>
      <w:r>
        <w:rPr>
          <w:rFonts w:ascii="Times New Roman" w:cs="Times New Roman" w:eastAsia="Times New Roman" w:hAnsi="Times New Roman"/>
          <w:sz w:val="17"/>
          <w:szCs w:val="17"/>
          <w:b w:val="1"/>
          <w:bCs w:val="1"/>
          <w:color w:val="auto"/>
        </w:rPr>
        <w:t xml:space="preserve">FIFTH: </w:t>
      </w:r>
      <w:r>
        <w:rPr>
          <w:rFonts w:ascii="Times New Roman" w:cs="Times New Roman" w:eastAsia="Times New Roman" w:hAnsi="Times New Roman"/>
          <w:sz w:val="17"/>
          <w:szCs w:val="17"/>
          <w:color w:val="auto"/>
        </w:rPr>
        <w:t>Subject to any additional vote required by this Certificate of Incorporation or Bylaws, in furtherance and not in limitation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powers conferred by statute, the Board of Directors is expressly authorized to make, repeal, alter, amend and rescind any or all of the Bylaws.</w:t>
      </w:r>
    </w:p>
    <w:p>
      <w:pPr>
        <w:spacing w:after="0" w:line="144" w:lineRule="exact"/>
        <w:rPr>
          <w:sz w:val="20"/>
          <w:szCs w:val="20"/>
          <w:color w:val="auto"/>
        </w:rPr>
      </w:pPr>
    </w:p>
    <w:p>
      <w:pPr>
        <w:ind w:right="220" w:firstLine="938"/>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SIXTH: </w:t>
      </w:r>
      <w:r>
        <w:rPr>
          <w:rFonts w:ascii="Times New Roman" w:cs="Times New Roman" w:eastAsia="Times New Roman" w:hAnsi="Times New Roman"/>
          <w:sz w:val="17"/>
          <w:szCs w:val="17"/>
          <w:color w:val="auto"/>
        </w:rPr>
        <w:t>Subject to any additional vote required by this Certificate of Incorporation, the number of directors of the Corporation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determined in the manner set forth in the Bylaws. Each director shall be entitled to one (1) vote on each matter presented to the Board of Directors;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so long as the holders of Preferred Stock are entitled to elect a Preferred Director, the Preferred Director Approval shall be required for the authorization by the</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0380"/>
          </w:cols>
          <w:pgMar w:left="740" w:top="264" w:right="779" w:bottom="1440" w:gutter="0" w:footer="0" w:header="0"/>
        </w:sectPr>
      </w:pPr>
    </w:p>
    <w:bookmarkStart w:id="320" w:name="page321"/>
    <w:bookmarkEnd w:id="320"/>
    <w:p>
      <w:pPr>
        <w:ind w:right="40"/>
        <w:spacing w:after="0" w:line="28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Board of Directors of any of the matters set forth in </w:t>
      </w:r>
      <w:r>
        <w:rPr>
          <w:rFonts w:ascii="Times New Roman" w:cs="Times New Roman" w:eastAsia="Times New Roman" w:hAnsi="Times New Roman"/>
          <w:sz w:val="17"/>
          <w:szCs w:val="17"/>
          <w:u w:val="single" w:color="auto"/>
          <w:color w:val="auto"/>
        </w:rPr>
        <w:t>Section 5.4</w:t>
      </w:r>
      <w:r>
        <w:rPr>
          <w:rFonts w:ascii="Times New Roman" w:cs="Times New Roman" w:eastAsia="Times New Roman" w:hAnsi="Times New Roman"/>
          <w:sz w:val="17"/>
          <w:szCs w:val="17"/>
          <w:color w:val="auto"/>
        </w:rPr>
        <w:t xml:space="preserve"> of the Amended and Restated Investors’ Rights Agreement, dated on or about the Original Issue Date, by and among the Corporation and the other parties thereto, as such agreement may be amended and/or restated from time to time.</w:t>
      </w:r>
    </w:p>
    <w:p>
      <w:pPr>
        <w:spacing w:after="0" w:line="14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b w:val="1"/>
          <w:bCs w:val="1"/>
          <w:color w:val="auto"/>
        </w:rPr>
        <w:t xml:space="preserve">SEVENTH: </w:t>
      </w:r>
      <w:r>
        <w:rPr>
          <w:rFonts w:ascii="Times New Roman" w:cs="Times New Roman" w:eastAsia="Times New Roman" w:hAnsi="Times New Roman"/>
          <w:sz w:val="17"/>
          <w:szCs w:val="17"/>
          <w:color w:val="auto"/>
        </w:rPr>
        <w:t>Elections of directors need not be by written ballot unless the Bylaws shall so provide.</w:t>
      </w:r>
    </w:p>
    <w:p>
      <w:pPr>
        <w:spacing w:after="0" w:line="213" w:lineRule="exact"/>
        <w:rPr>
          <w:sz w:val="20"/>
          <w:szCs w:val="20"/>
          <w:color w:val="auto"/>
        </w:rPr>
      </w:pPr>
    </w:p>
    <w:p>
      <w:pPr>
        <w:jc w:val="both"/>
        <w:ind w:right="100" w:firstLine="938"/>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EIGHTH: </w:t>
      </w:r>
      <w:r>
        <w:rPr>
          <w:rFonts w:ascii="Times New Roman" w:cs="Times New Roman" w:eastAsia="Times New Roman" w:hAnsi="Times New Roman"/>
          <w:sz w:val="17"/>
          <w:szCs w:val="17"/>
          <w:color w:val="auto"/>
        </w:rPr>
        <w:t>Meetings of stockholders may be held within or without the State of Delaware, as the Bylaws may provide. The books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 may be kept outside the State of Delaware at such place or places as may be designated from time to time by the Board of Directors or in the Bylaws.</w:t>
      </w:r>
    </w:p>
    <w:p>
      <w:pPr>
        <w:spacing w:after="0" w:line="160" w:lineRule="exact"/>
        <w:rPr>
          <w:sz w:val="20"/>
          <w:szCs w:val="20"/>
          <w:color w:val="auto"/>
        </w:rPr>
      </w:pPr>
    </w:p>
    <w:p>
      <w:pPr>
        <w:ind w:right="20" w:firstLine="938"/>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NINTH: </w:t>
      </w:r>
      <w:r>
        <w:rPr>
          <w:rFonts w:ascii="Times New Roman" w:cs="Times New Roman" w:eastAsia="Times New Roman" w:hAnsi="Times New Roman"/>
          <w:sz w:val="17"/>
          <w:szCs w:val="17"/>
          <w:color w:val="auto"/>
        </w:rPr>
        <w:t>To the fullest extent permitted by law, a director of the Corporation shall not be personally liable to the Corporation or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stockholders for monetary damages for breach of fiduciary duty as a director. If the General Corporation Law or any other law of the State of Delaware is amended after approval by the stockholders of this </w:t>
      </w:r>
      <w:r>
        <w:rPr>
          <w:rFonts w:ascii="Times New Roman" w:cs="Times New Roman" w:eastAsia="Times New Roman" w:hAnsi="Times New Roman"/>
          <w:sz w:val="17"/>
          <w:szCs w:val="17"/>
          <w:u w:val="single" w:color="auto"/>
          <w:color w:val="auto"/>
        </w:rPr>
        <w:t>Article Ninth</w:t>
      </w:r>
      <w:r>
        <w:rPr>
          <w:rFonts w:ascii="Times New Roman" w:cs="Times New Roman" w:eastAsia="Times New Roman" w:hAnsi="Times New Roman"/>
          <w:sz w:val="17"/>
          <w:szCs w:val="17"/>
          <w:color w:val="auto"/>
        </w:rPr>
        <w:t xml:space="preserve">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172" w:lineRule="exact"/>
        <w:rPr>
          <w:sz w:val="20"/>
          <w:szCs w:val="20"/>
          <w:color w:val="auto"/>
        </w:rPr>
      </w:pPr>
    </w:p>
    <w:p>
      <w:pPr>
        <w:jc w:val="both"/>
        <w:ind w:right="60" w:firstLine="417"/>
        <w:spacing w:after="0" w:line="267" w:lineRule="auto"/>
        <w:rPr>
          <w:sz w:val="20"/>
          <w:szCs w:val="20"/>
          <w:color w:val="auto"/>
        </w:rPr>
      </w:pPr>
      <w:r>
        <w:rPr>
          <w:rFonts w:ascii="Times New Roman" w:cs="Times New Roman" w:eastAsia="Times New Roman" w:hAnsi="Times New Roman"/>
          <w:sz w:val="17"/>
          <w:szCs w:val="17"/>
          <w:color w:val="auto"/>
        </w:rPr>
        <w:t xml:space="preserve">Any repeal or modification of the foregoing provisions of this </w:t>
      </w:r>
      <w:r>
        <w:rPr>
          <w:rFonts w:ascii="Times New Roman" w:cs="Times New Roman" w:eastAsia="Times New Roman" w:hAnsi="Times New Roman"/>
          <w:sz w:val="17"/>
          <w:szCs w:val="17"/>
          <w:u w:val="single" w:color="auto"/>
          <w:color w:val="auto"/>
        </w:rPr>
        <w:t>Article Ninth</w:t>
      </w:r>
      <w:r>
        <w:rPr>
          <w:rFonts w:ascii="Times New Roman" w:cs="Times New Roman" w:eastAsia="Times New Roman" w:hAnsi="Times New Roman"/>
          <w:sz w:val="17"/>
          <w:szCs w:val="17"/>
          <w:color w:val="auto"/>
        </w:rPr>
        <w:t xml:space="preserve">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61" w:lineRule="exact"/>
        <w:rPr>
          <w:sz w:val="20"/>
          <w:szCs w:val="20"/>
          <w:color w:val="auto"/>
        </w:rPr>
      </w:pPr>
    </w:p>
    <w:p>
      <w:pPr>
        <w:ind w:firstLine="938"/>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TENTH: </w:t>
      </w:r>
      <w:r>
        <w:rPr>
          <w:rFonts w:ascii="Times New Roman" w:cs="Times New Roman" w:eastAsia="Times New Roman" w:hAnsi="Times New Roman"/>
          <w:sz w:val="17"/>
          <w:szCs w:val="17"/>
          <w:color w:val="auto"/>
        </w:rPr>
        <w:t>To the fullest extent permitted by applicable law, the Corporation is authorized to provide indemnification of (and advancement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of 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w:t>
      </w:r>
      <w:r>
        <w:rPr>
          <w:rFonts w:ascii="Times New Roman" w:cs="Times New Roman" w:eastAsia="Times New Roman" w:hAnsi="Times New Roman"/>
          <w:sz w:val="17"/>
          <w:szCs w:val="17"/>
          <w:u w:val="single" w:color="auto"/>
          <w:color w:val="auto"/>
        </w:rPr>
        <w:t>Section 145</w:t>
      </w:r>
      <w:r>
        <w:rPr>
          <w:rFonts w:ascii="Times New Roman" w:cs="Times New Roman" w:eastAsia="Times New Roman" w:hAnsi="Times New Roman"/>
          <w:sz w:val="17"/>
          <w:szCs w:val="17"/>
          <w:color w:val="auto"/>
        </w:rPr>
        <w:t xml:space="preserve"> of the General Corporation Law.</w:t>
      </w:r>
    </w:p>
    <w:p>
      <w:pPr>
        <w:spacing w:after="0" w:line="169" w:lineRule="exact"/>
        <w:rPr>
          <w:sz w:val="20"/>
          <w:szCs w:val="20"/>
          <w:color w:val="auto"/>
        </w:rPr>
      </w:pPr>
    </w:p>
    <w:p>
      <w:pPr>
        <w:ind w:right="140" w:firstLine="938"/>
        <w:spacing w:after="0" w:line="261" w:lineRule="auto"/>
        <w:rPr>
          <w:sz w:val="20"/>
          <w:szCs w:val="20"/>
          <w:color w:val="auto"/>
        </w:rPr>
      </w:pPr>
      <w:r>
        <w:rPr>
          <w:rFonts w:ascii="Times New Roman" w:cs="Times New Roman" w:eastAsia="Times New Roman" w:hAnsi="Times New Roman"/>
          <w:sz w:val="17"/>
          <w:szCs w:val="17"/>
          <w:color w:val="auto"/>
        </w:rPr>
        <w:t>Any amendment, repeal or modification of the foregoing provisions of this Article Tenth shall not (a) adversely affect any right or protection of any director, officer or other agent of the Corporation existing at the time of such amendment, repeal or modification or (b) increase the liability of any director of the Corporation with respect to any acts or omissions of such director, officer or agent occurring prior to, such amendment, repeal or modification.</w:t>
      </w:r>
    </w:p>
    <w:p>
      <w:pPr>
        <w:spacing w:after="0" w:line="168" w:lineRule="exact"/>
        <w:rPr>
          <w:sz w:val="20"/>
          <w:szCs w:val="20"/>
          <w:color w:val="auto"/>
        </w:rPr>
      </w:pPr>
    </w:p>
    <w:p>
      <w:pPr>
        <w:ind w:right="160" w:firstLine="938"/>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ELEVENTH: </w:t>
      </w:r>
      <w:r>
        <w:rPr>
          <w:rFonts w:ascii="Times New Roman" w:cs="Times New Roman" w:eastAsia="Times New Roman" w:hAnsi="Times New Roman"/>
          <w:sz w:val="17"/>
          <w:szCs w:val="17"/>
          <w:color w:val="auto"/>
        </w:rPr>
        <w:t>The Corporation renounces, to the fullest extent permitted by law, any interest or expectancy of the Corporation in, or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being offered an opportunity to participate in, any Excluded Opportunity. An “</w:t>
      </w:r>
      <w:r>
        <w:rPr>
          <w:rFonts w:ascii="Times New Roman" w:cs="Times New Roman" w:eastAsia="Times New Roman" w:hAnsi="Times New Roman"/>
          <w:sz w:val="17"/>
          <w:szCs w:val="17"/>
          <w:b w:val="1"/>
          <w:bCs w:val="1"/>
          <w:color w:val="auto"/>
        </w:rPr>
        <w:t>Excluded Opportunity</w:t>
      </w:r>
      <w:r>
        <w:rPr>
          <w:rFonts w:ascii="Times New Roman" w:cs="Times New Roman" w:eastAsia="Times New Roman" w:hAnsi="Times New Roman"/>
          <w:sz w:val="17"/>
          <w:szCs w:val="17"/>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w:t>
      </w:r>
    </w:p>
    <w:p>
      <w:pPr>
        <w:spacing w:after="0" w:line="1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0320"/>
          </w:cols>
          <w:pgMar w:left="740" w:top="263" w:right="839" w:bottom="1440" w:gutter="0" w:footer="0" w:header="0"/>
        </w:sectPr>
      </w:pPr>
    </w:p>
    <w:bookmarkStart w:id="321" w:name="page322"/>
    <w:bookmarkEnd w:id="321"/>
    <w:p>
      <w:pPr>
        <w:ind w:left="9"/>
        <w:spacing w:after="0" w:line="25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stockholder, employee or agent of any such holder, other than someone who is an employee of the Corporation or any of its subsidiaries (collectively, “</w:t>
      </w:r>
      <w:r>
        <w:rPr>
          <w:rFonts w:ascii="Times New Roman" w:cs="Times New Roman" w:eastAsia="Times New Roman" w:hAnsi="Times New Roman"/>
          <w:sz w:val="17"/>
          <w:szCs w:val="17"/>
          <w:b w:val="1"/>
          <w:bCs w:val="1"/>
          <w:color w:val="auto"/>
        </w:rPr>
        <w:t>Covered Persons</w:t>
      </w:r>
      <w:r>
        <w:rPr>
          <w:rFonts w:ascii="Times New Roman" w:cs="Times New Roman" w:eastAsia="Times New Roman" w:hAnsi="Times New Roman"/>
          <w:sz w:val="17"/>
          <w:szCs w:val="17"/>
          <w:color w:val="auto"/>
        </w:rPr>
        <w:t>”), unless such matter, transaction or interest is presented to, or acquired, created or developed by, or otherwise comes into the possession of, a Covered Person expressly and solely in such Covered Person’s capacity as a director of the Corporation while such Covered Person is performing services in such capacity. Any repeal or modification of this Article Eleventh will only be prospective and will not affect the rights under this Article Eleventh in effect at the time of the occurrence of any actions or omissions to act giving rise to liability. Notwithstanding anything to the contrary contained elsewhere in this Certificate of Incorporation, the affirmative vote of the Requisite Holders will be required to amend or repeal, or to adopt any provisions inconsistent with this Article Eleventh.</w:t>
      </w:r>
    </w:p>
    <w:p>
      <w:pPr>
        <w:spacing w:after="0" w:line="172" w:lineRule="exact"/>
        <w:rPr>
          <w:sz w:val="20"/>
          <w:szCs w:val="20"/>
          <w:color w:val="auto"/>
        </w:rPr>
      </w:pPr>
    </w:p>
    <w:p>
      <w:pPr>
        <w:ind w:left="9" w:right="100" w:firstLine="938"/>
        <w:spacing w:after="0" w:line="256" w:lineRule="auto"/>
        <w:rPr>
          <w:sz w:val="20"/>
          <w:szCs w:val="20"/>
          <w:color w:val="auto"/>
        </w:rPr>
      </w:pPr>
      <w:r>
        <w:rPr>
          <w:rFonts w:ascii="Times New Roman" w:cs="Times New Roman" w:eastAsia="Times New Roman" w:hAnsi="Times New Roman"/>
          <w:sz w:val="17"/>
          <w:szCs w:val="17"/>
          <w:b w:val="1"/>
          <w:bCs w:val="1"/>
          <w:color w:val="auto"/>
        </w:rPr>
        <w:t xml:space="preserve">TWELFTH: </w:t>
      </w:r>
      <w:r>
        <w:rPr>
          <w:rFonts w:ascii="Times New Roman" w:cs="Times New Roman" w:eastAsia="Times New Roman" w:hAnsi="Times New Roman"/>
          <w:sz w:val="17"/>
          <w:szCs w:val="17"/>
          <w:color w:val="auto"/>
        </w:rPr>
        <w:t>Unless the Corporation consents in writing to the selection of an alternative forum, the Court of Chancery in the State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Delaware 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w:t>
      </w:r>
    </w:p>
    <w:p>
      <w:pPr>
        <w:spacing w:after="0" w:line="1" w:lineRule="exact"/>
        <w:rPr>
          <w:sz w:val="20"/>
          <w:szCs w:val="20"/>
          <w:color w:val="auto"/>
        </w:rPr>
      </w:pPr>
    </w:p>
    <w:p>
      <w:pPr>
        <w:ind w:left="9" w:right="60" w:hanging="9"/>
        <w:spacing w:after="0" w:line="252" w:lineRule="auto"/>
        <w:tabs>
          <w:tab w:leader="none" w:pos="298"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w:t>
      </w:r>
      <w:r>
        <w:rPr>
          <w:rFonts w:ascii="Times New Roman" w:cs="Times New Roman" w:eastAsia="Times New Roman" w:hAnsi="Times New Roman"/>
          <w:sz w:val="17"/>
          <w:szCs w:val="17"/>
          <w:u w:val="single" w:color="auto"/>
          <w:color w:val="auto"/>
        </w:rPr>
        <w:t>Article Twelfth</w:t>
      </w:r>
      <w:r>
        <w:rPr>
          <w:rFonts w:ascii="Times New Roman" w:cs="Times New Roman" w:eastAsia="Times New Roman" w:hAnsi="Times New Roman"/>
          <w:sz w:val="17"/>
          <w:szCs w:val="17"/>
          <w:color w:val="auto"/>
        </w:rPr>
        <w:t xml:space="preserve">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w:t>
      </w:r>
      <w:r>
        <w:rPr>
          <w:rFonts w:ascii="Times New Roman" w:cs="Times New Roman" w:eastAsia="Times New Roman" w:hAnsi="Times New Roman"/>
          <w:sz w:val="17"/>
          <w:szCs w:val="17"/>
          <w:u w:val="single" w:color="auto"/>
          <w:color w:val="auto"/>
        </w:rPr>
        <w:t>Article Twelfth</w:t>
      </w:r>
      <w:r>
        <w:rPr>
          <w:rFonts w:ascii="Times New Roman" w:cs="Times New Roman" w:eastAsia="Times New Roman" w:hAnsi="Times New Roman"/>
          <w:sz w:val="17"/>
          <w:szCs w:val="17"/>
          <w:color w:val="auto"/>
        </w:rPr>
        <w:t xml:space="preserve"> (including, without limitation, each portion of any sentence of this </w:t>
      </w:r>
      <w:r>
        <w:rPr>
          <w:rFonts w:ascii="Times New Roman" w:cs="Times New Roman" w:eastAsia="Times New Roman" w:hAnsi="Times New Roman"/>
          <w:sz w:val="17"/>
          <w:szCs w:val="17"/>
          <w:u w:val="single" w:color="auto"/>
          <w:color w:val="auto"/>
        </w:rPr>
        <w:t>Article Twelfth</w:t>
      </w:r>
      <w:r>
        <w:rPr>
          <w:rFonts w:ascii="Times New Roman" w:cs="Times New Roman" w:eastAsia="Times New Roman" w:hAnsi="Times New Roman"/>
          <w:sz w:val="17"/>
          <w:szCs w:val="17"/>
          <w:color w:val="auto"/>
        </w:rPr>
        <w:t xml:space="preserve">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75" w:lineRule="exact"/>
        <w:rPr>
          <w:sz w:val="20"/>
          <w:szCs w:val="20"/>
          <w:color w:val="auto"/>
        </w:rPr>
      </w:pPr>
    </w:p>
    <w:p>
      <w:pPr>
        <w:ind w:left="9" w:right="20" w:firstLine="938"/>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THIRTEENTH: </w:t>
      </w:r>
      <w:r>
        <w:rPr>
          <w:rFonts w:ascii="Times New Roman" w:cs="Times New Roman" w:eastAsia="Times New Roman" w:hAnsi="Times New Roman"/>
          <w:sz w:val="17"/>
          <w:szCs w:val="17"/>
          <w:color w:val="auto"/>
        </w:rPr>
        <w:t>Unless the Corporation consents in writing to the selection of an alternative forum, the federal district courts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United States of America shall be the exclusive forum for the resolution of any complaint asserting a cause or causes of action under the Securities Act of 1933, as amended, including all causes of action asserted against any defendant to such complaint. For the avoidance of doubt, this provision is intended to benefit and may be enforced by the Corporation,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 Any person or entity purchasing or otherwise acquiring any interest in any security of the Corporation shall be deemed to have notice of and consented to this </w:t>
      </w:r>
      <w:r>
        <w:rPr>
          <w:rFonts w:ascii="Times New Roman" w:cs="Times New Roman" w:eastAsia="Times New Roman" w:hAnsi="Times New Roman"/>
          <w:sz w:val="17"/>
          <w:szCs w:val="17"/>
          <w:u w:val="single" w:color="auto"/>
          <w:color w:val="auto"/>
        </w:rPr>
        <w:t>Article Thirteenth</w:t>
      </w:r>
      <w:r>
        <w:rPr>
          <w:rFonts w:ascii="Times New Roman" w:cs="Times New Roman" w:eastAsia="Times New Roman" w:hAnsi="Times New Roman"/>
          <w:sz w:val="17"/>
          <w:szCs w:val="17"/>
          <w:color w:val="auto"/>
        </w:rPr>
        <w:t>.</w:t>
      </w:r>
    </w:p>
    <w:p>
      <w:pPr>
        <w:spacing w:after="0" w:line="11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0429"/>
          </w:cols>
          <w:pgMar w:left="731" w:top="264" w:right="739" w:bottom="1440" w:gutter="0" w:footer="0" w:header="0"/>
        </w:sectPr>
      </w:pPr>
    </w:p>
    <w:bookmarkStart w:id="322" w:name="page323"/>
    <w:bookmarkEnd w:id="322"/>
    <w:p>
      <w:pPr>
        <w:ind w:firstLine="938"/>
        <w:spacing w:after="0" w:line="257"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FOURTEENTH: </w:t>
      </w:r>
      <w:r>
        <w:rPr>
          <w:rFonts w:ascii="Times New Roman" w:cs="Times New Roman" w:eastAsia="Times New Roman" w:hAnsi="Times New Roman"/>
          <w:sz w:val="17"/>
          <w:szCs w:val="17"/>
          <w:color w:val="auto"/>
        </w:rPr>
        <w:t>For purposes of Section 500 of the California Corporations Code (to the extent applicable), in connection with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repurchase of shares of Common Stock permitted under this Certificate of Incorporation from employees, officers, directors or consultants of the Corporation in connection with a termination of employment or services pursuant to agreements or arrangements approved by the Board of Directors (in addition to any other consent required under this Certificate of Incorporation), such repurchase may be made without regard to any “preferential dividends arrears amount” or “preferential rights amount” (as those terms are defined in Section 500 of the California Corporations Code). Accordingly, for purposes of making any calculation under California Corporations Code Section 500 in connection with such repurchase, the amount of any “preferential dividends arrears amount” or “preferential rights amount” (as those terms are defined therein) shall be deemed to be zero (0).</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 *</w:t>
      </w:r>
    </w:p>
    <w:p>
      <w:pPr>
        <w:spacing w:after="0" w:line="213" w:lineRule="exact"/>
        <w:rPr>
          <w:sz w:val="20"/>
          <w:szCs w:val="20"/>
          <w:color w:val="auto"/>
        </w:rPr>
      </w:pPr>
    </w:p>
    <w:p>
      <w:pPr>
        <w:ind w:right="320" w:firstLine="929"/>
        <w:spacing w:after="0" w:line="283" w:lineRule="auto"/>
        <w:tabs>
          <w:tab w:leader="none" w:pos="1109" w:val="left"/>
        </w:tabs>
        <w:numPr>
          <w:ilvl w:val="0"/>
          <w:numId w:val="2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That the foregoing amendment and restatement was approved by the holders of the requisite number of shares of this corporation in accordance with Section 228 of the General Corporation Law.</w:t>
      </w:r>
    </w:p>
    <w:p>
      <w:pPr>
        <w:spacing w:after="0" w:line="152" w:lineRule="exact"/>
        <w:rPr>
          <w:rFonts w:ascii="Times New Roman" w:cs="Times New Roman" w:eastAsia="Times New Roman" w:hAnsi="Times New Roman"/>
          <w:sz w:val="17"/>
          <w:szCs w:val="17"/>
          <w:b w:val="1"/>
          <w:bCs w:val="1"/>
          <w:color w:val="auto"/>
        </w:rPr>
      </w:pPr>
    </w:p>
    <w:p>
      <w:pPr>
        <w:ind w:right="260" w:firstLine="929"/>
        <w:spacing w:after="0" w:line="283" w:lineRule="auto"/>
        <w:tabs>
          <w:tab w:leader="none" w:pos="1109" w:val="left"/>
        </w:tabs>
        <w:numPr>
          <w:ilvl w:val="0"/>
          <w:numId w:val="2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That this Amended and Restated Certificate of Incorporation, which restates and integrates and further amends the provisions of this Corporation’s Certificate of Incorporation, has been duly adopted in accordance with Sections 242 and 245 of the General Corporation Law.</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follows</w:t>
      </w:r>
      <w:r>
        <w:rPr>
          <w:rFonts w:ascii="Times New Roman" w:cs="Times New Roman" w:eastAsia="Times New Roman" w:hAnsi="Times New Roman"/>
          <w:sz w:val="17"/>
          <w:szCs w:val="17"/>
          <w:color w:val="auto"/>
        </w:rPr>
        <w:t>)</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0380"/>
          </w:cols>
          <w:pgMar w:left="740" w:top="260" w:right="779" w:bottom="1440" w:gutter="0" w:footer="0" w:header="0"/>
        </w:sectPr>
      </w:pPr>
    </w:p>
    <w:bookmarkStart w:id="323" w:name="page324"/>
    <w:bookmarkEnd w:id="323"/>
    <w:p>
      <w:pPr>
        <w:ind w:firstLine="938"/>
        <w:spacing w:after="0" w:line="288"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this Amended and Restated Certificate of Incorporation has been executed by a duly authorized officer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corporation on April 5, 2023.</w:t>
      </w:r>
    </w:p>
    <w:p>
      <w:pPr>
        <w:spacing w:after="0" w:line="174"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7"/>
          <w:szCs w:val="17"/>
          <w:color w:val="auto"/>
        </w:rPr>
        <w:t>By: /s/ Zachary D. Hornby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4189095</wp:posOffset>
            </wp:positionH>
            <wp:positionV relativeFrom="paragraph">
              <wp:posOffset>15875</wp:posOffset>
            </wp:positionV>
            <wp:extent cx="242570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auto"/>
        </w:rPr>
        <w:t>Zachary D. Hornby</w:t>
      </w:r>
    </w:p>
    <w:p>
      <w:pPr>
        <w:spacing w:after="0" w:line="2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ectPr>
          <w:pgSz w:w="11900" w:h="16838" w:orient="portrait"/>
          <w:cols w:equalWidth="0" w:num="1">
            <w:col w:w="10140"/>
          </w:cols>
          <w:pgMar w:left="740" w:top="260" w:right="1019" w:bottom="1440" w:gutter="0" w:footer="0" w:header="0"/>
        </w:sectPr>
      </w:pPr>
    </w:p>
    <w:bookmarkStart w:id="324" w:name="page325"/>
    <w:bookmarkEnd w:id="324"/>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CERTIFICATE OF AMENDMENT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 CERTIFICATE OF INCORPORATION</w:t>
      </w:r>
    </w:p>
    <w:p>
      <w:pPr>
        <w:spacing w:after="0" w:line="192" w:lineRule="exact"/>
        <w:rPr>
          <w:sz w:val="20"/>
          <w:szCs w:val="20"/>
          <w:color w:val="auto"/>
        </w:rPr>
      </w:pPr>
    </w:p>
    <w:p>
      <w:pPr>
        <w:jc w:val="both"/>
        <w:ind w:right="520" w:firstLine="417"/>
        <w:spacing w:after="0" w:line="269" w:lineRule="auto"/>
        <w:rPr>
          <w:sz w:val="20"/>
          <w:szCs w:val="20"/>
          <w:color w:val="auto"/>
        </w:rPr>
      </w:pPr>
      <w:r>
        <w:rPr>
          <w:rFonts w:ascii="Times New Roman" w:cs="Times New Roman" w:eastAsia="Times New Roman" w:hAnsi="Times New Roman"/>
          <w:sz w:val="17"/>
          <w:szCs w:val="17"/>
          <w:color w:val="auto"/>
        </w:rPr>
        <w:t>Boundless Bio, Inc.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which originally filed its Certificate of Incorporation with the Secretary of State of Delaware on April 10, 2018 under the name Pretzel Therapeutics, Inc., and is a corporation organized and existing under and by virtue of the provisions of the General Corporation Law of the State of Delaware (the “</w:t>
      </w:r>
      <w:r>
        <w:rPr>
          <w:rFonts w:ascii="Times New Roman" w:cs="Times New Roman" w:eastAsia="Times New Roman" w:hAnsi="Times New Roman"/>
          <w:sz w:val="17"/>
          <w:szCs w:val="17"/>
          <w:b w:val="1"/>
          <w:bCs w:val="1"/>
          <w:color w:val="auto"/>
        </w:rPr>
        <w:t>General Corporation Law</w:t>
      </w:r>
      <w:r>
        <w:rPr>
          <w:rFonts w:ascii="Times New Roman" w:cs="Times New Roman" w:eastAsia="Times New Roman" w:hAnsi="Times New Roman"/>
          <w:sz w:val="17"/>
          <w:szCs w:val="17"/>
          <w:color w:val="auto"/>
        </w:rPr>
        <w:t>”), hereby certifies as follows:</w:t>
      </w:r>
    </w:p>
    <w:p>
      <w:pPr>
        <w:spacing w:after="0" w:line="164" w:lineRule="exact"/>
        <w:rPr>
          <w:sz w:val="20"/>
          <w:szCs w:val="20"/>
          <w:color w:val="auto"/>
        </w:rPr>
      </w:pPr>
    </w:p>
    <w:p>
      <w:pPr>
        <w:jc w:val="both"/>
        <w:ind w:right="140" w:firstLine="408"/>
        <w:spacing w:after="0" w:line="267" w:lineRule="auto"/>
        <w:tabs>
          <w:tab w:leader="none" w:pos="587"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Board of Directors of said Corporation duly adopted resolutions proposing and declaring advisable the following amendments of the Amended and Restated Certificate of Incorporation (the “</w:t>
      </w:r>
      <w:r>
        <w:rPr>
          <w:rFonts w:ascii="Times New Roman" w:cs="Times New Roman" w:eastAsia="Times New Roman" w:hAnsi="Times New Roman"/>
          <w:sz w:val="17"/>
          <w:szCs w:val="17"/>
          <w:b w:val="1"/>
          <w:bCs w:val="1"/>
          <w:color w:val="auto"/>
        </w:rPr>
        <w:t>Certificate</w:t>
      </w:r>
      <w:r>
        <w:rPr>
          <w:rFonts w:ascii="Times New Roman" w:cs="Times New Roman" w:eastAsia="Times New Roman" w:hAnsi="Times New Roman"/>
          <w:sz w:val="17"/>
          <w:szCs w:val="17"/>
          <w:color w:val="auto"/>
        </w:rPr>
        <w:t>”) of said Corporation. The resolutions setting forth the proposed amendments are as follows:</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RESOLVED</w:t>
      </w:r>
      <w:r>
        <w:rPr>
          <w:rFonts w:ascii="Times New Roman" w:cs="Times New Roman" w:eastAsia="Times New Roman" w:hAnsi="Times New Roman"/>
          <w:sz w:val="17"/>
          <w:szCs w:val="17"/>
          <w:color w:val="auto"/>
        </w:rPr>
        <w:t>, that the first two sentences of Article Fourth of the Certificate is hereby amended and restated in its entirety as follows:</w:t>
      </w:r>
    </w:p>
    <w:p>
      <w:pPr>
        <w:spacing w:after="0" w:line="115" w:lineRule="exact"/>
        <w:rPr>
          <w:sz w:val="20"/>
          <w:szCs w:val="20"/>
          <w:color w:val="auto"/>
        </w:rPr>
      </w:pPr>
    </w:p>
    <w:p>
      <w:pPr>
        <w:jc w:val="both"/>
        <w:ind w:left="400" w:right="100" w:firstLine="400"/>
        <w:spacing w:after="0" w:line="267" w:lineRule="auto"/>
        <w:rPr>
          <w:sz w:val="20"/>
          <w:szCs w:val="20"/>
          <w:color w:val="auto"/>
        </w:rPr>
      </w:pPr>
      <w:r>
        <w:rPr>
          <w:rFonts w:ascii="Times New Roman" w:cs="Times New Roman" w:eastAsia="Times New Roman" w:hAnsi="Times New Roman"/>
          <w:sz w:val="17"/>
          <w:szCs w:val="17"/>
          <w:color w:val="auto"/>
        </w:rPr>
        <w:t>“The total number of shares of all classes of stock which the Corporation shall have authority to issue is (i) 402,600,000 shares of Common Stock, $0.0001 par value per share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and (ii) 287,446,845 shares of Preferred Stock, $0.0001 par value per share (“</w:t>
      </w:r>
      <w:r>
        <w:rPr>
          <w:rFonts w:ascii="Times New Roman" w:cs="Times New Roman" w:eastAsia="Times New Roman" w:hAnsi="Times New Roman"/>
          <w:sz w:val="17"/>
          <w:szCs w:val="17"/>
          <w:b w:val="1"/>
          <w:bCs w:val="1"/>
          <w:color w:val="auto"/>
        </w:rPr>
        <w:t>Preferred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Stock</w:t>
      </w:r>
      <w:r>
        <w:rPr>
          <w:rFonts w:ascii="Times New Roman" w:cs="Times New Roman" w:eastAsia="Times New Roman" w:hAnsi="Times New Roman"/>
          <w:sz w:val="17"/>
          <w:szCs w:val="17"/>
          <w:color w:val="auto"/>
        </w:rPr>
        <w:t>”).</w:t>
      </w:r>
    </w:p>
    <w:p>
      <w:pPr>
        <w:spacing w:after="0" w:line="63" w:lineRule="exact"/>
        <w:rPr>
          <w:sz w:val="20"/>
          <w:szCs w:val="20"/>
          <w:color w:val="auto"/>
        </w:rPr>
      </w:pPr>
    </w:p>
    <w:p>
      <w:pPr>
        <w:ind w:left="400" w:firstLine="400"/>
        <w:spacing w:after="0" w:line="256" w:lineRule="auto"/>
        <w:rPr>
          <w:sz w:val="20"/>
          <w:szCs w:val="20"/>
          <w:color w:val="auto"/>
        </w:rPr>
      </w:pPr>
      <w:r>
        <w:rPr>
          <w:rFonts w:ascii="Times New Roman" w:cs="Times New Roman" w:eastAsia="Times New Roman" w:hAnsi="Times New Roman"/>
          <w:sz w:val="17"/>
          <w:szCs w:val="17"/>
          <w:color w:val="auto"/>
        </w:rPr>
        <w:t>Effective upon the filing of this Certificate of Amendment with the Secretary of State of the State of Delaware, a 1-for-19.5 reverse stock split for each share of Common Stock outstanding or held in treasury immediately prior to such time shall automatically and without any action on the part of the holders thereof occur (the “</w:t>
      </w:r>
      <w:r>
        <w:rPr>
          <w:rFonts w:ascii="Times New Roman" w:cs="Times New Roman" w:eastAsia="Times New Roman" w:hAnsi="Times New Roman"/>
          <w:sz w:val="17"/>
          <w:szCs w:val="17"/>
          <w:b w:val="1"/>
          <w:bCs w:val="1"/>
          <w:color w:val="auto"/>
        </w:rPr>
        <w:t>Reverse Stock Split</w:t>
      </w:r>
      <w:r>
        <w:rPr>
          <w:rFonts w:ascii="Times New Roman" w:cs="Times New Roman" w:eastAsia="Times New Roman" w:hAnsi="Times New Roman"/>
          <w:sz w:val="17"/>
          <w:szCs w:val="17"/>
          <w:color w:val="auto"/>
        </w:rPr>
        <w:t>”). The par value of the Common Stock shall remain $0.0001 per share. This conversion shall apply to all shares of Common Stock. No fractional shares of Common Stock shall be issued upon the Reverse Stock Split or otherwise. In lieu of any fractional shares of Common Stock to which the stockholder would otherwise be entitled upon the Reverse Stock Split, the Corporation shall pay cash equal to such fraction multiplied by the then fair market value of the Common Stock as determined by the Corporation’s Board of Directors.</w:t>
      </w:r>
    </w:p>
    <w:p>
      <w:pPr>
        <w:spacing w:after="0" w:line="74" w:lineRule="exact"/>
        <w:rPr>
          <w:sz w:val="20"/>
          <w:szCs w:val="20"/>
          <w:color w:val="auto"/>
        </w:rPr>
      </w:pPr>
    </w:p>
    <w:p>
      <w:pPr>
        <w:ind w:left="400" w:right="200" w:firstLine="400"/>
        <w:spacing w:after="0" w:line="256" w:lineRule="auto"/>
        <w:rPr>
          <w:sz w:val="20"/>
          <w:szCs w:val="20"/>
          <w:color w:val="auto"/>
        </w:rPr>
      </w:pPr>
      <w:r>
        <w:rPr>
          <w:rFonts w:ascii="Times New Roman" w:cs="Times New Roman" w:eastAsia="Times New Roman" w:hAnsi="Times New Roman"/>
          <w:sz w:val="17"/>
          <w:szCs w:val="17"/>
          <w:color w:val="auto"/>
        </w:rPr>
        <w:t>All certificates representing shares of Common Stock outstanding immediately prior to the filing of this Certificate of Amendment shall immediately after the filing of this Certificate of Amendment represent instead the number of shares of Common Stock as provided above. Notwithstanding the foregoing, any holder of Common Stock may (but shall not be required to) surrender his, her or its stock certificate or certificates to the Corporation, and upon such surrender the holder may request that the Corporation issue a certificate for the correct number of shares of Common Stock to which the holder is entitled under the provisions of this Certificate of Amendment. Shares of Common Stock that were outstanding prior to the filing of this Certificate of Amendment, and that are not outstanding after and as a result of the filing of this Certificate of Amendment, shall resume the status of authorized but unissued shares of Common Stock.</w:t>
      </w:r>
    </w:p>
    <w:p>
      <w:pPr>
        <w:sectPr>
          <w:pgSz w:w="11900" w:h="16838" w:orient="portrait"/>
          <w:cols w:equalWidth="0" w:num="1">
            <w:col w:w="10400"/>
          </w:cols>
          <w:pgMar w:left="740" w:top="259" w:right="759" w:bottom="1440" w:gutter="0" w:footer="0" w:header="0"/>
        </w:sectPr>
      </w:pPr>
    </w:p>
    <w:bookmarkStart w:id="325" w:name="page326"/>
    <w:bookmarkEnd w:id="325"/>
    <w:p>
      <w:pPr>
        <w:ind w:left="300" w:right="40"/>
        <w:spacing w:after="0" w:line="28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The following is a statement of the designations and the powers, privileges and rights, and the qualifications, limitations or restrictions thereof in respect of each class of capital stock of the Corporation.”</w:t>
      </w:r>
    </w:p>
    <w:p>
      <w:pPr>
        <w:spacing w:after="0" w:line="152" w:lineRule="exact"/>
        <w:rPr>
          <w:sz w:val="20"/>
          <w:szCs w:val="20"/>
          <w:color w:val="auto"/>
        </w:rPr>
      </w:pPr>
    </w:p>
    <w:p>
      <w:pPr>
        <w:ind w:left="-100" w:firstLine="408"/>
        <w:spacing w:after="0" w:line="283" w:lineRule="auto"/>
        <w:tabs>
          <w:tab w:leader="none" w:pos="487"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thereafter, pursuant to a resolution of the Board of Directors and in lieu of a meeting of stockholders, the stockholders gave their approval of said amendment by written consent in accordance with the provisions of Section 228 of the General Corporation Law.</w:t>
      </w:r>
    </w:p>
    <w:p>
      <w:pPr>
        <w:spacing w:after="0" w:line="152" w:lineRule="exact"/>
        <w:rPr>
          <w:rFonts w:ascii="Times New Roman" w:cs="Times New Roman" w:eastAsia="Times New Roman" w:hAnsi="Times New Roman"/>
          <w:sz w:val="17"/>
          <w:szCs w:val="17"/>
          <w:color w:val="auto"/>
        </w:rPr>
      </w:pPr>
    </w:p>
    <w:p>
      <w:pPr>
        <w:ind w:left="480" w:hanging="172"/>
        <w:spacing w:after="0"/>
        <w:tabs>
          <w:tab w:leader="none" w:pos="480"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said amendment was duly adopted in accordance with the provisions of Sections 242 and 228 of the General Corporation Law.</w:t>
      </w:r>
    </w:p>
    <w:p>
      <w:pPr>
        <w:spacing w:after="0" w:line="213" w:lineRule="exact"/>
        <w:rPr>
          <w:rFonts w:ascii="Times New Roman" w:cs="Times New Roman" w:eastAsia="Times New Roman" w:hAnsi="Times New Roman"/>
          <w:sz w:val="17"/>
          <w:szCs w:val="17"/>
          <w:color w:val="auto"/>
        </w:rPr>
      </w:pPr>
    </w:p>
    <w:p>
      <w:pPr>
        <w:ind w:left="480" w:hanging="172"/>
        <w:spacing w:after="0"/>
        <w:tabs>
          <w:tab w:leader="none" w:pos="480"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said amendment shall be executed, filed and recorded in accordance with Section 103 of the General Corporation Law.</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Remainder of Page Intentionally Left Blank</w:t>
      </w:r>
      <w:r>
        <w:rPr>
          <w:rFonts w:ascii="Times New Roman" w:cs="Times New Roman" w:eastAsia="Times New Roman" w:hAnsi="Times New Roman"/>
          <w:sz w:val="17"/>
          <w:szCs w:val="17"/>
          <w:color w:val="auto"/>
        </w:rPr>
        <w:t>]</w:t>
      </w:r>
    </w:p>
    <w:p>
      <w:pPr>
        <w:sectPr>
          <w:pgSz w:w="11900" w:h="16838" w:orient="portrait"/>
          <w:cols w:equalWidth="0" w:num="1">
            <w:col w:w="10220"/>
          </w:cols>
          <w:pgMar w:left="840" w:top="264" w:right="83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this Certificate of Amendment has been executed by a duly authorized officer of the Corporation on March 19, 2024.</w:t>
      </w:r>
    </w:p>
    <w:p>
      <w:pPr>
        <w:spacing w:after="0" w:line="2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By: /s/ Zachary Hornby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15875</wp:posOffset>
            </wp:positionV>
            <wp:extent cx="242570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Name: Zachary Hornby</w:t>
      </w:r>
    </w:p>
    <w:p>
      <w:pPr>
        <w:spacing w:after="0" w:line="2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Title: President and Chief Executive Officer</w:t>
      </w:r>
    </w:p>
    <w:p>
      <w:pPr>
        <w:sectPr>
          <w:pgSz w:w="11900" w:h="16838" w:orient="portrait"/>
          <w:cols w:equalWidth="0" w:num="1">
            <w:col w:w="10000"/>
          </w:cols>
          <w:pgMar w:left="1140" w:top="260" w:right="759" w:bottom="1440" w:gutter="0" w:footer="0" w:header="0"/>
        </w:sectPr>
      </w:pPr>
    </w:p>
    <w:bookmarkStart w:id="327" w:name="page328"/>
    <w:bookmarkEnd w:id="327"/>
    <w:p>
      <w:pPr>
        <w:jc w:val="right"/>
        <w:spacing w:after="0"/>
        <w:rPr>
          <w:sz w:val="20"/>
          <w:szCs w:val="20"/>
          <w:color w:val="auto"/>
        </w:rPr>
      </w:pPr>
      <w:r>
        <w:rPr>
          <w:rFonts w:ascii="Times New Roman" w:cs="Times New Roman" w:eastAsia="Times New Roman" w:hAnsi="Times New Roman"/>
          <w:sz w:val="17"/>
          <w:szCs w:val="17"/>
          <w:b w:val="1"/>
          <w:bCs w:val="1"/>
          <w:color w:val="auto"/>
        </w:rPr>
        <w:t>Exhibit 3.3</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 CERTIFICATE OF INCORPORATION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BOUNDLESS BIO, INC.</w:t>
      </w:r>
    </w:p>
    <w:p>
      <w:pPr>
        <w:spacing w:after="0" w:line="196" w:lineRule="exact"/>
        <w:rPr>
          <w:sz w:val="20"/>
          <w:szCs w:val="20"/>
          <w:color w:val="auto"/>
        </w:rPr>
      </w:pPr>
    </w:p>
    <w:p>
      <w:pPr>
        <w:ind w:right="240" w:firstLine="417"/>
        <w:spacing w:after="0" w:line="283" w:lineRule="auto"/>
        <w:rPr>
          <w:sz w:val="20"/>
          <w:szCs w:val="20"/>
          <w:color w:val="auto"/>
        </w:rPr>
      </w:pPr>
      <w:r>
        <w:rPr>
          <w:rFonts w:ascii="Times New Roman" w:cs="Times New Roman" w:eastAsia="Times New Roman" w:hAnsi="Times New Roman"/>
          <w:sz w:val="17"/>
          <w:szCs w:val="17"/>
          <w:color w:val="auto"/>
        </w:rPr>
        <w:t>Boundless Bio, Inc. (the “</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rPr>
        <w:t>”), a corporation organized and existing under the General Corporation Law of the State of Delaware (the “</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 does hereby certify as follows:</w:t>
      </w:r>
    </w:p>
    <w:p>
      <w:pPr>
        <w:spacing w:after="0" w:line="50" w:lineRule="exact"/>
        <w:rPr>
          <w:sz w:val="20"/>
          <w:szCs w:val="20"/>
          <w:color w:val="auto"/>
        </w:rPr>
      </w:pPr>
    </w:p>
    <w:p>
      <w:pPr>
        <w:ind w:firstLine="408"/>
        <w:spacing w:after="0" w:line="267" w:lineRule="auto"/>
        <w:tabs>
          <w:tab w:leader="none" w:pos="587"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of the Corporation is Boundless Bio, Inc. The Corporation was incorporated under the name Pretzel Therapeutics, Inc. by the filing of its original Certificate of Incorporation with the Secretary of State of the State of Delaware on April 10, 2018 (as amended from time to time, the “</w:t>
      </w:r>
      <w:r>
        <w:rPr>
          <w:rFonts w:ascii="Times New Roman" w:cs="Times New Roman" w:eastAsia="Times New Roman" w:hAnsi="Times New Roman"/>
          <w:sz w:val="17"/>
          <w:szCs w:val="17"/>
          <w:u w:val="single" w:color="auto"/>
          <w:color w:val="auto"/>
        </w:rPr>
        <w:t>Existing Certificate</w:t>
      </w:r>
      <w:r>
        <w:rPr>
          <w:rFonts w:ascii="Times New Roman" w:cs="Times New Roman" w:eastAsia="Times New Roman" w:hAnsi="Times New Roman"/>
          <w:sz w:val="17"/>
          <w:szCs w:val="17"/>
          <w:color w:val="auto"/>
        </w:rPr>
        <w:t>”).</w:t>
      </w:r>
    </w:p>
    <w:p>
      <w:pPr>
        <w:spacing w:after="0" w:line="63" w:lineRule="exact"/>
        <w:rPr>
          <w:rFonts w:ascii="Times New Roman" w:cs="Times New Roman" w:eastAsia="Times New Roman" w:hAnsi="Times New Roman"/>
          <w:sz w:val="17"/>
          <w:szCs w:val="17"/>
          <w:color w:val="auto"/>
        </w:rPr>
      </w:pPr>
    </w:p>
    <w:p>
      <w:pPr>
        <w:ind w:right="80" w:firstLine="408"/>
        <w:spacing w:after="0" w:line="267" w:lineRule="auto"/>
        <w:tabs>
          <w:tab w:leader="none" w:pos="587"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Amended and Restated Certificate of Incorporation (the “</w:t>
      </w:r>
      <w:r>
        <w:rPr>
          <w:rFonts w:ascii="Times New Roman" w:cs="Times New Roman" w:eastAsia="Times New Roman" w:hAnsi="Times New Roman"/>
          <w:sz w:val="17"/>
          <w:szCs w:val="17"/>
          <w:u w:val="single" w:color="auto"/>
          <w:color w:val="auto"/>
        </w:rPr>
        <w:t>Amended and Restated Certificate</w:t>
      </w:r>
      <w:r>
        <w:rPr>
          <w:rFonts w:ascii="Times New Roman" w:cs="Times New Roman" w:eastAsia="Times New Roman" w:hAnsi="Times New Roman"/>
          <w:sz w:val="17"/>
          <w:szCs w:val="17"/>
          <w:color w:val="auto"/>
        </w:rPr>
        <w:t>”), which amends and restates the Existing Certificate in its entirety, has been approved by the Board of Directors of the Corporation (the “</w:t>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 in accordance with Sections 242 and 245 of the DGCL and has been adopted by the written consent of the stockholders of the Corporation in accordance with Section 228 of the DGCL.</w:t>
      </w:r>
    </w:p>
    <w:p>
      <w:pPr>
        <w:spacing w:after="0" w:line="63" w:lineRule="exact"/>
        <w:rPr>
          <w:rFonts w:ascii="Times New Roman" w:cs="Times New Roman" w:eastAsia="Times New Roman" w:hAnsi="Times New Roman"/>
          <w:sz w:val="17"/>
          <w:szCs w:val="17"/>
          <w:color w:val="auto"/>
        </w:rPr>
      </w:pPr>
    </w:p>
    <w:p>
      <w:pPr>
        <w:ind w:right="160" w:firstLine="408"/>
        <w:spacing w:after="0" w:line="283" w:lineRule="auto"/>
        <w:tabs>
          <w:tab w:leader="none" w:pos="587"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text of the Existing Certificate is hereby amended and restated by this Amended and Restated Certificate to read in its entirety as set forth in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attached hereto.</w:t>
      </w:r>
    </w:p>
    <w:p>
      <w:pPr>
        <w:spacing w:after="0" w:line="50" w:lineRule="exact"/>
        <w:rPr>
          <w:rFonts w:ascii="Times New Roman" w:cs="Times New Roman" w:eastAsia="Times New Roman" w:hAnsi="Times New Roman"/>
          <w:sz w:val="17"/>
          <w:szCs w:val="17"/>
          <w:color w:val="auto"/>
        </w:rPr>
      </w:pPr>
    </w:p>
    <w:p>
      <w:pPr>
        <w:ind w:left="580" w:hanging="172"/>
        <w:spacing w:after="0"/>
        <w:tabs>
          <w:tab w:leader="none" w:pos="580"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Amended and Restated Certificate shall become effective on the date of filing with the Secretary of State of the State of Delaware.</w:t>
      </w:r>
    </w:p>
    <w:p>
      <w:pPr>
        <w:spacing w:after="0" w:line="213" w:lineRule="exact"/>
        <w:rPr>
          <w:sz w:val="20"/>
          <w:szCs w:val="20"/>
          <w:color w:val="auto"/>
        </w:rPr>
      </w:pPr>
    </w:p>
    <w:p>
      <w:pPr>
        <w:ind w:right="100" w:firstLine="417"/>
        <w:spacing w:after="0" w:line="283" w:lineRule="auto"/>
        <w:rPr>
          <w:sz w:val="20"/>
          <w:szCs w:val="20"/>
          <w:color w:val="auto"/>
        </w:rPr>
      </w:pPr>
      <w:r>
        <w:rPr>
          <w:rFonts w:ascii="Times New Roman" w:cs="Times New Roman" w:eastAsia="Times New Roman" w:hAnsi="Times New Roman"/>
          <w:sz w:val="17"/>
          <w:szCs w:val="17"/>
          <w:color w:val="auto"/>
        </w:rPr>
        <w:t>IN WITNESS WHEREOF, Boundless Bio, Inc. has caused this Amended and Restated Certificate to be signed by a duly authorized officer of the Corporation, on _____, 2024.</w:t>
      </w:r>
    </w:p>
    <w:p>
      <w:pPr>
        <w:spacing w:after="0" w:line="174"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7"/>
          <w:szCs w:val="17"/>
          <w:b w:val="1"/>
          <w:bCs w:val="1"/>
          <w:color w:val="auto"/>
        </w:rPr>
        <w:t>BOUNDLESS BIO, INC.</w:t>
      </w:r>
    </w:p>
    <w:p>
      <w:pPr>
        <w:spacing w:after="0" w:line="21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4189095</wp:posOffset>
            </wp:positionH>
            <wp:positionV relativeFrom="paragraph">
              <wp:posOffset>15875</wp:posOffset>
            </wp:positionV>
            <wp:extent cx="242570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4"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7"/>
          <w:szCs w:val="17"/>
          <w:color w:val="auto"/>
        </w:rPr>
        <w:t>Name: Zachary D. Hornby</w:t>
      </w:r>
    </w:p>
    <w:p>
      <w:pPr>
        <w:spacing w:after="0" w:line="26"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7"/>
          <w:szCs w:val="17"/>
          <w:color w:val="auto"/>
        </w:rPr>
        <w:t>Title: President and Chief Executive Officer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Amended and Restated Certificate of Incorporation]</w:t>
      </w:r>
    </w:p>
    <w:p>
      <w:pPr>
        <w:sectPr>
          <w:pgSz w:w="11900" w:h="16838" w:orient="portrait"/>
          <w:cols w:equalWidth="0" w:num="1">
            <w:col w:w="10420"/>
          </w:cols>
          <w:pgMar w:left="740" w:top="119" w:right="739" w:bottom="1440" w:gutter="0" w:footer="0" w:header="0"/>
        </w:sectPr>
      </w:pPr>
    </w:p>
    <w:bookmarkStart w:id="328" w:name="page329"/>
    <w:bookmarkEnd w:id="328"/>
    <w:p>
      <w:pPr>
        <w:jc w:val="center"/>
        <w:ind w:right="-59"/>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EXHIBIT A</w:t>
      </w: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u w:val="single" w:color="auto"/>
          <w:color w:val="auto"/>
        </w:rPr>
        <w:t>ARTICLE I</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NAME</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name of the corporation is Boundless Bio, Inc. (the “</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u w:val="single" w:color="auto"/>
          <w:color w:val="auto"/>
        </w:rPr>
        <w:t>ARTICLE II</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REGISTERED OFFICE AND AGENT</w:t>
      </w:r>
    </w:p>
    <w:p>
      <w:pPr>
        <w:spacing w:after="0" w:line="196" w:lineRule="exact"/>
        <w:rPr>
          <w:sz w:val="20"/>
          <w:szCs w:val="20"/>
          <w:color w:val="auto"/>
        </w:rPr>
      </w:pPr>
    </w:p>
    <w:p>
      <w:pPr>
        <w:ind w:right="380" w:firstLine="417"/>
        <w:spacing w:after="0" w:line="283" w:lineRule="auto"/>
        <w:rPr>
          <w:sz w:val="20"/>
          <w:szCs w:val="20"/>
          <w:color w:val="auto"/>
        </w:rPr>
      </w:pPr>
      <w:r>
        <w:rPr>
          <w:rFonts w:ascii="Times New Roman" w:cs="Times New Roman" w:eastAsia="Times New Roman" w:hAnsi="Times New Roman"/>
          <w:sz w:val="17"/>
          <w:szCs w:val="17"/>
          <w:color w:val="auto"/>
        </w:rPr>
        <w:t>The address of the Corporation’s registered office in the State of Delaware is 1209 Orange Street, in the City of Wilmington, County of New Castle, 19801, and the name of its registered agent at such address is The Corporation Trust Company.</w:t>
      </w: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u w:val="single" w:color="auto"/>
          <w:color w:val="auto"/>
        </w:rPr>
        <w:t>ARTICLE III</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PURPOSE</w:t>
      </w:r>
    </w:p>
    <w:p>
      <w:pPr>
        <w:spacing w:after="0" w:line="196" w:lineRule="exact"/>
        <w:rPr>
          <w:sz w:val="20"/>
          <w:szCs w:val="20"/>
          <w:color w:val="auto"/>
        </w:rPr>
      </w:pPr>
    </w:p>
    <w:p>
      <w:pPr>
        <w:ind w:right="60" w:firstLine="417"/>
        <w:spacing w:after="0" w:line="283" w:lineRule="auto"/>
        <w:rPr>
          <w:sz w:val="20"/>
          <w:szCs w:val="20"/>
          <w:color w:val="auto"/>
        </w:rPr>
      </w:pPr>
      <w:r>
        <w:rPr>
          <w:rFonts w:ascii="Times New Roman" w:cs="Times New Roman" w:eastAsia="Times New Roman" w:hAnsi="Times New Roman"/>
          <w:sz w:val="17"/>
          <w:szCs w:val="17"/>
          <w:color w:val="auto"/>
        </w:rPr>
        <w:t>The purpose of the Corporation is to engage in any lawful act or activity for which corporations may be organized under the General Corporation Law of the State of Delaware (the “</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 as it now exists or may hereafter be amended and supplemented.</w:t>
      </w: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u w:val="single" w:color="auto"/>
          <w:color w:val="auto"/>
        </w:rPr>
        <w:t>ARTICLE IV</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CAPITAL STOCK</w:t>
      </w:r>
    </w:p>
    <w:p>
      <w:pPr>
        <w:spacing w:after="0" w:line="196" w:lineRule="exact"/>
        <w:rPr>
          <w:sz w:val="20"/>
          <w:szCs w:val="20"/>
          <w:color w:val="auto"/>
        </w:rPr>
      </w:pPr>
    </w:p>
    <w:p>
      <w:pPr>
        <w:ind w:firstLine="417"/>
        <w:spacing w:after="0" w:line="261" w:lineRule="auto"/>
        <w:rPr>
          <w:sz w:val="20"/>
          <w:szCs w:val="20"/>
          <w:color w:val="auto"/>
        </w:rPr>
      </w:pPr>
      <w:r>
        <w:rPr>
          <w:rFonts w:ascii="Times New Roman" w:cs="Times New Roman" w:eastAsia="Times New Roman" w:hAnsi="Times New Roman"/>
          <w:sz w:val="17"/>
          <w:szCs w:val="17"/>
          <w:color w:val="auto"/>
        </w:rPr>
        <w:t>The Corporation is authorized to issue two classes of stock to be designated, respectively,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Preferred Stock</w:t>
      </w:r>
      <w:r>
        <w:rPr>
          <w:rFonts w:ascii="Times New Roman" w:cs="Times New Roman" w:eastAsia="Times New Roman" w:hAnsi="Times New Roman"/>
          <w:sz w:val="17"/>
          <w:szCs w:val="17"/>
          <w:color w:val="auto"/>
        </w:rPr>
        <w:t>.” The total number of shares of capital stock which the Corporation shall have authority to issue is 770,000,000. The total number of shares of Common Stock that the Corporation is authorized to issue is 700,000,000, having a par value of $0.0001 per share, and the total number of shares of Preferred Stock that the Corporation is authorized to issue is 70,000,000, having a par value of $0.0001 per share.</w:t>
      </w:r>
    </w:p>
    <w:p>
      <w:pPr>
        <w:spacing w:after="0" w:line="172" w:lineRule="exact"/>
        <w:rPr>
          <w:sz w:val="20"/>
          <w:szCs w:val="20"/>
          <w:color w:val="auto"/>
        </w:rPr>
      </w:pPr>
    </w:p>
    <w:p>
      <w:pPr>
        <w:ind w:right="80" w:firstLine="417"/>
        <w:spacing w:after="0" w:line="283" w:lineRule="auto"/>
        <w:rPr>
          <w:sz w:val="20"/>
          <w:szCs w:val="20"/>
          <w:color w:val="auto"/>
        </w:rPr>
      </w:pPr>
      <w:r>
        <w:rPr>
          <w:rFonts w:ascii="Times New Roman" w:cs="Times New Roman" w:eastAsia="Times New Roman" w:hAnsi="Times New Roman"/>
          <w:sz w:val="17"/>
          <w:szCs w:val="17"/>
          <w:color w:val="auto"/>
        </w:rPr>
        <w:t>The designations and the powers, privileges and rights, and the qualifications, limitations or restrictions thereof in respect of each class of capital stock of the Corporation are as follows:</w:t>
      </w:r>
    </w:p>
    <w:p>
      <w:pPr>
        <w:spacing w:after="0" w:line="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right="40" w:firstLine="929"/>
        <w:spacing w:after="0" w:line="267" w:lineRule="auto"/>
        <w:tabs>
          <w:tab w:leader="none" w:pos="1109"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The voting, dividend, liquidation, and other rights and powers of the Common Stock are subject to and qualified by the rights, powers and preferences of any series of Preferred Stock as may be designated by the Board of Directors of the Corporation (the “</w:t>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 and outstanding from time to time.</w:t>
      </w:r>
    </w:p>
    <w:p>
      <w:pPr>
        <w:sectPr>
          <w:pgSz w:w="11900" w:h="16838" w:orient="portrait"/>
          <w:cols w:equalWidth="0" w:num="1">
            <w:col w:w="10360"/>
          </w:cols>
          <w:pgMar w:left="740" w:top="260" w:right="799" w:bottom="1440" w:gutter="0" w:footer="0" w:header="0"/>
        </w:sectPr>
      </w:pPr>
    </w:p>
    <w:bookmarkStart w:id="329" w:name="page330"/>
    <w:bookmarkEnd w:id="329"/>
    <w:p>
      <w:pPr>
        <w:ind w:firstLine="929"/>
        <w:spacing w:after="0" w:line="256" w:lineRule="auto"/>
        <w:tabs>
          <w:tab w:leader="none" w:pos="1109"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Voting</w:t>
      </w:r>
      <w:r>
        <w:rPr>
          <w:rFonts w:ascii="Times New Roman" w:cs="Times New Roman" w:eastAsia="Times New Roman" w:hAnsi="Times New Roman"/>
          <w:sz w:val="17"/>
          <w:szCs w:val="17"/>
          <w:color w:val="auto"/>
        </w:rPr>
        <w:t>. Except as otherwise provided herein or expressly required by law, each holder of Common Stock, as such, shall be entitled to vote on each matter submitted to a vote of stockholders and shall be entitled to one (1) vote for each share of Common Stock held of record by such holder as of the record date for determining stockholders entitled to vote on such matter. Except as otherwise required by law, holders of Common Stock, as such, shall not be entitled to vote on any amendment to this Amended and Restated Certificate (including any Certificate of Designation (as defined below))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to this Amended and Restated Certificate (including any Certificate of Designation) or pursuant to the DGCL.</w:t>
      </w:r>
    </w:p>
    <w:p>
      <w:pPr>
        <w:spacing w:after="0" w:line="176" w:lineRule="exact"/>
        <w:rPr>
          <w:sz w:val="20"/>
          <w:szCs w:val="20"/>
          <w:color w:val="auto"/>
        </w:rPr>
      </w:pPr>
    </w:p>
    <w:p>
      <w:pPr>
        <w:jc w:val="both"/>
        <w:ind w:right="80" w:firstLine="938"/>
        <w:spacing w:after="0" w:line="267" w:lineRule="auto"/>
        <w:rPr>
          <w:sz w:val="20"/>
          <w:szCs w:val="20"/>
          <w:color w:val="auto"/>
        </w:rPr>
      </w:pPr>
      <w:r>
        <w:rPr>
          <w:rFonts w:ascii="Times New Roman" w:cs="Times New Roman" w:eastAsia="Times New Roman" w:hAnsi="Times New Roman"/>
          <w:sz w:val="17"/>
          <w:szCs w:val="17"/>
          <w:color w:val="auto"/>
        </w:rPr>
        <w:t>Subject to the rights of any holders of any outstanding series of Preferred Stock, the number of authorized shares of Common Stock may be increased or decreased (but not below the number of shares thereof then outstanding) by the affirmative vote of the holders of a majority of the stock of the Corporation entitled to vote, irrespective of the provisions of Section 242(b)(2) of the DGCL.</w:t>
      </w:r>
    </w:p>
    <w:p>
      <w:pPr>
        <w:spacing w:after="0" w:line="63" w:lineRule="exact"/>
        <w:rPr>
          <w:sz w:val="20"/>
          <w:szCs w:val="20"/>
          <w:color w:val="auto"/>
        </w:rPr>
      </w:pPr>
    </w:p>
    <w:p>
      <w:pPr>
        <w:ind w:right="380" w:firstLine="929"/>
        <w:spacing w:after="0" w:line="267" w:lineRule="auto"/>
        <w:tabs>
          <w:tab w:leader="none" w:pos="1109" w:val="left"/>
        </w:tabs>
        <w:numPr>
          <w:ilvl w:val="1"/>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 Subject to applicable law and the rights and preferences of any holders of any outstanding series of Preferred Stock, the holders of Common Stock, as such, shall be entitled to the payment of dividends on the Common Stock when, as and if declared by the Board of Directors in accordance with applicable law.</w:t>
      </w:r>
    </w:p>
    <w:p>
      <w:pPr>
        <w:spacing w:after="0" w:line="63" w:lineRule="exact"/>
        <w:rPr>
          <w:rFonts w:ascii="Times New Roman" w:cs="Times New Roman" w:eastAsia="Times New Roman" w:hAnsi="Times New Roman"/>
          <w:sz w:val="17"/>
          <w:szCs w:val="17"/>
          <w:color w:val="auto"/>
        </w:rPr>
      </w:pPr>
    </w:p>
    <w:p>
      <w:pPr>
        <w:ind w:right="60" w:firstLine="929"/>
        <w:spacing w:after="0" w:line="261" w:lineRule="auto"/>
        <w:tabs>
          <w:tab w:leader="none" w:pos="1109" w:val="left"/>
        </w:tabs>
        <w:numPr>
          <w:ilvl w:val="1"/>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Liquidation</w:t>
      </w:r>
      <w:r>
        <w:rPr>
          <w:rFonts w:ascii="Times New Roman" w:cs="Times New Roman" w:eastAsia="Times New Roman" w:hAnsi="Times New Roman"/>
          <w:sz w:val="17"/>
          <w:szCs w:val="17"/>
          <w:color w:val="auto"/>
        </w:rPr>
        <w:t xml:space="preserve">. Subject to the rights and preferences of any holders of any shares of any outstanding series of Preferred Stock, in the event of any liquidation, dissolution or winding up of the Corporation, whether voluntary or involuntary, the funds and assets of the Corporation that may be legally distributed to the Corporation’s stockholders shall be distributed among the holders of the then outstanding Common Stock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in accordance with the number of shares of Common Stock held by each such holder.</w:t>
      </w:r>
    </w:p>
    <w:p>
      <w:pPr>
        <w:spacing w:after="0" w:line="69" w:lineRule="exact"/>
        <w:rPr>
          <w:rFonts w:ascii="Times New Roman" w:cs="Times New Roman" w:eastAsia="Times New Roman" w:hAnsi="Times New Roman"/>
          <w:sz w:val="17"/>
          <w:szCs w:val="17"/>
          <w:color w:val="auto"/>
        </w:rPr>
      </w:pPr>
    </w:p>
    <w:p>
      <w:pPr>
        <w:ind w:left="600" w:hanging="192"/>
        <w:spacing w:after="0"/>
        <w:tabs>
          <w:tab w:leader="none" w:pos="600" w:val="left"/>
        </w:tabs>
        <w:numPr>
          <w:ilvl w:val="0"/>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PREFERRED STOCK</w:t>
      </w:r>
    </w:p>
    <w:p>
      <w:pPr>
        <w:spacing w:after="0" w:line="213" w:lineRule="exact"/>
        <w:rPr>
          <w:sz w:val="20"/>
          <w:szCs w:val="20"/>
          <w:color w:val="auto"/>
        </w:rPr>
      </w:pPr>
    </w:p>
    <w:p>
      <w:pPr>
        <w:ind w:right="320" w:firstLine="417"/>
        <w:spacing w:after="0" w:line="267" w:lineRule="auto"/>
        <w:rPr>
          <w:sz w:val="20"/>
          <w:szCs w:val="20"/>
          <w:color w:val="auto"/>
        </w:rPr>
      </w:pPr>
      <w:r>
        <w:rPr>
          <w:rFonts w:ascii="Times New Roman" w:cs="Times New Roman" w:eastAsia="Times New Roman" w:hAnsi="Times New Roman"/>
          <w:sz w:val="17"/>
          <w:szCs w:val="17"/>
          <w:color w:val="auto"/>
        </w:rPr>
        <w:t>Shares of Preferred Stock may be issued from time to time in one or more series, each of such series to have such terms as stated or expressed herein and in the resolution or resolutions providing for the creation and issuance of such series adopted by the Board of Directors as hereinafter provided.</w:t>
      </w:r>
    </w:p>
    <w:p>
      <w:pPr>
        <w:spacing w:after="0" w:line="165" w:lineRule="exact"/>
        <w:rPr>
          <w:sz w:val="20"/>
          <w:szCs w:val="20"/>
          <w:color w:val="auto"/>
        </w:rPr>
      </w:pPr>
    </w:p>
    <w:p>
      <w:pPr>
        <w:ind w:right="120" w:firstLine="417"/>
        <w:spacing w:after="0" w:line="257" w:lineRule="auto"/>
        <w:rPr>
          <w:sz w:val="20"/>
          <w:szCs w:val="20"/>
          <w:color w:val="auto"/>
        </w:rPr>
      </w:pPr>
      <w:r>
        <w:rPr>
          <w:rFonts w:ascii="Times New Roman" w:cs="Times New Roman" w:eastAsia="Times New Roman" w:hAnsi="Times New Roman"/>
          <w:sz w:val="17"/>
          <w:szCs w:val="17"/>
          <w:color w:val="auto"/>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 relating thereto in accordance with the DGCL (a “</w:t>
      </w:r>
      <w:r>
        <w:rPr>
          <w:rFonts w:ascii="Times New Roman" w:cs="Times New Roman" w:eastAsia="Times New Roman" w:hAnsi="Times New Roman"/>
          <w:sz w:val="17"/>
          <w:szCs w:val="17"/>
          <w:u w:val="single" w:color="auto"/>
          <w:color w:val="auto"/>
        </w:rPr>
        <w:t>Certificate of Designation</w:t>
      </w:r>
      <w:r>
        <w:rPr>
          <w:rFonts w:ascii="Times New Roman" w:cs="Times New Roman" w:eastAsia="Times New Roman" w:hAnsi="Times New Roman"/>
          <w:sz w:val="17"/>
          <w:szCs w:val="17"/>
          <w:color w:val="auto"/>
        </w:rPr>
        <w:t>”),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400"/>
          </w:cols>
          <w:pgMar w:left="740" w:top="264" w:right="759" w:bottom="1440" w:gutter="0" w:footer="0" w:header="0"/>
        </w:sectPr>
      </w:pPr>
    </w:p>
    <w:bookmarkStart w:id="330" w:name="page331"/>
    <w:bookmarkEnd w:id="330"/>
    <w:p>
      <w:pPr>
        <w:ind w:right="20"/>
        <w:spacing w:after="0" w:line="27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liquidation preferences, and to increase or decrease (but not below the number of shares of such series then outstanding) the number of shares of any series as shall be stated and expressed in such resolutions, all to the fullest extent now or hereafter permitted by the DGCL. Without limiting the generality of the foregoing, the resolution or resolutions providing for the creation and issuance of any series of Preferred Stock may provide that such series shall be superior or rank equally or be junior to any other series of Preferred Stock to the extent permitted by law and this Amended and Restated Certificate (including any Certificate of Designation). Except as otherwise required by law, holders of any series of Preferred Stock shall be entitled only to such voting rights, if any, as shall expressly be granted thereto by this Amended and Restated Certificate (including any Certificate of Designation).</w:t>
      </w:r>
    </w:p>
    <w:p>
      <w:pPr>
        <w:spacing w:after="0" w:line="162" w:lineRule="exact"/>
        <w:rPr>
          <w:sz w:val="20"/>
          <w:szCs w:val="20"/>
          <w:color w:val="auto"/>
        </w:rPr>
      </w:pPr>
    </w:p>
    <w:p>
      <w:pPr>
        <w:jc w:val="both"/>
        <w:ind w:right="80" w:firstLine="417"/>
        <w:spacing w:after="0" w:line="267" w:lineRule="auto"/>
        <w:rPr>
          <w:sz w:val="20"/>
          <w:szCs w:val="20"/>
          <w:color w:val="auto"/>
        </w:rPr>
      </w:pPr>
      <w:r>
        <w:rPr>
          <w:rFonts w:ascii="Times New Roman" w:cs="Times New Roman" w:eastAsia="Times New Roman" w:hAnsi="Times New Roman"/>
          <w:sz w:val="17"/>
          <w:szCs w:val="17"/>
          <w:color w:val="auto"/>
        </w:rPr>
        <w:t>The number of authorized shares of Preferred Stock may be increased or decreased (but not below the number of shares thereof then outstanding) by the affirmative vote of the holders of a majority of the stock of the Corporation entitled to vote, irrespective of the provisions of Section 242(b)(2) of the DGCL.</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ARTICLE V</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For the management of the business and for the conduct of the affairs of the Corporation it is further provided that:</w:t>
      </w:r>
    </w:p>
    <w:p>
      <w:pPr>
        <w:spacing w:after="0" w:line="111" w:lineRule="exact"/>
        <w:rPr>
          <w:sz w:val="20"/>
          <w:szCs w:val="20"/>
          <w:color w:val="auto"/>
        </w:rPr>
      </w:pPr>
    </w:p>
    <w:p>
      <w:pPr>
        <w:ind w:firstLine="417"/>
        <w:spacing w:after="0" w:line="253" w:lineRule="auto"/>
        <w:rPr>
          <w:sz w:val="20"/>
          <w:szCs w:val="20"/>
          <w:color w:val="auto"/>
        </w:rPr>
      </w:pPr>
      <w:r>
        <w:rPr>
          <w:rFonts w:ascii="Times New Roman" w:cs="Times New Roman" w:eastAsia="Times New Roman" w:hAnsi="Times New Roman"/>
          <w:sz w:val="17"/>
          <w:szCs w:val="17"/>
          <w:color w:val="auto"/>
        </w:rPr>
        <w:t>A. Subject to the special rights of the holders of one or more outstanding series of Preferred Stock to elect directors, the directors of the Corporation shall be classified with respect to the time for which they severally hold office into three classes, designated as Class I, Class II and Class III. The initial Class I directors shall serve for a term expiring at the first annual meeting of the stockholders following the date of this Amended and Restated Certificate; the initial Class II directors shall serve for a term expiring at the second annual meeting of the stockholders following the date of this Amended and Restated Certificate; and the initial Class III directors shall serve for a term expiring at the third annual meeting of the stockholders following the date of this Amended and Restated Certificate. At each annual meeting of the stockholders of the Corporation beginning with the first annual meeting of the stockholders following the date of this Amended and Restated Certificate, subject to the special rights of the holders of one or more outstanding series of Preferred Stock to elect directors, the successors of the class of directors whose term expires at that meeting shall be elected to hold office for a term expiring at the annual meeting of the stockholders held in the third year following the year of their election. Each director shall hold office until his or her successor is duly elected and qualified or until his or her earlier death, resignation, disqualification or removal. No decrease in the number of directors shall shorten the term of any incumbent director. The Board of Directors is authorized to assign members of the Board of Directors already in office to Class I, Class II and Class III.</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420"/>
          </w:cols>
          <w:pgMar w:left="740" w:top="264" w:right="739" w:bottom="1440" w:gutter="0" w:footer="0" w:header="0"/>
        </w:sectPr>
      </w:pPr>
    </w:p>
    <w:bookmarkStart w:id="331" w:name="page332"/>
    <w:bookmarkEnd w:id="331"/>
    <w:p>
      <w:pPr>
        <w:ind w:right="80" w:firstLine="417"/>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B. Except as otherwise expressly provided by the DGCL or this Amended and Restated Certificate, the business and affairs of the Corporation shall be managed by or under the direction of the Board of Directors. The number of directors which shall constitute the whole Board of Directors shall be fixed exclusively by one or more resolutions adopted from time to time by the Board of Directors.</w:t>
      </w:r>
    </w:p>
    <w:p>
      <w:pPr>
        <w:spacing w:after="0" w:line="63" w:lineRule="exact"/>
        <w:rPr>
          <w:sz w:val="20"/>
          <w:szCs w:val="20"/>
          <w:color w:val="auto"/>
        </w:rPr>
      </w:pPr>
    </w:p>
    <w:p>
      <w:pPr>
        <w:jc w:val="both"/>
        <w:ind w:right="40" w:firstLine="417"/>
        <w:spacing w:after="0" w:line="267" w:lineRule="auto"/>
        <w:rPr>
          <w:sz w:val="20"/>
          <w:szCs w:val="20"/>
          <w:color w:val="auto"/>
        </w:rPr>
      </w:pPr>
      <w:r>
        <w:rPr>
          <w:rFonts w:ascii="Times New Roman" w:cs="Times New Roman" w:eastAsia="Times New Roman" w:hAnsi="Times New Roman"/>
          <w:sz w:val="17"/>
          <w:szCs w:val="17"/>
          <w:color w:val="auto"/>
        </w:rPr>
        <w:t>C. Subject to the special rights of the holders of one or more outstanding series of Preferred Stock to elect directors, the Board of Directors or any individual director may be removed from office at any time, but only for cause and only by the affirmative vote of the holders of at least two-thirds (66 and 2/3%) of the voting power of all of the then outstanding shares of voting stock of the Corporation entitled to vote at an election of directors.</w:t>
      </w:r>
    </w:p>
    <w:p>
      <w:pPr>
        <w:spacing w:after="0" w:line="63" w:lineRule="exact"/>
        <w:rPr>
          <w:sz w:val="20"/>
          <w:szCs w:val="20"/>
          <w:color w:val="auto"/>
        </w:rPr>
      </w:pPr>
    </w:p>
    <w:p>
      <w:pPr>
        <w:ind w:right="60" w:firstLine="417"/>
        <w:spacing w:after="0" w:line="256" w:lineRule="auto"/>
        <w:rPr>
          <w:sz w:val="20"/>
          <w:szCs w:val="20"/>
          <w:color w:val="auto"/>
        </w:rPr>
      </w:pPr>
      <w:r>
        <w:rPr>
          <w:rFonts w:ascii="Times New Roman" w:cs="Times New Roman" w:eastAsia="Times New Roman" w:hAnsi="Times New Roman"/>
          <w:sz w:val="17"/>
          <w:szCs w:val="17"/>
          <w:color w:val="auto"/>
        </w:rPr>
        <w:t>D. Subject to the special rights of the holders of one or more outstanding series of Preferred Stock to elect directors, except as otherwise provided by law, any vacancies on the Board of Directors resulting from death, resignation, disqualification, retirement, removal or other causes and any newly created directorships resulting from any increase in the number of directors shall be filled exclusively by the affirmative vote of a majority of the directors then in office, even though less than a quorum, or by a sole remaining director (other than any directors elected by the separate vote of one or more outstanding series of Preferred Stock), and shall not be filled by the stockholders. Any director appointed in accordance with the preceding sentence shall hold office until the expiration of the term of the class to which such director shall have been appointed or until his or her earlier death, resignation, retirement, disqualification, or removal.</w:t>
      </w:r>
    </w:p>
    <w:p>
      <w:pPr>
        <w:spacing w:after="0" w:line="74" w:lineRule="exact"/>
        <w:rPr>
          <w:sz w:val="20"/>
          <w:szCs w:val="20"/>
          <w:color w:val="auto"/>
        </w:rPr>
      </w:pPr>
    </w:p>
    <w:p>
      <w:pPr>
        <w:ind w:firstLine="938"/>
        <w:spacing w:after="0" w:line="254" w:lineRule="auto"/>
        <w:rPr>
          <w:sz w:val="20"/>
          <w:szCs w:val="20"/>
          <w:color w:val="auto"/>
        </w:rPr>
      </w:pPr>
      <w:r>
        <w:rPr>
          <w:rFonts w:ascii="Times New Roman" w:cs="Times New Roman" w:eastAsia="Times New Roman" w:hAnsi="Times New Roman"/>
          <w:sz w:val="17"/>
          <w:szCs w:val="17"/>
          <w:color w:val="auto"/>
        </w:rPr>
        <w:t xml:space="preserve">E. 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Amended and Restated Certificate (including any Certificate of Designation). Notwithstanding anything to the contrary in this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the number of directors that may be elected by the holders of any such series of Preferred Stock shall be in addition to the number fixed pursuant to paragraph B of this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and the total number of directors constituting the whole Board of Directors shall be automatically adjusted accordingly. Except as otherwise provided in the Certificate of Designation(s) in respect of one or more series of Preferred Stock, whenever the holders of any series of Preferred Stock having such right to elect additional directors are divested of such right pursuant to the provisions of such Certificate of Designation(s), the terms of office of all such additional directors elected by the holders of such series of Preferred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380"/>
          </w:cols>
          <w:pgMar w:left="740" w:top="263" w:right="779" w:bottom="1440" w:gutter="0" w:footer="0" w:header="0"/>
        </w:sectPr>
      </w:pPr>
    </w:p>
    <w:bookmarkStart w:id="332" w:name="page333"/>
    <w:bookmarkEnd w:id="332"/>
    <w:p>
      <w:pPr>
        <w:ind w:right="80" w:firstLine="417"/>
        <w:spacing w:after="0" w:line="25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F. In furtherance and not in limitation of the powers conferred by statute, the Board of Directors is expressly authorized to adopt, amend or repeal the Amended and Restated Bylaws of the Corporation (as amended and/or restated from time to time, the “</w:t>
      </w:r>
      <w:r>
        <w:rPr>
          <w:rFonts w:ascii="Times New Roman" w:cs="Times New Roman" w:eastAsia="Times New Roman" w:hAnsi="Times New Roman"/>
          <w:sz w:val="17"/>
          <w:szCs w:val="17"/>
          <w:u w:val="single" w:color="auto"/>
          <w:color w:val="auto"/>
        </w:rPr>
        <w:t>Bylaws</w:t>
      </w:r>
      <w:r>
        <w:rPr>
          <w:rFonts w:ascii="Times New Roman" w:cs="Times New Roman" w:eastAsia="Times New Roman" w:hAnsi="Times New Roman"/>
          <w:sz w:val="17"/>
          <w:szCs w:val="17"/>
          <w:color w:val="auto"/>
        </w:rPr>
        <w:t>”). In addition to any vote of the holders of any class or series of stock of the Corporation required by applicable law or by this Amended and Restated Certificate (including any Certificate of Designation in respect of one or more series of Preferred Stock) or the Bylaws of the Corporation, the adoption, amendment or repeal of the Bylaws of the Corporation by the stockholders of the Corporation shall require the affirmative vote of the holders of at least two-thirds (66 and 2/3%) of the voting power of all of the then outstanding shares of voting stock of the Corporation entitled to vote generally in an election of directors.</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G. The directors of the Corporation need not be elected by written ballot unless the Bylaws so provide.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ARTICLE VI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STOCKHOLDERS</w:t>
      </w:r>
    </w:p>
    <w:p>
      <w:pPr>
        <w:spacing w:after="0" w:line="196" w:lineRule="exact"/>
        <w:rPr>
          <w:sz w:val="20"/>
          <w:szCs w:val="20"/>
          <w:color w:val="auto"/>
        </w:rPr>
      </w:pPr>
    </w:p>
    <w:p>
      <w:pPr>
        <w:ind w:firstLine="417"/>
        <w:spacing w:after="0" w:line="255" w:lineRule="auto"/>
        <w:rPr>
          <w:sz w:val="20"/>
          <w:szCs w:val="20"/>
          <w:color w:val="auto"/>
        </w:rPr>
      </w:pPr>
      <w:r>
        <w:rPr>
          <w:rFonts w:ascii="Times New Roman" w:cs="Times New Roman" w:eastAsia="Times New Roman" w:hAnsi="Times New Roman"/>
          <w:sz w:val="17"/>
          <w:szCs w:val="17"/>
          <w:color w:val="auto"/>
        </w:rPr>
        <w:t>A. Any action required or permitted to be taken by the stockholders of the Corporation must be effected at an annual or special meeting of the stockholders of the Corporation, and shall not be taken by written consent in lieu of a meeting. Notwithstanding the foregoing,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if a consent or consents in writing, setting forth the action so taken, shall be signed by the holders of outstanding shares of the relevant series of Preferred Stock having not less than the minimum number of votes that would be necessary to authorize or take such action at a meeting at which all shares entitled to vote thereon were present and voted and shall be delivered to the Corporation in accordance with the applicable provisions of the DGCL.</w:t>
      </w:r>
    </w:p>
    <w:p>
      <w:pPr>
        <w:spacing w:after="0" w:line="76" w:lineRule="exact"/>
        <w:rPr>
          <w:sz w:val="20"/>
          <w:szCs w:val="20"/>
          <w:color w:val="auto"/>
        </w:rPr>
      </w:pPr>
    </w:p>
    <w:p>
      <w:pPr>
        <w:ind w:right="100" w:firstLine="417"/>
        <w:spacing w:after="0" w:line="267" w:lineRule="auto"/>
        <w:rPr>
          <w:sz w:val="20"/>
          <w:szCs w:val="20"/>
          <w:color w:val="auto"/>
        </w:rPr>
      </w:pPr>
      <w:r>
        <w:rPr>
          <w:rFonts w:ascii="Times New Roman" w:cs="Times New Roman" w:eastAsia="Times New Roman" w:hAnsi="Times New Roman"/>
          <w:sz w:val="17"/>
          <w:szCs w:val="17"/>
          <w:color w:val="auto"/>
        </w:rPr>
        <w:t>B. Subject to the special rights of the holders of one or more series of Preferred Stock, special meetings of the stockholders of the Corporation may be called, for any purpose or purposes, at any time only by or at the direction of the Board of Directors, the Chairperson of the Board of Directors, the Chief Executive Officer or the President, and shall not be called by any other person or persons.</w:t>
      </w:r>
    </w:p>
    <w:p>
      <w:pPr>
        <w:spacing w:after="0" w:line="63" w:lineRule="exact"/>
        <w:rPr>
          <w:sz w:val="20"/>
          <w:szCs w:val="20"/>
          <w:color w:val="auto"/>
        </w:rPr>
      </w:pPr>
    </w:p>
    <w:p>
      <w:pPr>
        <w:ind w:right="240" w:firstLine="417"/>
        <w:spacing w:after="0" w:line="283" w:lineRule="auto"/>
        <w:rPr>
          <w:sz w:val="20"/>
          <w:szCs w:val="20"/>
          <w:color w:val="auto"/>
        </w:rPr>
      </w:pPr>
      <w:r>
        <w:rPr>
          <w:rFonts w:ascii="Times New Roman" w:cs="Times New Roman" w:eastAsia="Times New Roman" w:hAnsi="Times New Roman"/>
          <w:sz w:val="17"/>
          <w:szCs w:val="17"/>
          <w:color w:val="auto"/>
        </w:rPr>
        <w:t>C. Advance notice of stockholder nominations for the election of directors and of other business proposed to be brought by stockholders before any meeting of the stockholders of the Corporation shall be given in the manner provided in the Bylaws of the Corporation.</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400"/>
          </w:cols>
          <w:pgMar w:left="740" w:top="263" w:right="759" w:bottom="1440" w:gutter="0" w:footer="0" w:header="0"/>
        </w:sectPr>
      </w:pPr>
    </w:p>
    <w:bookmarkStart w:id="333" w:name="page334"/>
    <w:bookmarkEnd w:id="333"/>
    <w:p>
      <w:pPr>
        <w:jc w:val="center"/>
        <w:ind w:right="-39"/>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ARTICLE VII</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LIABILITY</w:t>
      </w:r>
    </w:p>
    <w:p>
      <w:pPr>
        <w:spacing w:after="0" w:line="196" w:lineRule="exact"/>
        <w:rPr>
          <w:sz w:val="20"/>
          <w:szCs w:val="20"/>
          <w:color w:val="auto"/>
        </w:rPr>
      </w:pPr>
    </w:p>
    <w:p>
      <w:pPr>
        <w:ind w:right="20" w:firstLine="417"/>
        <w:spacing w:after="0" w:line="256" w:lineRule="auto"/>
        <w:rPr>
          <w:sz w:val="20"/>
          <w:szCs w:val="20"/>
          <w:color w:val="auto"/>
        </w:rPr>
      </w:pPr>
      <w:r>
        <w:rPr>
          <w:rFonts w:ascii="Times New Roman" w:cs="Times New Roman" w:eastAsia="Times New Roman" w:hAnsi="Times New Roman"/>
          <w:sz w:val="17"/>
          <w:szCs w:val="17"/>
          <w:color w:val="auto"/>
        </w:rPr>
        <w:t xml:space="preserve">No director or officer of the Corporation shall have any personal liability to the Corporation or its stockholders for monetary damages for any breach of fiduciary duty as a director or officer, except to the extent such exemption from liability or limitation thereof is not permitted under the DGCL as the same exists or hereafter may be amended. Any amendment, repeal or modification of this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or the adoption of any provision of the Amended and Restated Certificate inconsistent with this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shall not adversely affect any right or protection of a director or officer of the Corporation with respect to any act or omission occurring prior to such amendment, repeal, modification or adoption. If the DGCL is amended after approval by the stockholders of this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to authorize corporate action further eliminating or limiting the personal liability of directors or officers, then the liability of a director or officer of the Corporation shall be eliminated or limited to the fullest extent permitted by the DGCL as so amended.</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u w:val="single" w:color="auto"/>
          <w:color w:val="auto"/>
        </w:rPr>
        <w:t>ARTICLE VIII</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INDEMNIFICATION</w:t>
      </w:r>
    </w:p>
    <w:p>
      <w:pPr>
        <w:spacing w:after="0" w:line="196" w:lineRule="exact"/>
        <w:rPr>
          <w:sz w:val="20"/>
          <w:szCs w:val="20"/>
          <w:color w:val="auto"/>
        </w:rPr>
      </w:pPr>
    </w:p>
    <w:p>
      <w:pPr>
        <w:ind w:right="260" w:firstLine="417"/>
        <w:spacing w:after="0" w:line="267" w:lineRule="auto"/>
        <w:rPr>
          <w:sz w:val="20"/>
          <w:szCs w:val="20"/>
          <w:color w:val="auto"/>
        </w:rPr>
      </w:pPr>
      <w:r>
        <w:rPr>
          <w:rFonts w:ascii="Times New Roman" w:cs="Times New Roman" w:eastAsia="Times New Roman" w:hAnsi="Times New Roman"/>
          <w:sz w:val="17"/>
          <w:szCs w:val="17"/>
          <w:color w:val="auto"/>
        </w:rPr>
        <w:t>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w:t>
      </w: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u w:val="single" w:color="auto"/>
          <w:color w:val="auto"/>
        </w:rPr>
        <w:t>ARTICLE IX</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FORUM SELECTION</w:t>
      </w:r>
    </w:p>
    <w:p>
      <w:pPr>
        <w:spacing w:after="0" w:line="196" w:lineRule="exact"/>
        <w:rPr>
          <w:sz w:val="20"/>
          <w:szCs w:val="20"/>
          <w:color w:val="auto"/>
        </w:rPr>
      </w:pPr>
    </w:p>
    <w:p>
      <w:pPr>
        <w:ind w:firstLine="417"/>
        <w:spacing w:after="0" w:line="255" w:lineRule="auto"/>
        <w:rPr>
          <w:sz w:val="20"/>
          <w:szCs w:val="20"/>
          <w:color w:val="auto"/>
        </w:rPr>
      </w:pPr>
      <w:r>
        <w:rPr>
          <w:rFonts w:ascii="Times New Roman" w:cs="Times New Roman" w:eastAsia="Times New Roman" w:hAnsi="Times New Roman"/>
          <w:sz w:val="17"/>
          <w:szCs w:val="17"/>
          <w:color w:val="auto"/>
        </w:rPr>
        <w:t>Unless the Corporation consents in writing to the selection of an alternative forum, (a) the Court of Chancery (the “</w:t>
      </w:r>
      <w:r>
        <w:rPr>
          <w:rFonts w:ascii="Times New Roman" w:cs="Times New Roman" w:eastAsia="Times New Roman" w:hAnsi="Times New Roman"/>
          <w:sz w:val="17"/>
          <w:szCs w:val="17"/>
          <w:u w:val="single" w:color="auto"/>
          <w:color w:val="auto"/>
        </w:rPr>
        <w:t>Chancery Court</w:t>
      </w:r>
      <w:r>
        <w:rPr>
          <w:rFonts w:ascii="Times New Roman" w:cs="Times New Roman" w:eastAsia="Times New Roman" w:hAnsi="Times New Roman"/>
          <w:sz w:val="17"/>
          <w:szCs w:val="17"/>
          <w:color w:val="auto"/>
        </w:rPr>
        <w: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w:t>
      </w:r>
      <w:r>
        <w:rPr>
          <w:rFonts w:ascii="Times New Roman" w:cs="Times New Roman" w:eastAsia="Times New Roman" w:hAnsi="Times New Roman"/>
          <w:sz w:val="17"/>
          <w:szCs w:val="17"/>
          <w:u w:val="single" w:color="auto"/>
          <w:color w:val="auto"/>
        </w:rPr>
        <w:t>Proceeding</w:t>
      </w:r>
      <w:r>
        <w:rPr>
          <w:rFonts w:ascii="Times New Roman" w:cs="Times New Roman" w:eastAsia="Times New Roman" w:hAnsi="Times New Roman"/>
          <w:sz w:val="17"/>
          <w:szCs w:val="17"/>
          <w:color w:val="auto"/>
        </w:rPr>
        <w:t xml:space="preserve">”) brought on behalf of the Corporation, (ii) any Proceeding asserting a claim of breach of a fiduciary duty owed by any director, officer or stockholder of the Corporation to the Corporation or to the Corporation’s stockholders, (iii) any Proceeding arising pursuant to any provision of the DGCL, this Amended and Restated Certificate or the Bylaws (in each case, as may be amended from time to time) or (iv) any Proceeding asserting a claim against the Corporation governed by the internal affairs doctrine; and (b) subject to the preceding provisions of this </w:t>
      </w:r>
      <w:r>
        <w:rPr>
          <w:rFonts w:ascii="Times New Roman" w:cs="Times New Roman" w:eastAsia="Times New Roman" w:hAnsi="Times New Roman"/>
          <w:sz w:val="17"/>
          <w:szCs w:val="17"/>
          <w:u w:val="single" w:color="auto"/>
          <w:color w:val="auto"/>
        </w:rPr>
        <w:t>Article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IX</w:t>
      </w:r>
      <w:r>
        <w:rPr>
          <w:rFonts w:ascii="Times New Roman" w:cs="Times New Roman" w:eastAsia="Times New Roman" w:hAnsi="Times New Roman"/>
          <w:sz w:val="17"/>
          <w:szCs w:val="17"/>
          <w:color w:val="auto"/>
        </w:rPr>
        <w:t>, to the extent permitted by applicable law, the federal district courts of the United States of America shall be the exclusive forum for the resolution of any complaint asserting a cause of action arising under the Securities Act of 1933, as amended. If any action the subject matter of which is</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380"/>
          </w:cols>
          <w:pgMar w:left="740" w:top="260" w:right="779" w:bottom="1440" w:gutter="0" w:footer="0" w:header="0"/>
        </w:sectPr>
      </w:pPr>
    </w:p>
    <w:bookmarkStart w:id="334" w:name="page335"/>
    <w:bookmarkEnd w:id="334"/>
    <w:p>
      <w:pPr>
        <w:ind w:right="60"/>
        <w:spacing w:after="0" w:line="25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within the scope of clause (a) of the immediately preceding sentence is filed in a court other than the courts in the State of Delaware (a “</w:t>
      </w:r>
      <w:r>
        <w:rPr>
          <w:rFonts w:ascii="Times New Roman" w:cs="Times New Roman" w:eastAsia="Times New Roman" w:hAnsi="Times New Roman"/>
          <w:sz w:val="17"/>
          <w:szCs w:val="17"/>
          <w:u w:val="single" w:color="auto"/>
          <w:color w:val="auto"/>
        </w:rPr>
        <w:t>Foreign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Action</w:t>
      </w:r>
      <w:r>
        <w:rPr>
          <w:rFonts w:ascii="Times New Roman" w:cs="Times New Roman" w:eastAsia="Times New Roman" w:hAnsi="Times New Roman"/>
          <w:sz w:val="17"/>
          <w:szCs w:val="17"/>
          <w:color w:val="auto"/>
        </w:rPr>
        <w:t xml:space="preserve">”),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 If any action the subject matter of which is within the scope of clause (b) of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is filed in a court other than the federal district courts of the United States of America (a “</w:t>
      </w:r>
      <w:r>
        <w:rPr>
          <w:rFonts w:ascii="Times New Roman" w:cs="Times New Roman" w:eastAsia="Times New Roman" w:hAnsi="Times New Roman"/>
          <w:sz w:val="17"/>
          <w:szCs w:val="17"/>
          <w:u w:val="single" w:color="auto"/>
          <w:color w:val="auto"/>
        </w:rPr>
        <w:t>Foreign Securities Act Action</w:t>
      </w:r>
      <w:r>
        <w:rPr>
          <w:rFonts w:ascii="Times New Roman" w:cs="Times New Roman" w:eastAsia="Times New Roman" w:hAnsi="Times New Roman"/>
          <w:sz w:val="17"/>
          <w:szCs w:val="17"/>
          <w:color w:val="auto"/>
        </w:rPr>
        <w:t>”) in the name of any stockholder, such stockholder shall be deemed to have consented to (i) the personal jurisdiction of the federal district courts of the United States of America in connection with any action brought in any such court to enforce clause (b) (a “</w:t>
      </w:r>
      <w:r>
        <w:rPr>
          <w:rFonts w:ascii="Times New Roman" w:cs="Times New Roman" w:eastAsia="Times New Roman" w:hAnsi="Times New Roman"/>
          <w:sz w:val="17"/>
          <w:szCs w:val="17"/>
          <w:u w:val="single" w:color="auto"/>
          <w:color w:val="auto"/>
        </w:rPr>
        <w:t>Securities Act Enforcement Action</w:t>
      </w:r>
      <w:r>
        <w:rPr>
          <w:rFonts w:ascii="Times New Roman" w:cs="Times New Roman" w:eastAsia="Times New Roman" w:hAnsi="Times New Roman"/>
          <w:sz w:val="17"/>
          <w:szCs w:val="17"/>
          <w:color w:val="auto"/>
        </w:rPr>
        <w:t>”), and (ii) having service of process made upon such stockholder in any such Securities Act Enforcement Action by service upon such stockholder’s counsel in the Foreign Securities Act Action as agent for such stockholder.</w:t>
      </w:r>
    </w:p>
    <w:p>
      <w:pPr>
        <w:spacing w:after="0" w:line="175" w:lineRule="exact"/>
        <w:rPr>
          <w:sz w:val="20"/>
          <w:szCs w:val="20"/>
          <w:color w:val="auto"/>
        </w:rPr>
      </w:pPr>
    </w:p>
    <w:p>
      <w:pPr>
        <w:ind w:firstLine="417"/>
        <w:spacing w:after="0" w:line="267" w:lineRule="auto"/>
        <w:rPr>
          <w:sz w:val="20"/>
          <w:szCs w:val="20"/>
          <w:color w:val="auto"/>
        </w:rPr>
      </w:pPr>
      <w:r>
        <w:rPr>
          <w:rFonts w:ascii="Times New Roman" w:cs="Times New Roman" w:eastAsia="Times New Roman" w:hAnsi="Times New Roman"/>
          <w:sz w:val="17"/>
          <w:szCs w:val="17"/>
          <w:color w:val="auto"/>
        </w:rPr>
        <w:t xml:space="preserve">For the avoidance of doubt, clause (b) of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is intended to benefit and may be enforced by the Corporation, its officers and directors, the underwriters to any offering giving rise to any Proceeding, and any other professional or entity whose profession gives authority to a statement made by that person or entity and who has prepared or certified any part of the documents underlying the offering.</w:t>
      </w:r>
    </w:p>
    <w:p>
      <w:pPr>
        <w:spacing w:after="0" w:line="165" w:lineRule="exact"/>
        <w:rPr>
          <w:sz w:val="20"/>
          <w:szCs w:val="20"/>
          <w:color w:val="auto"/>
        </w:rPr>
      </w:pPr>
    </w:p>
    <w:p>
      <w:pPr>
        <w:ind w:right="160" w:firstLine="417"/>
        <w:spacing w:after="0" w:line="261" w:lineRule="auto"/>
        <w:rPr>
          <w:sz w:val="20"/>
          <w:szCs w:val="20"/>
          <w:color w:val="auto"/>
        </w:rPr>
      </w:pPr>
      <w:r>
        <w:rPr>
          <w:rFonts w:ascii="Times New Roman" w:cs="Times New Roman" w:eastAsia="Times New Roman" w:hAnsi="Times New Roman"/>
          <w:sz w:val="17"/>
          <w:szCs w:val="17"/>
          <w:color w:val="auto"/>
        </w:rPr>
        <w:t xml:space="preserve">Any person or entity purchasing or otherwise acquiring any interest in any security of the Corporation shall be deemed to have notice of and consented to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Notwithstanding the foregoing, the provisions of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shall not apply to suits brought to enforce any liability or duty created by the Securities Exchange Act of 1934, as amended, or any other claim for which the federal courts of the United States have exclusive jurisdiction.</w:t>
      </w:r>
    </w:p>
    <w:p>
      <w:pPr>
        <w:spacing w:after="0" w:line="172" w:lineRule="exact"/>
        <w:rPr>
          <w:sz w:val="20"/>
          <w:szCs w:val="20"/>
          <w:color w:val="auto"/>
        </w:rPr>
      </w:pPr>
    </w:p>
    <w:p>
      <w:pPr>
        <w:ind w:right="20" w:firstLine="417"/>
        <w:spacing w:after="0" w:line="259" w:lineRule="auto"/>
        <w:rPr>
          <w:sz w:val="20"/>
          <w:szCs w:val="20"/>
          <w:color w:val="auto"/>
        </w:rPr>
      </w:pPr>
      <w:r>
        <w:rPr>
          <w:rFonts w:ascii="Times New Roman" w:cs="Times New Roman" w:eastAsia="Times New Roman" w:hAnsi="Times New Roman"/>
          <w:sz w:val="17"/>
          <w:szCs w:val="17"/>
          <w:color w:val="auto"/>
        </w:rPr>
        <w:t xml:space="preserve">If any provision or provisions of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shall be held to be invalid, illegal or unenforceable as applied to any circumstance for any reason whatsoever, (i) the validity, legality and enforceability of such provisions in any other circumstance and of the remaining provisions of this Article IX (including, without limitation, each portion of any paragraph of this Article IX containing any such provision held to be invalid, illegal or unenforceable that is not itself held to be invalid, illegal or unenforceable) shall not in any way be affected or impaired thereby and (ii) the application of such provision to other persons or entities and circumstances shall not in any way be affected or impaired thereby.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380"/>
          </w:cols>
          <w:pgMar w:left="740" w:top="263" w:right="779" w:bottom="1440" w:gutter="0" w:footer="0" w:header="0"/>
        </w:sectPr>
      </w:pPr>
    </w:p>
    <w:bookmarkStart w:id="335" w:name="page336"/>
    <w:bookmarkEnd w:id="335"/>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ARTICLE X</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AMENDMENTS</w:t>
      </w:r>
    </w:p>
    <w:p>
      <w:pPr>
        <w:spacing w:after="0" w:line="196" w:lineRule="exact"/>
        <w:rPr>
          <w:sz w:val="20"/>
          <w:szCs w:val="20"/>
          <w:color w:val="auto"/>
        </w:rPr>
      </w:pPr>
    </w:p>
    <w:p>
      <w:pPr>
        <w:ind w:right="80" w:firstLine="417"/>
        <w:spacing w:after="0" w:line="259" w:lineRule="auto"/>
        <w:rPr>
          <w:sz w:val="20"/>
          <w:szCs w:val="20"/>
          <w:color w:val="auto"/>
        </w:rPr>
      </w:pPr>
      <w:r>
        <w:rPr>
          <w:rFonts w:ascii="Times New Roman" w:cs="Times New Roman" w:eastAsia="Times New Roman" w:hAnsi="Times New Roman"/>
          <w:sz w:val="17"/>
          <w:szCs w:val="17"/>
          <w:color w:val="auto"/>
        </w:rPr>
        <w:t xml:space="preserve">A. Notwithstanding anything contained in this Amended and Restated Certificate to the contrary, in addition to any vote required by applicable law, the following provisions in this Amended and Restated Certificate may be amended, altered, repealed or rescinded, in whole or in part, or any provision inconsistent therewith or herewith may be adopted, only by the affirmative vote of the holders of at least two-thirds (66 and 2/3%) of the total voting power of all the then outstanding shares of stock of the Corporation entitled to vote thereon, voting together as a single class: Part B of </w:t>
      </w:r>
      <w:r>
        <w:rPr>
          <w:rFonts w:ascii="Times New Roman" w:cs="Times New Roman" w:eastAsia="Times New Roman" w:hAnsi="Times New Roman"/>
          <w:sz w:val="17"/>
          <w:szCs w:val="17"/>
          <w:u w:val="single" w:color="auto"/>
          <w:color w:val="auto"/>
        </w:rPr>
        <w:t>Article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and this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w:t>
      </w:r>
    </w:p>
    <w:p>
      <w:pPr>
        <w:spacing w:after="0" w:line="70" w:lineRule="exact"/>
        <w:rPr>
          <w:sz w:val="20"/>
          <w:szCs w:val="20"/>
          <w:color w:val="auto"/>
        </w:rPr>
      </w:pPr>
    </w:p>
    <w:p>
      <w:pPr>
        <w:ind w:firstLine="417"/>
        <w:spacing w:after="0" w:line="255" w:lineRule="auto"/>
        <w:rPr>
          <w:sz w:val="20"/>
          <w:szCs w:val="20"/>
          <w:color w:val="auto"/>
        </w:rPr>
      </w:pPr>
      <w:r>
        <w:rPr>
          <w:rFonts w:ascii="Times New Roman" w:cs="Times New Roman" w:eastAsia="Times New Roman" w:hAnsi="Times New Roman"/>
          <w:sz w:val="17"/>
          <w:szCs w:val="17"/>
          <w:color w:val="auto"/>
        </w:rPr>
        <w:t>B. If any provision or provisions of this Amended and Restated Certificate shall be held to be invalid, illegal or unenforceable as applied to any circumstance for any reason whatsoever: (i) the validity, legality and enforceability of such provisions in any other circumstance and of the remaining provisions of this Amended and Restated Certificate (including, without limitation, each portion of any paragraph of this Amended and Restated Certificate containing any such provision held to be invalid, illegal or unenforceable that is not itself held to be invalid, illegal or unenforceable) shall not, to the fullest extent permitted by applicable law, in any way be affected or impaired thereby and (ii) to the fullest extent permitted by applicable law, the provisions of this Amended and Restated Certificate (including, without limitation, each such portion of any paragraph of this Amended and Restated Certificate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400"/>
          </w:cols>
          <w:pgMar w:left="740" w:top="260" w:right="759" w:bottom="1440" w:gutter="0" w:footer="0" w:header="0"/>
        </w:sectPr>
      </w:pPr>
    </w:p>
    <w:bookmarkStart w:id="336" w:name="page337"/>
    <w:bookmarkEnd w:id="336"/>
    <w:p>
      <w:pPr>
        <w:jc w:val="right"/>
        <w:spacing w:after="0"/>
        <w:rPr>
          <w:sz w:val="20"/>
          <w:szCs w:val="20"/>
          <w:color w:val="auto"/>
        </w:rPr>
      </w:pPr>
      <w:r>
        <w:rPr>
          <w:rFonts w:ascii="Times New Roman" w:cs="Times New Roman" w:eastAsia="Times New Roman" w:hAnsi="Times New Roman"/>
          <w:sz w:val="17"/>
          <w:szCs w:val="17"/>
          <w:b w:val="1"/>
          <w:bCs w:val="1"/>
          <w:color w:val="auto"/>
        </w:rPr>
        <w:t>Exhibit 3.4</w:t>
      </w:r>
    </w:p>
    <w:p>
      <w:pPr>
        <w:spacing w:after="0" w:line="213"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7"/>
          <w:szCs w:val="17"/>
          <w:b w:val="1"/>
          <w:bCs w:val="1"/>
          <w:color w:val="auto"/>
        </w:rPr>
        <w:t>Amended and Restated Bylaws of</w:t>
      </w:r>
    </w:p>
    <w:p>
      <w:pPr>
        <w:spacing w:after="0" w:line="213"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7"/>
          <w:szCs w:val="17"/>
          <w:b w:val="1"/>
          <w:bCs w:val="1"/>
          <w:color w:val="auto"/>
        </w:rPr>
        <w:t>Boundless Bio, Inc.</w:t>
      </w:r>
    </w:p>
    <w:p>
      <w:pPr>
        <w:spacing w:after="0" w:line="21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b w:val="1"/>
          <w:bCs w:val="1"/>
          <w:color w:val="auto"/>
        </w:rPr>
        <w:t>(a Delaware corporation)</w:t>
      </w:r>
    </w:p>
    <w:p>
      <w:pPr>
        <w:sectPr>
          <w:pgSz w:w="11900" w:h="16838" w:orient="portrait"/>
          <w:cols w:equalWidth="0" w:num="1">
            <w:col w:w="9720"/>
          </w:cols>
          <w:pgMar w:left="1440" w:top="119" w:right="739" w:bottom="1440" w:gutter="0" w:footer="0" w:header="0"/>
        </w:sectPr>
      </w:pPr>
    </w:p>
    <w:bookmarkStart w:id="337" w:name="page338"/>
    <w:bookmarkEnd w:id="337"/>
    <w:tbl>
      <w:tblPr>
        <w:tblLayout w:type="fixed"/>
        <w:tblInd w:w="0" w:type="dxa"/>
        <w:tblCellMar>
          <w:top w:w="0" w:type="dxa"/>
          <w:left w:w="0" w:type="dxa"/>
          <w:bottom w:w="0" w:type="dxa"/>
          <w:right w:w="0" w:type="dxa"/>
        </w:tblCellMar>
      </w:tblPr>
      <w:tr>
        <w:trPr>
          <w:trHeight w:val="226"/>
        </w:trPr>
        <w:tc>
          <w:tcPr>
            <w:tcW w:w="1340" w:type="dxa"/>
            <w:vAlign w:val="bottom"/>
          </w:tcPr>
          <w:p>
            <w:pPr>
              <w:spacing w:after="0"/>
              <w:rPr>
                <w:sz w:val="19"/>
                <w:szCs w:val="19"/>
                <w:color w:val="auto"/>
              </w:rPr>
            </w:pPr>
          </w:p>
        </w:tc>
        <w:tc>
          <w:tcPr>
            <w:tcW w:w="8740" w:type="dxa"/>
            <w:vAlign w:val="bottom"/>
          </w:tcPr>
          <w:p>
            <w:pPr>
              <w:ind w:left="32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100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Article I - Corporate Offices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215"/>
        </w:trPr>
        <w:tc>
          <w:tcPr>
            <w:tcW w:w="10080" w:type="dxa"/>
            <w:vAlign w:val="bottom"/>
            <w:gridSpan w:val="2"/>
            <w:vMerge w:val="continue"/>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1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1.1</w:t>
            </w:r>
          </w:p>
        </w:tc>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Registered Office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2"/>
        </w:trPr>
        <w:tc>
          <w:tcPr>
            <w:tcW w:w="1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1.2</w:t>
            </w:r>
          </w:p>
        </w:tc>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Offices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307"/>
        </w:trPr>
        <w:tc>
          <w:tcPr>
            <w:tcW w:w="10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II - Meetings of Stockholders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89"/>
        </w:trPr>
        <w:tc>
          <w:tcPr>
            <w:tcW w:w="1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2.1</w:t>
            </w:r>
          </w:p>
        </w:tc>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Place of Meetings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4"/>
        </w:trPr>
        <w:tc>
          <w:tcPr>
            <w:tcW w:w="1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2.2</w:t>
            </w:r>
          </w:p>
        </w:tc>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Annual Meeting</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4"/>
        </w:trPr>
        <w:tc>
          <w:tcPr>
            <w:tcW w:w="1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2.3</w:t>
            </w:r>
          </w:p>
        </w:tc>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Special Meeting</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4"/>
        </w:trPr>
        <w:tc>
          <w:tcPr>
            <w:tcW w:w="1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2.4</w:t>
            </w:r>
          </w:p>
        </w:tc>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Notice of Business to be Brought before a Meeting</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4"/>
        </w:trPr>
        <w:tc>
          <w:tcPr>
            <w:tcW w:w="1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2.5</w:t>
            </w:r>
          </w:p>
        </w:tc>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Notice of Nominations for Election to the Board of Directors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4"/>
        </w:trPr>
        <w:tc>
          <w:tcPr>
            <w:tcW w:w="1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2.6</w:t>
            </w:r>
          </w:p>
        </w:tc>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Additional Requirements for Valid Nomination of Candidates to Serve as Director and, if Elected, to be Seated as Directors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4"/>
        </w:trPr>
        <w:tc>
          <w:tcPr>
            <w:tcW w:w="1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2.7</w:t>
            </w:r>
          </w:p>
        </w:tc>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Notice of Stockholders’ Meetings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2.8</w:t>
            </w:r>
          </w:p>
        </w:tc>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Quorum</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2.9</w:t>
            </w:r>
          </w:p>
        </w:tc>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Adjourned Meeting; Notice</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2.10</w:t>
            </w:r>
          </w:p>
        </w:tc>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Conduct of Business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2.11</w:t>
            </w:r>
          </w:p>
        </w:tc>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Voting</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4"/>
        </w:trPr>
        <w:tc>
          <w:tcPr>
            <w:tcW w:w="1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2.12</w:t>
            </w:r>
          </w:p>
        </w:tc>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Record Date for Stockholder Meetings and Other Purposes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4"/>
        </w:trPr>
        <w:tc>
          <w:tcPr>
            <w:tcW w:w="1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2.13</w:t>
            </w:r>
          </w:p>
        </w:tc>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Proxies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2.14</w:t>
            </w:r>
          </w:p>
        </w:tc>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List of Stockholders Entitled to Vote</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2.15</w:t>
            </w:r>
          </w:p>
        </w:tc>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Inspectors of Election</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2.16</w:t>
            </w:r>
          </w:p>
        </w:tc>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Delivery to the Corporation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10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III - Directors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3.1</w:t>
            </w:r>
          </w:p>
        </w:tc>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Powers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3.2</w:t>
            </w:r>
          </w:p>
        </w:tc>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Number of Directors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3.3</w:t>
            </w:r>
          </w:p>
        </w:tc>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Election, Qualification and Term of Office of Directors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3.4</w:t>
            </w:r>
          </w:p>
        </w:tc>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Resignation and Vacancies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3.5</w:t>
            </w:r>
          </w:p>
        </w:tc>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Place of Meetings; Meetings by Telephone</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3.6</w:t>
            </w:r>
          </w:p>
        </w:tc>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Regular Meetings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3.7</w:t>
            </w:r>
          </w:p>
        </w:tc>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Special Meetings; Notice</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3.8</w:t>
            </w:r>
          </w:p>
        </w:tc>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Quorum</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3.9</w:t>
            </w:r>
          </w:p>
        </w:tc>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Board Action without a Meeting</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3.10</w:t>
            </w:r>
          </w:p>
        </w:tc>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Fees and Compensation of Directors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10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IV - Committees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4.1</w:t>
            </w:r>
          </w:p>
        </w:tc>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Committees of Directors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4.2</w:t>
            </w:r>
          </w:p>
        </w:tc>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Committee Minutes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4.3</w:t>
            </w:r>
          </w:p>
        </w:tc>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Meetings and Actions of Committees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4.4</w:t>
            </w:r>
          </w:p>
        </w:tc>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Subcommittees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1340" w:type="dxa"/>
            <w:vAlign w:val="bottom"/>
          </w:tcPr>
          <w:p>
            <w:pPr>
              <w:spacing w:after="0"/>
              <w:rPr>
                <w:sz w:val="20"/>
                <w:szCs w:val="20"/>
                <w:color w:val="auto"/>
              </w:rPr>
            </w:pPr>
            <w:r>
              <w:rPr>
                <w:rFonts w:ascii="Times New Roman" w:cs="Times New Roman" w:eastAsia="Times New Roman" w:hAnsi="Times New Roman"/>
                <w:sz w:val="17"/>
                <w:szCs w:val="17"/>
                <w:color w:val="auto"/>
                <w:w w:val="98"/>
              </w:rPr>
              <w:t>Article V - Officers</w:t>
            </w:r>
          </w:p>
        </w:tc>
        <w:tc>
          <w:tcPr>
            <w:tcW w:w="8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5.1</w:t>
            </w:r>
          </w:p>
        </w:tc>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Officers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5.2</w:t>
            </w:r>
          </w:p>
        </w:tc>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Appointment of Officers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1">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7"/>
          <w:szCs w:val="17"/>
          <w:color w:val="auto"/>
        </w:rPr>
        <w:t>i</w:t>
      </w:r>
    </w:p>
    <w:p>
      <w:pPr>
        <w:sectPr>
          <w:pgSz w:w="11900" w:h="16838" w:orient="portrait"/>
          <w:cols w:equalWidth="0" w:num="1">
            <w:col w:w="10360"/>
          </w:cols>
          <w:pgMar w:left="740" w:top="260" w:right="799" w:bottom="1440" w:gutter="0" w:footer="0" w:header="0"/>
        </w:sectPr>
      </w:pPr>
    </w:p>
    <w:bookmarkStart w:id="338" w:name="page339"/>
    <w:bookmarkEnd w:id="338"/>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40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5.3</w:t>
            </w:r>
          </w:p>
        </w:tc>
        <w:tc>
          <w:tcPr>
            <w:tcW w:w="86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Subordinate Officers</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81"/>
        </w:trPr>
        <w:tc>
          <w:tcPr>
            <w:tcW w:w="1400" w:type="dxa"/>
            <w:vAlign w:val="bottom"/>
            <w:vMerge w:val="continue"/>
          </w:tcPr>
          <w:p>
            <w:pPr>
              <w:spacing w:after="0"/>
              <w:rPr>
                <w:sz w:val="15"/>
                <w:szCs w:val="15"/>
                <w:color w:val="auto"/>
              </w:rPr>
            </w:pPr>
          </w:p>
        </w:tc>
        <w:tc>
          <w:tcPr>
            <w:tcW w:w="8680" w:type="dxa"/>
            <w:vAlign w:val="bottom"/>
            <w:vMerge w:val="continue"/>
          </w:tcPr>
          <w:p>
            <w:pPr>
              <w:spacing w:after="0"/>
              <w:rPr>
                <w:sz w:val="15"/>
                <w:szCs w:val="15"/>
                <w:color w:val="auto"/>
              </w:rPr>
            </w:pPr>
          </w:p>
        </w:tc>
        <w:tc>
          <w:tcPr>
            <w:tcW w:w="2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5.4</w:t>
            </w:r>
          </w:p>
        </w:tc>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Removal and Resignation of Officers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5.5</w:t>
            </w:r>
          </w:p>
        </w:tc>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Vacancies in Offices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5.6</w:t>
            </w:r>
          </w:p>
        </w:tc>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Representation of Shares of Other Corporations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5.7</w:t>
            </w:r>
          </w:p>
        </w:tc>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Authority and Duties of Officers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22"/>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5.8</w:t>
            </w:r>
          </w:p>
        </w:tc>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Compensation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30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w w:val="99"/>
              </w:rPr>
              <w:t>Article VI - Records</w:t>
            </w:r>
          </w:p>
        </w:tc>
        <w:tc>
          <w:tcPr>
            <w:tcW w:w="86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89"/>
        </w:trPr>
        <w:tc>
          <w:tcPr>
            <w:tcW w:w="10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VII - General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7.1</w:t>
            </w:r>
          </w:p>
        </w:tc>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Execution of Corporate Contracts and Instruments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7.2</w:t>
            </w:r>
          </w:p>
        </w:tc>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Certificates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7.3</w:t>
            </w:r>
          </w:p>
        </w:tc>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Special Designation of Certificates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7.4</w:t>
            </w:r>
          </w:p>
        </w:tc>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Lost Certificates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7.5</w:t>
            </w:r>
          </w:p>
        </w:tc>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Without Certificates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7.6</w:t>
            </w:r>
          </w:p>
        </w:tc>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Construction; 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7.7</w:t>
            </w:r>
          </w:p>
        </w:tc>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7.8</w:t>
            </w:r>
          </w:p>
        </w:tc>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Fiscal Year</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7.9</w:t>
            </w:r>
          </w:p>
        </w:tc>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Seal</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7.10</w:t>
            </w:r>
          </w:p>
        </w:tc>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Transfer of Stock</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7.11</w:t>
            </w:r>
          </w:p>
        </w:tc>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Transfer Agreements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7.12</w:t>
            </w:r>
          </w:p>
        </w:tc>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Registered Stockholders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22"/>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7.13</w:t>
            </w:r>
          </w:p>
        </w:tc>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Waiver of Notice</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30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w w:val="98"/>
              </w:rPr>
              <w:t>Article VIII - Notice</w:t>
            </w:r>
          </w:p>
        </w:tc>
        <w:tc>
          <w:tcPr>
            <w:tcW w:w="86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307"/>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8.1</w:t>
            </w:r>
          </w:p>
        </w:tc>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Delivery of Notice; Notice by Electronic Transmission</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307"/>
        </w:trPr>
        <w:tc>
          <w:tcPr>
            <w:tcW w:w="10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IX - Indemnification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89"/>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9.1</w:t>
            </w:r>
          </w:p>
        </w:tc>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Indemnification of Directors and Officers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9.2</w:t>
            </w:r>
          </w:p>
        </w:tc>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Indemnification of Others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9.3</w:t>
            </w:r>
          </w:p>
        </w:tc>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Prepayment of Expenses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9.4</w:t>
            </w:r>
          </w:p>
        </w:tc>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Determination; Claim</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9.5</w:t>
            </w:r>
          </w:p>
        </w:tc>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Non-Exclusivity of Rights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9.6</w:t>
            </w:r>
          </w:p>
        </w:tc>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Insurance</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9.7</w:t>
            </w:r>
          </w:p>
        </w:tc>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Indemnification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9.8</w:t>
            </w:r>
          </w:p>
        </w:tc>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Continuation of Indemnification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22"/>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9.9</w:t>
            </w:r>
          </w:p>
        </w:tc>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Amendment or Repeal; Interpretation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bl>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40" w:type="dxa"/>
            <w:vAlign w:val="bottom"/>
          </w:tcPr>
          <w:p>
            <w:pPr>
              <w:spacing w:after="0"/>
              <w:rPr>
                <w:sz w:val="20"/>
                <w:szCs w:val="20"/>
                <w:color w:val="auto"/>
              </w:rPr>
            </w:pPr>
            <w:r>
              <w:rPr>
                <w:rFonts w:ascii="Times New Roman" w:cs="Times New Roman" w:eastAsia="Times New Roman" w:hAnsi="Times New Roman"/>
                <w:sz w:val="17"/>
                <w:szCs w:val="17"/>
                <w:color w:val="auto"/>
              </w:rPr>
              <w:t>Article X - Amendments</w:t>
            </w:r>
          </w:p>
        </w:tc>
        <w:tc>
          <w:tcPr>
            <w:tcW w:w="4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307"/>
        </w:trPr>
        <w:tc>
          <w:tcPr>
            <w:tcW w:w="5940" w:type="dxa"/>
            <w:vAlign w:val="bottom"/>
          </w:tcPr>
          <w:p>
            <w:pPr>
              <w:spacing w:after="0"/>
              <w:rPr>
                <w:sz w:val="20"/>
                <w:szCs w:val="20"/>
                <w:color w:val="auto"/>
              </w:rPr>
            </w:pPr>
            <w:r>
              <w:rPr>
                <w:rFonts w:ascii="Times New Roman" w:cs="Times New Roman" w:eastAsia="Times New Roman" w:hAnsi="Times New Roman"/>
                <w:sz w:val="17"/>
                <w:szCs w:val="17"/>
                <w:color w:val="auto"/>
              </w:rPr>
              <w:t>Article XII - Definitions</w:t>
            </w:r>
          </w:p>
        </w:tc>
        <w:tc>
          <w:tcPr>
            <w:tcW w:w="4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bl>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0360"/>
          </w:cols>
          <w:pgMar w:left="740" w:top="260" w:right="799" w:bottom="1440" w:gutter="0" w:footer="0" w:header="0"/>
        </w:sectPr>
      </w:pPr>
    </w:p>
    <w:bookmarkStart w:id="339" w:name="page340"/>
    <w:bookmarkEnd w:id="339"/>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Amended and Restated Bylaws of</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Boundless Bio,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2606675</wp:posOffset>
            </wp:positionH>
            <wp:positionV relativeFrom="paragraph">
              <wp:posOffset>215900</wp:posOffset>
            </wp:positionV>
            <wp:extent cx="139573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4">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Article I - Corporate Offices</w:t>
      </w:r>
    </w:p>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Registered Office</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jc w:val="both"/>
        <w:ind w:right="180" w:firstLine="417"/>
        <w:spacing w:after="0" w:line="267" w:lineRule="auto"/>
        <w:rPr>
          <w:sz w:val="20"/>
          <w:szCs w:val="20"/>
          <w:color w:val="auto"/>
        </w:rPr>
      </w:pPr>
      <w:r>
        <w:rPr>
          <w:rFonts w:ascii="Times New Roman" w:cs="Times New Roman" w:eastAsia="Times New Roman" w:hAnsi="Times New Roman"/>
          <w:sz w:val="17"/>
          <w:szCs w:val="17"/>
          <w:color w:val="auto"/>
        </w:rPr>
        <w:t>The address of the registered office of Boundless Bio, Inc. (the “</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rPr>
        <w:t>”) in the State of Delaware, and the name of its registered agent at such address, shall be as set forth in the Corporation’s certificate of incorporation, as the same may be amended and/or restated from time to time (the “</w:t>
      </w:r>
      <w:r>
        <w:rPr>
          <w:rFonts w:ascii="Times New Roman" w:cs="Times New Roman" w:eastAsia="Times New Roman" w:hAnsi="Times New Roman"/>
          <w:sz w:val="17"/>
          <w:szCs w:val="17"/>
          <w:u w:val="single" w:color="auto"/>
          <w:color w:val="auto"/>
        </w:rPr>
        <w:t>Certificate of Incorporation</w:t>
      </w:r>
      <w:r>
        <w:rPr>
          <w:rFonts w:ascii="Times New Roman" w:cs="Times New Roman" w:eastAsia="Times New Roman" w:hAnsi="Times New Roman"/>
          <w:sz w:val="17"/>
          <w:szCs w:val="17"/>
          <w:color w:val="auto"/>
        </w:rPr>
        <w:t>”).</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Other Offices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right="580" w:firstLine="417"/>
        <w:spacing w:after="0" w:line="283" w:lineRule="auto"/>
        <w:rPr>
          <w:sz w:val="20"/>
          <w:szCs w:val="20"/>
          <w:color w:val="auto"/>
        </w:rPr>
      </w:pPr>
      <w:r>
        <w:rPr>
          <w:rFonts w:ascii="Times New Roman" w:cs="Times New Roman" w:eastAsia="Times New Roman" w:hAnsi="Times New Roman"/>
          <w:sz w:val="17"/>
          <w:szCs w:val="17"/>
          <w:color w:val="auto"/>
        </w:rPr>
        <w:t>The Corporation may have additional offices at any place or places, within or outside the State of Delaware, as the Corporation’s board of directors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may from time to time establish or as the business of the Corporation may require.</w:t>
      </w: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Article II - Meetings of Stockholders</w:t>
      </w:r>
    </w:p>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Place of Meetings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firstLine="417"/>
        <w:spacing w:after="0" w:line="261" w:lineRule="auto"/>
        <w:rPr>
          <w:sz w:val="20"/>
          <w:szCs w:val="20"/>
          <w:color w:val="auto"/>
        </w:rPr>
      </w:pPr>
      <w:r>
        <w:rPr>
          <w:rFonts w:ascii="Times New Roman" w:cs="Times New Roman" w:eastAsia="Times New Roman" w:hAnsi="Times New Roman"/>
          <w:sz w:val="17"/>
          <w:szCs w:val="17"/>
          <w:color w:val="auto"/>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 In the absence of any such designation or determination, stockholders’ meetings shall be held at the Corporation’s principal executive office.</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u w:val="single" w:color="auto"/>
          <w:color w:val="auto"/>
        </w:rPr>
        <w:t>Annual Meeting</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right="100" w:firstLine="417"/>
        <w:spacing w:after="0" w:line="267" w:lineRule="auto"/>
        <w:rPr>
          <w:sz w:val="20"/>
          <w:szCs w:val="20"/>
          <w:color w:val="auto"/>
        </w:rPr>
      </w:pPr>
      <w:r>
        <w:rPr>
          <w:rFonts w:ascii="Times New Roman" w:cs="Times New Roman" w:eastAsia="Times New Roman" w:hAnsi="Times New Roman"/>
          <w:sz w:val="17"/>
          <w:szCs w:val="17"/>
          <w:color w:val="auto"/>
        </w:rPr>
        <w:t xml:space="preserve">The Board shall designate the date and time of the annual meeting. At the annual meeting, directors shall be elected and other proper business properly brought before the meeting in accordance with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of these Bylaws may be transacted. The Board may postpone, reschedule or cancel any previously scheduled annual meeting of stockholders.</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Special Meeting</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Special meetings of the stockholders may be called only by such persons and only in such manner as set forth in the Certificate of Incorporation.</w:t>
      </w:r>
    </w:p>
    <w:p>
      <w:pPr>
        <w:spacing w:after="0" w:line="213" w:lineRule="exact"/>
        <w:rPr>
          <w:sz w:val="20"/>
          <w:szCs w:val="20"/>
          <w:color w:val="auto"/>
        </w:rPr>
      </w:pPr>
    </w:p>
    <w:p>
      <w:pPr>
        <w:ind w:right="140" w:firstLine="417"/>
        <w:spacing w:after="0" w:line="283" w:lineRule="auto"/>
        <w:rPr>
          <w:sz w:val="20"/>
          <w:szCs w:val="20"/>
          <w:color w:val="auto"/>
        </w:rPr>
      </w:pPr>
      <w:r>
        <w:rPr>
          <w:rFonts w:ascii="Times New Roman" w:cs="Times New Roman" w:eastAsia="Times New Roman" w:hAnsi="Times New Roman"/>
          <w:sz w:val="17"/>
          <w:szCs w:val="17"/>
          <w:color w:val="auto"/>
        </w:rPr>
        <w:t>No business may be transacted at any special meeting of stockholders other than the business specified in the notice of such meeting. The Board may postpone, reschedule or cancel any previously scheduled special meeting of stockholders.</w:t>
      </w:r>
    </w:p>
    <w:p>
      <w:pPr>
        <w:spacing w:after="0" w:line="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0380"/>
          </w:cols>
          <w:pgMar w:left="740" w:top="259" w:right="779" w:bottom="1440" w:gutter="0" w:footer="0" w:header="0"/>
        </w:sectPr>
      </w:pPr>
    </w:p>
    <w:bookmarkStart w:id="340" w:name="page341"/>
    <w:bookmarkEnd w:id="340"/>
    <w:p>
      <w:pPr>
        <w:ind w:left="40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2.4 </w:t>
      </w:r>
      <w:r>
        <w:rPr>
          <w:rFonts w:ascii="Times New Roman" w:cs="Times New Roman" w:eastAsia="Times New Roman" w:hAnsi="Times New Roman"/>
          <w:sz w:val="17"/>
          <w:szCs w:val="17"/>
          <w:u w:val="single" w:color="auto"/>
          <w:color w:val="auto"/>
        </w:rPr>
        <w:t>Notice of Business to be Brought before a Meeting</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left="9" w:right="20" w:firstLine="408"/>
        <w:spacing w:after="0" w:line="277" w:lineRule="auto"/>
        <w:tabs>
          <w:tab w:leader="none" w:pos="657" w:val="left"/>
        </w:tabs>
        <w:numPr>
          <w:ilvl w:val="1"/>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an annual meeting of the stockholders, only such business shall be conducted as shall have been properly brought before the meeting. To be properly brought before an annual meeting, business must be (i) specified in a notice of meeting given by or at the direction of the Board of Directors,</w:t>
      </w:r>
    </w:p>
    <w:p>
      <w:pPr>
        <w:spacing w:after="0" w:line="1" w:lineRule="exact"/>
        <w:rPr>
          <w:rFonts w:ascii="Times New Roman" w:cs="Times New Roman" w:eastAsia="Times New Roman" w:hAnsi="Times New Roman"/>
          <w:sz w:val="16"/>
          <w:szCs w:val="16"/>
          <w:color w:val="auto"/>
        </w:rPr>
      </w:pPr>
    </w:p>
    <w:p>
      <w:pPr>
        <w:ind w:left="249" w:hanging="249"/>
        <w:spacing w:after="0"/>
        <w:tabs>
          <w:tab w:leader="none" w:pos="249"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not specified in a notice of meeting, otherwise brought before the meeting by the Board of Directors or the Chairperson of the Board or</w:t>
      </w:r>
    </w:p>
    <w:p>
      <w:pPr>
        <w:spacing w:after="0" w:line="8" w:lineRule="exact"/>
        <w:rPr>
          <w:rFonts w:ascii="Times New Roman" w:cs="Times New Roman" w:eastAsia="Times New Roman" w:hAnsi="Times New Roman"/>
          <w:sz w:val="17"/>
          <w:szCs w:val="17"/>
          <w:color w:val="auto"/>
        </w:rPr>
      </w:pPr>
    </w:p>
    <w:p>
      <w:pPr>
        <w:ind w:left="9" w:hanging="9"/>
        <w:spacing w:after="0" w:line="251" w:lineRule="auto"/>
        <w:tabs>
          <w:tab w:leader="none" w:pos="307"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otherwise properly brought before the meeting by a stockholder present in person who (A) (1) was a record owner of shares of the Corporation both at the time of giving the notice provided for in this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and at the time of the meeting, (2) is entitled to vote at the meeting, and (3) has complied with this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in all applicable respects or (B) properly made such proposal in accordance with Rule 14a-8 under the Securities Exchange Act of 1934, as amended, and the rules and regulations thereunder (as so amended and inclusive of such rules and regulations, the “</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xml:space="preserve">”). The foregoing clause (iii) shall be the exclusive means for a stockholder to propose business to be brought before an annual meeting of the stockholders. The only matters that may be brought before a special meeting are the matters specified in the notice of meeting given by or at the direction of the person calling the meeting pursuant to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and stockholders shall not be permitted to propose business to be brought before a special meeting of the stockholders. For purposes of this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“present in person” shall mean that the stockholder proposing that the business be brought before the annual meeting of the Corporation, or a qualified representative of such proposing stockholder, appear at such annual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Stockholders seeking to nominate persons for election to the Board of Directors must comply with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and this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shall not be applicable to nominations except as expressly provided in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w:t>
      </w:r>
    </w:p>
    <w:p>
      <w:pPr>
        <w:spacing w:after="0" w:line="84" w:lineRule="exact"/>
        <w:rPr>
          <w:rFonts w:ascii="Times New Roman" w:cs="Times New Roman" w:eastAsia="Times New Roman" w:hAnsi="Times New Roman"/>
          <w:sz w:val="17"/>
          <w:szCs w:val="17"/>
          <w:color w:val="auto"/>
        </w:rPr>
      </w:pPr>
    </w:p>
    <w:p>
      <w:pPr>
        <w:ind w:left="9" w:right="40" w:firstLine="408"/>
        <w:spacing w:after="0" w:line="234" w:lineRule="auto"/>
        <w:tabs>
          <w:tab w:leader="none" w:pos="667" w:val="left"/>
        </w:tabs>
        <w:numPr>
          <w:ilvl w:val="1"/>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qualification, for business to be properly brought before an annual meeting by a stockholder, the stockholder must (i) provide Timely Notice (as defined below) thereof in writing and in proper form to the Secretary of the Corporation and (ii) provide any updates or supplements to such notice at the times and in the forms required by this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To be timely, a stockholder’s notice must be delivered to, or mailed and received at, the principal executive offices of the Corporation not less than ninety (90) days nor more than one hundred twenty (120) days prior to the one-year anniversary of the preceding year’s annual meeting which, in the case of the first annual meeting of stockholders following the closing of the Corporation’s initial underwritten public offering of common stock, the date of the preceding year’s annual meeting shall be deemed to be June 15, 2024;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the date of the annual meeting is more than thirty (30) days before or more than sixty (60) days after such anniversary date, notice by the stockholder to be timely must be so delivered, or mailed and received, not more than the hundred twentieth (120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day prior to such annual meeting and not later than (i) the ninetieth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day prior to such annual meeting or, (ii) if later, the tenth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day following the day on which public disclosure of the date of such annual meeting was first made by the Corporation (such notice within such time periods, “</w:t>
      </w:r>
      <w:r>
        <w:rPr>
          <w:rFonts w:ascii="Times New Roman" w:cs="Times New Roman" w:eastAsia="Times New Roman" w:hAnsi="Times New Roman"/>
          <w:sz w:val="17"/>
          <w:szCs w:val="17"/>
          <w:u w:val="single" w:color="auto"/>
          <w:color w:val="auto"/>
        </w:rPr>
        <w:t>Timely Notice</w:t>
      </w:r>
      <w:r>
        <w:rPr>
          <w:rFonts w:ascii="Times New Roman" w:cs="Times New Roman" w:eastAsia="Times New Roman" w:hAnsi="Times New Roman"/>
          <w:sz w:val="17"/>
          <w:szCs w:val="17"/>
          <w:color w:val="auto"/>
        </w:rPr>
        <w:t>”). In no event shall any adjournment or postponement of an annual meeting or the announcement thereof commence a new time period for the giving of Timely Notice as described above.</w:t>
      </w:r>
    </w:p>
    <w:p>
      <w:pPr>
        <w:spacing w:after="0" w:line="127"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389"/>
          </w:cols>
          <w:pgMar w:left="731" w:top="264" w:right="779" w:bottom="1440" w:gutter="0" w:footer="0" w:header="0"/>
        </w:sectPr>
      </w:pPr>
    </w:p>
    <w:bookmarkStart w:id="341" w:name="page342"/>
    <w:bookmarkEnd w:id="341"/>
    <w:p>
      <w:pPr>
        <w:ind w:left="240" w:hanging="232"/>
        <w:spacing w:after="0"/>
        <w:tabs>
          <w:tab w:leader="none" w:pos="240"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To be in proper form for purposes of this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a stockholder’s notice to the Secretary shall set forth:</w:t>
      </w:r>
    </w:p>
    <w:p>
      <w:pPr>
        <w:spacing w:after="0" w:line="111" w:lineRule="exact"/>
        <w:rPr>
          <w:rFonts w:ascii="Times New Roman" w:cs="Times New Roman" w:eastAsia="Times New Roman" w:hAnsi="Times New Roman"/>
          <w:sz w:val="17"/>
          <w:szCs w:val="17"/>
          <w:color w:val="auto"/>
        </w:rPr>
      </w:pPr>
    </w:p>
    <w:p>
      <w:pPr>
        <w:ind w:right="40" w:firstLine="408"/>
        <w:spacing w:after="0" w:line="256" w:lineRule="auto"/>
        <w:tabs>
          <w:tab w:leader="none" w:pos="603" w:val="left"/>
        </w:tabs>
        <w:numPr>
          <w:ilvl w:val="1"/>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each Proposing Person (as defined below), (A) the name and address of such Proposing Person (including, if applicable, the name and address that appear on the Corporation’s books and records); and (B) the class or series and number of shares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(C) the date or dates such shares were acquired;(D) the investment intent of such acquisition and (E) any pledge by such Proposing Person with respect to any of such shares (the disclosures to be made pursuant to the foregoing clauses (A) through (E) are referred to as “</w:t>
      </w:r>
      <w:r>
        <w:rPr>
          <w:rFonts w:ascii="Times New Roman" w:cs="Times New Roman" w:eastAsia="Times New Roman" w:hAnsi="Times New Roman"/>
          <w:sz w:val="17"/>
          <w:szCs w:val="17"/>
          <w:u w:val="single" w:color="auto"/>
          <w:color w:val="auto"/>
        </w:rPr>
        <w:t>Stockholder Information</w:t>
      </w:r>
      <w:r>
        <w:rPr>
          <w:rFonts w:ascii="Times New Roman" w:cs="Times New Roman" w:eastAsia="Times New Roman" w:hAnsi="Times New Roman"/>
          <w:sz w:val="17"/>
          <w:szCs w:val="17"/>
          <w:color w:val="auto"/>
        </w:rPr>
        <w:t>”);</w:t>
      </w:r>
    </w:p>
    <w:p>
      <w:pPr>
        <w:spacing w:after="0" w:line="73" w:lineRule="exact"/>
        <w:rPr>
          <w:rFonts w:ascii="Times New Roman" w:cs="Times New Roman" w:eastAsia="Times New Roman" w:hAnsi="Times New Roman"/>
          <w:sz w:val="17"/>
          <w:szCs w:val="17"/>
          <w:color w:val="auto"/>
        </w:rPr>
      </w:pPr>
    </w:p>
    <w:p>
      <w:pPr>
        <w:ind w:firstLine="408"/>
        <w:spacing w:after="0" w:line="252" w:lineRule="auto"/>
        <w:tabs>
          <w:tab w:leader="none" w:pos="651" w:val="left"/>
        </w:tabs>
        <w:numPr>
          <w:ilvl w:val="1"/>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each Proposing Person, (A) the material terms and conditions of any “derivative security” (as such term is defined in Rule 16a-1(c) under the Exchange Act) that constitutes a “call equivalent position” (as such term is defined in Rule 16a-1(b) under the Exchange Act) or a “put equivalent position” (as such term is defined in Rule 16a-1(h) under the Exchange Act) or other derivative or synthetic arrangement in respect of any class or series of shares of the Corporation (“</w:t>
      </w:r>
      <w:r>
        <w:rPr>
          <w:rFonts w:ascii="Times New Roman" w:cs="Times New Roman" w:eastAsia="Times New Roman" w:hAnsi="Times New Roman"/>
          <w:sz w:val="17"/>
          <w:szCs w:val="17"/>
          <w:u w:val="single" w:color="auto"/>
          <w:color w:val="auto"/>
        </w:rPr>
        <w:t>Synthetic Equity Position</w:t>
      </w:r>
      <w:r>
        <w:rPr>
          <w:rFonts w:ascii="Times New Roman" w:cs="Times New Roman" w:eastAsia="Times New Roman" w:hAnsi="Times New Roman"/>
          <w:sz w:val="17"/>
          <w:szCs w:val="17"/>
          <w:color w:val="auto"/>
        </w:rPr>
        <w:t>”) that is, directly or indirectly, held or maintained by, held for the benefit of, or involving such Proposing Person, including, without limitation, (i) any option, warrant, convertible security, stock appreciation right, future or similar right with an exercise or conversion privilege or a settlement payment or mechanism at a price related to any class or series of shares of the Corporation or with a value derived in whole or in part from the value of any class or series of shares of the Corporation, (ii) any derivative or synthetic arrangement having the characteristics of a long position or a short position in any class or series of shares of the Corporation, including, without limitation, a stock loan transaction, a stock borrow transaction, or a share repurchase transaction or (iii) any contract, derivative, swap or other transaction or series of transactions designed to (x) produce economic benefits and risks that correspond substantially to the ownership of any class or series of shares of the Corporation, (y) mitigate any loss relating to, reduce the economic risk (of ownership or otherwise) of, or manage the risk of share price decrease in, any class or series of shares of the Corporation, or (z) increase or decrease the voting power in respect of any class or series of shares of the Corporation of such Proposing Person, including, without limitation, due to the fact that the value of such contract,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the holder thereof may have entered into transactions that hedge or mitigate the economic effect of such instrument, contract or right, or any other direct or indirect opportunity to profit or share in any profit derived from any increase or decrease in the price or value of any class or series of shares of the Corporation; provided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provided, further, that any Proposing Person satisfying the requirements of Rule 13d-1(b)(1) under the Exchange Act (other than a Proposing Person that so satisfies Rule 13d-1(b)(1) under the Exchange Act solely by reason of Rule 13d-1(b)(1)(ii)(E)) shall not be required to disclose any Synthetic Equity Position that is, directly or indirectly, held or maintained by, held for the benefit of, or involving such Proposing Person as a hedge with respect to a bona fide derivatives trade or position of such Proposing Person arising in the ordinary course of such Proposing Person’s business as a derivatives dealer, (B) any rights to dividends on the shares of any class or series of shares of the</w:t>
      </w:r>
    </w:p>
    <w:p>
      <w:pPr>
        <w:spacing w:after="0" w:line="11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000"/>
          </w:cols>
          <w:pgMar w:left="1140" w:top="264" w:right="759" w:bottom="1440" w:gutter="0" w:footer="0" w:header="0"/>
        </w:sectPr>
      </w:pPr>
    </w:p>
    <w:bookmarkStart w:id="342" w:name="page343"/>
    <w:bookmarkEnd w:id="342"/>
    <w:p>
      <w:pPr>
        <w:ind w:left="400"/>
        <w:spacing w:after="0" w:line="25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Corporation owned beneficially by such Proposing Person that are separated or separable from the underlying shares of the Corporation, (C) any material pending or threatened legal proceeding in which such Proposing Person is a party or material participant involving the Corporation or any of its officers or directors, or any affiliate of the Corporation, (D) any other material relationship between such Proposing Person, on the one hand, and the Corporation or any affiliate of the Corporation, on the other hand, (E) any direct or indirect material interest in any material contract or agreement of such Proposing Person with the Corporation or any affiliate of the Corporation (including, in any such case, any employment agreement, collective bargaining agreement or consulting agreement), (F) any proportionate interest in shares of the Corporation or a Synthetic Equity Position held, directly or indirectly, by a general or limited partnership, limited liability company or similar entity in which any such Proposing Person (1) is a general partner or, directly or indirectly, beneficially owns an interest in a general partner of such general or limited partnership or (2) is the manager, managing member or, directly or indirectly, beneficially owns an interest in the manager or managing member of such limited liability company or similar entity; (G) a representation that such Proposing Person intends or is part of a group which intends to deliver a proxy statement or form of proxy to holders of at least the percentage of the Corporation’s outstanding capital stock required to approve or adopt the proposal or otherwise solicit proxies from stockholders in support of such proposal and (H)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(H) are referred to as “</w:t>
      </w:r>
      <w:r>
        <w:rPr>
          <w:rFonts w:ascii="Times New Roman" w:cs="Times New Roman" w:eastAsia="Times New Roman" w:hAnsi="Times New Roman"/>
          <w:sz w:val="17"/>
          <w:szCs w:val="17"/>
          <w:u w:val="single" w:color="auto"/>
          <w:color w:val="auto"/>
        </w:rPr>
        <w:t>Disclosable Interests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Disclosable Interests shall not include any such disclosures with respect to the ordinary course business activities of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broker, dealer, commercial bank, trust company or other nominee who is a Proposing Person solely as a result of being the stockholder directed to prepare and submit the notice required by these Bylaws on behalf of a beneficial owner; and</w:t>
      </w:r>
    </w:p>
    <w:p>
      <w:pPr>
        <w:spacing w:after="0" w:line="87" w:lineRule="exact"/>
        <w:rPr>
          <w:sz w:val="20"/>
          <w:szCs w:val="20"/>
          <w:color w:val="auto"/>
        </w:rPr>
      </w:pPr>
    </w:p>
    <w:p>
      <w:pPr>
        <w:ind w:left="400" w:right="20" w:firstLine="408"/>
        <w:spacing w:after="0" w:line="254" w:lineRule="auto"/>
        <w:tabs>
          <w:tab w:leader="none" w:pos="1098" w:val="left"/>
        </w:tabs>
        <w:numPr>
          <w:ilvl w:val="1"/>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 Bylaws, the language of the proposed amendment), (C) a reasonably detailed description of all agreements, arrangements and understandings (x) between or among any of the Proposing Persons or (y) between or among any Proposing Person and any other person or entity (including their names) in connection with the proposal of such business by such stockholder, and</w:t>
      </w:r>
    </w:p>
    <w:p>
      <w:pPr>
        <w:spacing w:after="0" w:line="2" w:lineRule="exact"/>
        <w:rPr>
          <w:rFonts w:ascii="Times New Roman" w:cs="Times New Roman" w:eastAsia="Times New Roman" w:hAnsi="Times New Roman"/>
          <w:sz w:val="17"/>
          <w:szCs w:val="17"/>
          <w:color w:val="auto"/>
        </w:rPr>
      </w:pPr>
    </w:p>
    <w:p>
      <w:pPr>
        <w:ind w:left="400" w:right="60" w:firstLine="8"/>
        <w:spacing w:after="0" w:line="253" w:lineRule="auto"/>
        <w:tabs>
          <w:tab w:leader="none" w:pos="679"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disclosures required by this paragraph (iii)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75" w:lineRule="exact"/>
        <w:rPr>
          <w:sz w:val="20"/>
          <w:szCs w:val="20"/>
          <w:color w:val="auto"/>
        </w:rPr>
      </w:pPr>
    </w:p>
    <w:p>
      <w:pPr>
        <w:ind w:right="140" w:firstLine="417"/>
        <w:spacing w:after="0" w:line="263" w:lineRule="auto"/>
        <w:rPr>
          <w:sz w:val="20"/>
          <w:szCs w:val="20"/>
          <w:color w:val="auto"/>
        </w:rPr>
      </w:pPr>
      <w:r>
        <w:rPr>
          <w:rFonts w:ascii="Times New Roman" w:cs="Times New Roman" w:eastAsia="Times New Roman" w:hAnsi="Times New Roman"/>
          <w:sz w:val="17"/>
          <w:szCs w:val="17"/>
          <w:color w:val="auto"/>
        </w:rPr>
        <w:t xml:space="preserve">For purposes of this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the term “</w:t>
      </w:r>
      <w:r>
        <w:rPr>
          <w:rFonts w:ascii="Times New Roman" w:cs="Times New Roman" w:eastAsia="Times New Roman" w:hAnsi="Times New Roman"/>
          <w:sz w:val="17"/>
          <w:szCs w:val="17"/>
          <w:u w:val="single" w:color="auto"/>
          <w:color w:val="auto"/>
        </w:rPr>
        <w:t>Proposing Person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participant (as defined in paragraphs (a)(ii)-(vi) of Instruction 3 to Item 4 of Schedule 14A) with such stockholder in such solicitation.</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420"/>
          </w:cols>
          <w:pgMar w:left="740" w:top="264" w:right="739" w:bottom="1440" w:gutter="0" w:footer="0" w:header="0"/>
        </w:sectPr>
      </w:pPr>
    </w:p>
    <w:bookmarkStart w:id="343" w:name="page344"/>
    <w:bookmarkEnd w:id="343"/>
    <w:p>
      <w:pPr>
        <w:jc w:val="both"/>
        <w:ind w:firstLine="408"/>
        <w:spacing w:after="0" w:line="283" w:lineRule="auto"/>
        <w:tabs>
          <w:tab w:leader="none" w:pos="658"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The Board of Directors may request that any Proposing Person furnish such additional information as may be reasonably required by the Board of Directors. Such Proposing Person shall provide such additional information within ten (10) days after it has been requested by the Board of Directors.</w:t>
      </w:r>
    </w:p>
    <w:p>
      <w:pPr>
        <w:spacing w:after="0" w:line="50" w:lineRule="exact"/>
        <w:rPr>
          <w:rFonts w:ascii="Times New Roman" w:cs="Times New Roman" w:eastAsia="Times New Roman" w:hAnsi="Times New Roman"/>
          <w:sz w:val="17"/>
          <w:szCs w:val="17"/>
          <w:color w:val="auto"/>
        </w:rPr>
      </w:pPr>
    </w:p>
    <w:p>
      <w:pPr>
        <w:ind w:left="640" w:hanging="232"/>
        <w:spacing w:after="0"/>
        <w:tabs>
          <w:tab w:leader="none" w:pos="640"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Proposing Person shall update and supplement its notice to the Corporation of its intent to propose business at an annual meeting, if</w:t>
      </w:r>
    </w:p>
    <w:p>
      <w:pPr>
        <w:spacing w:after="0" w:line="26" w:lineRule="exact"/>
        <w:rPr>
          <w:rFonts w:ascii="Times New Roman" w:cs="Times New Roman" w:eastAsia="Times New Roman" w:hAnsi="Times New Roman"/>
          <w:sz w:val="17"/>
          <w:szCs w:val="17"/>
          <w:color w:val="auto"/>
        </w:rPr>
      </w:pPr>
    </w:p>
    <w:p>
      <w:pPr>
        <w:ind w:right="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necessary, so that the information provided or required to be provided in such notice pursuant to this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75" w:lineRule="exact"/>
        <w:rPr>
          <w:rFonts w:ascii="Times New Roman" w:cs="Times New Roman" w:eastAsia="Times New Roman" w:hAnsi="Times New Roman"/>
          <w:sz w:val="17"/>
          <w:szCs w:val="17"/>
          <w:color w:val="auto"/>
        </w:rPr>
      </w:pPr>
    </w:p>
    <w:p>
      <w:pPr>
        <w:ind w:right="200" w:firstLine="408"/>
        <w:spacing w:after="0" w:line="261" w:lineRule="auto"/>
        <w:tabs>
          <w:tab w:leader="none" w:pos="630"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in these Bylaws to the contrary, no business shall be conducted at an annual meeting that is not properly brought before the meeting in accordance with this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The presiding officer of the meeting shall, if the facts warrant, determine that the business was not properly brought before the meeting in accordance with this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and if he or she should so determine, he or she shall so declare to the meeting and any such business not properly brought before the meeting shall not be transacted.</w:t>
      </w:r>
    </w:p>
    <w:p>
      <w:pPr>
        <w:spacing w:after="0" w:line="69" w:lineRule="exact"/>
        <w:rPr>
          <w:rFonts w:ascii="Times New Roman" w:cs="Times New Roman" w:eastAsia="Times New Roman" w:hAnsi="Times New Roman"/>
          <w:sz w:val="17"/>
          <w:szCs w:val="17"/>
          <w:color w:val="auto"/>
        </w:rPr>
      </w:pPr>
    </w:p>
    <w:p>
      <w:pPr>
        <w:ind w:right="20" w:firstLine="408"/>
        <w:spacing w:after="0" w:line="259" w:lineRule="auto"/>
        <w:tabs>
          <w:tab w:leader="none" w:pos="658"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with respect to any business proposed to be brought before an annual meeting, each Proposing Person shall comply with all applicable requirements of the Exchange Act with respect to any such business. Nothing in this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shall be deemed to affect the rights of stockholders to request inclusion of proposals in the Corporation’s proxy statement pursuant to Rule 14a-8 under the Exchange Act.</w:t>
      </w:r>
    </w:p>
    <w:p>
      <w:pPr>
        <w:spacing w:after="0" w:line="69" w:lineRule="exact"/>
        <w:rPr>
          <w:rFonts w:ascii="Times New Roman" w:cs="Times New Roman" w:eastAsia="Times New Roman" w:hAnsi="Times New Roman"/>
          <w:sz w:val="17"/>
          <w:szCs w:val="17"/>
          <w:color w:val="auto"/>
        </w:rPr>
      </w:pPr>
    </w:p>
    <w:p>
      <w:pPr>
        <w:ind w:right="20" w:firstLine="408"/>
        <w:spacing w:after="0" w:line="283" w:lineRule="auto"/>
        <w:tabs>
          <w:tab w:leader="none" w:pos="658"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these Bylaws, “</w:t>
      </w:r>
      <w:r>
        <w:rPr>
          <w:rFonts w:ascii="Times New Roman" w:cs="Times New Roman" w:eastAsia="Times New Roman" w:hAnsi="Times New Roman"/>
          <w:sz w:val="17"/>
          <w:szCs w:val="17"/>
          <w:u w:val="single" w:color="auto"/>
          <w:color w:val="auto"/>
        </w:rPr>
        <w:t>public disclosure</w:t>
      </w:r>
      <w:r>
        <w:rPr>
          <w:rFonts w:ascii="Times New Roman" w:cs="Times New Roman" w:eastAsia="Times New Roman" w:hAnsi="Times New Roman"/>
          <w:sz w:val="17"/>
          <w:szCs w:val="17"/>
          <w:color w:val="auto"/>
        </w:rPr>
        <w:t>” shall mean disclosure in a press release reported by a national news service or in a document publicly filed by the Corporation with the Securities and Exchange Commission pursuant to Sections 13, 14 or 15(d) of the Exchange Act.</w:t>
      </w:r>
    </w:p>
    <w:p>
      <w:pPr>
        <w:spacing w:after="0" w:line="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2.5 </w:t>
      </w:r>
      <w:r>
        <w:rPr>
          <w:rFonts w:ascii="Times New Roman" w:cs="Times New Roman" w:eastAsia="Times New Roman" w:hAnsi="Times New Roman"/>
          <w:sz w:val="17"/>
          <w:szCs w:val="17"/>
          <w:u w:val="single" w:color="auto"/>
          <w:color w:val="auto"/>
        </w:rPr>
        <w:t>Notice of Nominations for Election to the Board of Directors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jc w:val="both"/>
        <w:ind w:right="460" w:firstLine="408"/>
        <w:spacing w:after="0" w:line="267" w:lineRule="auto"/>
        <w:tabs>
          <w:tab w:leader="none" w:pos="648"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Nominations of any person for election to the Board of Directors at an annual meeting or at a special meeting (but only if the election of directors is a matter specified in the notice of meeting given by or at the direction of the person calling such special meeting) may be made at such meeting only (i) by or at the direction of the Board of Directors, including by any committee or persons authorized to do so by the Board of</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420"/>
          </w:cols>
          <w:pgMar w:left="740" w:top="264" w:right="739" w:bottom="1440" w:gutter="0" w:footer="0" w:header="0"/>
        </w:sectPr>
      </w:pPr>
    </w:p>
    <w:bookmarkStart w:id="344" w:name="page345"/>
    <w:bookmarkEnd w:id="344"/>
    <w:p>
      <w:pPr>
        <w:ind w:left="9"/>
        <w:spacing w:after="0" w:line="25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Directors or these Bylaws, or (ii) by a stockholder present in person who (A) was a record owner of shares of the Corporation both at the time of giving the notice provided for in this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and at the time of the meeting, (B) is entitled to vote at the meeting, and (C) has complied with this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as to such notice and nomination. For purposes of this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“present in person” shall mean that the stockholder nominating any person for election to the Board of Directors at the meeting of the Corporation, or a qualified representative of such stockholder, appear at such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The foregoing clause (ii) shall be the exclusive means for a stockholder to make any nomination of a person or persons for election to the Board of Directors at an annual meeting or special meeting.</w:t>
      </w:r>
    </w:p>
    <w:p>
      <w:pPr>
        <w:spacing w:after="0" w:line="73" w:lineRule="exact"/>
        <w:rPr>
          <w:sz w:val="20"/>
          <w:szCs w:val="20"/>
          <w:color w:val="auto"/>
        </w:rPr>
      </w:pPr>
    </w:p>
    <w:p>
      <w:pPr>
        <w:ind w:left="9" w:firstLine="408"/>
        <w:spacing w:after="0" w:line="259" w:lineRule="auto"/>
        <w:tabs>
          <w:tab w:leader="none" w:pos="667"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Without qualification, for a stockholder to make any nomination of a person or persons for election to the Board of Directors at an annual meeting, the stockholder must (1) provide Timely Notice (as defined in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thereof in writing and in proper form to the Secretary of the Corporation, (2) provide the information, agreements and questionnaires with respect to such stockholder and its candidate for nomination as required to be set forth by this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and (3) provide any updates or supplements to such notice at the times and in the forms required by this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w:t>
      </w:r>
    </w:p>
    <w:p>
      <w:pPr>
        <w:spacing w:after="0" w:line="70" w:lineRule="exact"/>
        <w:rPr>
          <w:sz w:val="20"/>
          <w:szCs w:val="20"/>
          <w:color w:val="auto"/>
        </w:rPr>
      </w:pPr>
    </w:p>
    <w:p>
      <w:pPr>
        <w:ind w:left="9" w:right="40" w:firstLine="408"/>
        <w:spacing w:after="0" w:line="229" w:lineRule="auto"/>
        <w:tabs>
          <w:tab w:leader="none" w:pos="677" w:val="left"/>
        </w:tabs>
        <w:numPr>
          <w:ilvl w:val="1"/>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qualification, if the election of directors is a matter specified in the notice of meeting given by or at the direction of the person calling a special meeting, then for a stockholder to make any nomination of a person or persons for election to the Board of Directors at a special meeting, the stockholder must (i) provide timely notice thereof in writing and in proper form to the Secretary of the Corporation at the principal executive offices of the Corporation, (ii) provide the information with respect to such stockholder and its candidate for nomination as required by this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and (iii) provide any updates or supplements to such notice at the times and in the forms required by this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To be timely, a stockholder’s notice for nominations to be made at a special meeting must be delivered to, or mailed and received at, the principal executive offices of the Corporation not earlier than the one hundred twentieth (120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day prior to such special meeting and not later than the ninetieth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day prior to such special meeting or, if later, the tenth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following the day on which public disclosure (as defined in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of the date of such special meeting was first made.</w:t>
      </w:r>
    </w:p>
    <w:p>
      <w:pPr>
        <w:spacing w:after="0" w:line="87" w:lineRule="exact"/>
        <w:rPr>
          <w:rFonts w:ascii="Times New Roman" w:cs="Times New Roman" w:eastAsia="Times New Roman" w:hAnsi="Times New Roman"/>
          <w:sz w:val="17"/>
          <w:szCs w:val="17"/>
          <w:color w:val="auto"/>
        </w:rPr>
      </w:pPr>
    </w:p>
    <w:p>
      <w:pPr>
        <w:ind w:left="9" w:right="180" w:firstLine="408"/>
        <w:spacing w:after="0" w:line="283" w:lineRule="auto"/>
        <w:tabs>
          <w:tab w:leader="none" w:pos="724" w:val="left"/>
        </w:tabs>
        <w:numPr>
          <w:ilvl w:val="1"/>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 event shall any adjournment or postponement of an annual meeting or special meeting or the announcement thereof commence a new time period for the giving of a stockholder’s notice as described above.</w:t>
      </w:r>
    </w:p>
    <w:p>
      <w:pPr>
        <w:spacing w:after="0" w:line="50" w:lineRule="exact"/>
        <w:rPr>
          <w:rFonts w:ascii="Times New Roman" w:cs="Times New Roman" w:eastAsia="Times New Roman" w:hAnsi="Times New Roman"/>
          <w:sz w:val="17"/>
          <w:szCs w:val="17"/>
          <w:color w:val="auto"/>
        </w:rPr>
      </w:pPr>
    </w:p>
    <w:p>
      <w:pPr>
        <w:jc w:val="both"/>
        <w:ind w:left="9" w:right="280" w:firstLine="408"/>
        <w:spacing w:after="0" w:line="274" w:lineRule="auto"/>
        <w:tabs>
          <w:tab w:leader="none" w:pos="714" w:val="left"/>
        </w:tabs>
        <w:numPr>
          <w:ilvl w:val="1"/>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no event may a Nominating Person provide Timely Notice with respect to a greater number of director candidates than are subject to election by shareholders at the applicable meeting. If the Corporation shall, subsequent to such notice, increase the number of directors subject to election at the meeting, such notice as to any additional nominees shall be due on the later of (i) the conclusion of the time period for Timely Notice,</w:t>
      </w:r>
    </w:p>
    <w:p>
      <w:pPr>
        <w:ind w:left="249" w:hanging="249"/>
        <w:spacing w:after="0"/>
        <w:tabs>
          <w:tab w:leader="none" w:pos="249"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date set forth in </w:t>
      </w:r>
      <w:r>
        <w:rPr>
          <w:rFonts w:ascii="Times New Roman" w:cs="Times New Roman" w:eastAsia="Times New Roman" w:hAnsi="Times New Roman"/>
          <w:sz w:val="17"/>
          <w:szCs w:val="17"/>
          <w:u w:val="single" w:color="auto"/>
          <w:color w:val="auto"/>
        </w:rPr>
        <w:t>Section 2.5(b)(ii)</w:t>
      </w:r>
      <w:r>
        <w:rPr>
          <w:rFonts w:ascii="Times New Roman" w:cs="Times New Roman" w:eastAsia="Times New Roman" w:hAnsi="Times New Roman"/>
          <w:sz w:val="17"/>
          <w:szCs w:val="17"/>
          <w:color w:val="auto"/>
        </w:rPr>
        <w:t xml:space="preserve"> or (iii) the tenth day following the date of public disclosure (as defined in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of such increase.</w:t>
      </w:r>
    </w:p>
    <w:p>
      <w:pPr>
        <w:spacing w:after="0" w:line="94" w:lineRule="exact"/>
        <w:rPr>
          <w:sz w:val="20"/>
          <w:szCs w:val="20"/>
          <w:color w:val="auto"/>
        </w:rPr>
      </w:pPr>
    </w:p>
    <w:p>
      <w:pPr>
        <w:ind w:left="5169" w:right="2440" w:hanging="4752"/>
        <w:spacing w:after="0" w:line="455" w:lineRule="auto"/>
        <w:tabs>
          <w:tab w:leader="none" w:pos="647"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be in proper form for purposes of this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a stockholder’s notice to the Secretary shall set forth: 6</w:t>
      </w:r>
    </w:p>
    <w:p>
      <w:pPr>
        <w:sectPr>
          <w:pgSz w:w="11900" w:h="16838" w:orient="portrait"/>
          <w:cols w:equalWidth="0" w:num="1">
            <w:col w:w="10389"/>
          </w:cols>
          <w:pgMar w:left="731" w:top="264" w:right="779" w:bottom="1440" w:gutter="0" w:footer="0" w:header="0"/>
        </w:sectPr>
      </w:pPr>
    </w:p>
    <w:bookmarkStart w:id="345" w:name="page346"/>
    <w:bookmarkEnd w:id="345"/>
    <w:p>
      <w:pPr>
        <w:ind w:left="400" w:right="60" w:firstLine="408"/>
        <w:spacing w:after="0" w:line="283" w:lineRule="auto"/>
        <w:tabs>
          <w:tab w:leader="none" w:pos="1003" w:val="left"/>
        </w:tabs>
        <w:numPr>
          <w:ilvl w:val="1"/>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As to each Nominating Person (as defined below), the Stockholder Information (as defined in </w:t>
      </w:r>
      <w:r>
        <w:rPr>
          <w:rFonts w:ascii="Times New Roman" w:cs="Times New Roman" w:eastAsia="Times New Roman" w:hAnsi="Times New Roman"/>
          <w:sz w:val="17"/>
          <w:szCs w:val="17"/>
          <w:u w:val="single" w:color="auto"/>
          <w:color w:val="auto"/>
        </w:rPr>
        <w:t>Section 2.4(c)(i)</w:t>
      </w:r>
      <w:r>
        <w:rPr>
          <w:rFonts w:ascii="Times New Roman" w:cs="Times New Roman" w:eastAsia="Times New Roman" w:hAnsi="Times New Roman"/>
          <w:sz w:val="17"/>
          <w:szCs w:val="17"/>
          <w:color w:val="auto"/>
        </w:rPr>
        <w:t xml:space="preserve">, except that for purposes of this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the term “Nominating Person” shall be substituted for the term “Proposing Person” in all places it appears in </w:t>
      </w:r>
      <w:r>
        <w:rPr>
          <w:rFonts w:ascii="Times New Roman" w:cs="Times New Roman" w:eastAsia="Times New Roman" w:hAnsi="Times New Roman"/>
          <w:sz w:val="17"/>
          <w:szCs w:val="17"/>
          <w:u w:val="single" w:color="auto"/>
          <w:color w:val="auto"/>
        </w:rPr>
        <w:t>Section 2.4(c)(i)</w:t>
      </w:r>
      <w:r>
        <w:rPr>
          <w:rFonts w:ascii="Times New Roman" w:cs="Times New Roman" w:eastAsia="Times New Roman" w:hAnsi="Times New Roman"/>
          <w:sz w:val="17"/>
          <w:szCs w:val="17"/>
          <w:color w:val="auto"/>
        </w:rPr>
        <w:t>);</w:t>
      </w:r>
    </w:p>
    <w:p>
      <w:pPr>
        <w:spacing w:after="0" w:line="50" w:lineRule="exact"/>
        <w:rPr>
          <w:rFonts w:ascii="Times New Roman" w:cs="Times New Roman" w:eastAsia="Times New Roman" w:hAnsi="Times New Roman"/>
          <w:sz w:val="17"/>
          <w:szCs w:val="17"/>
          <w:color w:val="auto"/>
        </w:rPr>
      </w:pPr>
    </w:p>
    <w:p>
      <w:pPr>
        <w:ind w:left="400" w:right="20" w:firstLine="408"/>
        <w:spacing w:after="0" w:line="256" w:lineRule="auto"/>
        <w:tabs>
          <w:tab w:leader="none" w:pos="1051" w:val="left"/>
        </w:tabs>
        <w:numPr>
          <w:ilvl w:val="1"/>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to each Nominating Person, any Disclosable Interests (as defined in </w:t>
      </w:r>
      <w:r>
        <w:rPr>
          <w:rFonts w:ascii="Times New Roman" w:cs="Times New Roman" w:eastAsia="Times New Roman" w:hAnsi="Times New Roman"/>
          <w:sz w:val="17"/>
          <w:szCs w:val="17"/>
          <w:u w:val="single" w:color="auto"/>
          <w:color w:val="auto"/>
        </w:rPr>
        <w:t>Section 2.4(c)(ii)</w:t>
      </w:r>
      <w:r>
        <w:rPr>
          <w:rFonts w:ascii="Times New Roman" w:cs="Times New Roman" w:eastAsia="Times New Roman" w:hAnsi="Times New Roman"/>
          <w:sz w:val="17"/>
          <w:szCs w:val="17"/>
          <w:color w:val="auto"/>
        </w:rPr>
        <w:t xml:space="preserve">, except that for purposes of this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the term “Nominating Person” shall be substituted for the term “Proposing Person” in all places it appears in </w:t>
      </w:r>
      <w:r>
        <w:rPr>
          <w:rFonts w:ascii="Times New Roman" w:cs="Times New Roman" w:eastAsia="Times New Roman" w:hAnsi="Times New Roman"/>
          <w:sz w:val="17"/>
          <w:szCs w:val="17"/>
          <w:u w:val="single" w:color="auto"/>
          <w:color w:val="auto"/>
        </w:rPr>
        <w:t>Section 2.4(c)(ii)</w:t>
      </w:r>
      <w:r>
        <w:rPr>
          <w:rFonts w:ascii="Times New Roman" w:cs="Times New Roman" w:eastAsia="Times New Roman" w:hAnsi="Times New Roman"/>
          <w:sz w:val="17"/>
          <w:szCs w:val="17"/>
          <w:color w:val="auto"/>
        </w:rPr>
        <w:t xml:space="preserve"> and the disclosure with respect to the business to be brought before the meeting in </w:t>
      </w:r>
      <w:r>
        <w:rPr>
          <w:rFonts w:ascii="Times New Roman" w:cs="Times New Roman" w:eastAsia="Times New Roman" w:hAnsi="Times New Roman"/>
          <w:sz w:val="17"/>
          <w:szCs w:val="17"/>
          <w:u w:val="single" w:color="auto"/>
          <w:color w:val="auto"/>
        </w:rPr>
        <w:t>Section 2.4(c)(ii)</w:t>
      </w:r>
      <w:r>
        <w:rPr>
          <w:rFonts w:ascii="Times New Roman" w:cs="Times New Roman" w:eastAsia="Times New Roman" w:hAnsi="Times New Roman"/>
          <w:sz w:val="17"/>
          <w:szCs w:val="17"/>
          <w:color w:val="auto"/>
        </w:rPr>
        <w:t xml:space="preserve"> shall be made with respect to the election of directors at the meeting); and provided that, in lieu of including the information set forth in </w:t>
      </w:r>
      <w:r>
        <w:rPr>
          <w:rFonts w:ascii="Times New Roman" w:cs="Times New Roman" w:eastAsia="Times New Roman" w:hAnsi="Times New Roman"/>
          <w:sz w:val="17"/>
          <w:szCs w:val="17"/>
          <w:u w:val="single" w:color="auto"/>
          <w:color w:val="auto"/>
        </w:rPr>
        <w:t>Section 2.4(c)(ii)(F)</w:t>
      </w:r>
      <w:r>
        <w:rPr>
          <w:rFonts w:ascii="Times New Roman" w:cs="Times New Roman" w:eastAsia="Times New Roman" w:hAnsi="Times New Roman"/>
          <w:sz w:val="17"/>
          <w:szCs w:val="17"/>
          <w:color w:val="auto"/>
        </w:rPr>
        <w:t xml:space="preserve">, the Nominating Person’s notice for purposes of this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shall include a representation as to whether the Nominating Person intends or is part of a group which intends to deliver a proxy statement and solicit the holders of shares representing at least 67% of the voting power of shares entitled to vote on the election of directors in support of director nominees other than the Corporation’s nominees in accordance with Rule 14a-19 promulgated under the Exchange Act; and</w:t>
      </w:r>
    </w:p>
    <w:p>
      <w:pPr>
        <w:spacing w:after="0" w:line="73" w:lineRule="exact"/>
        <w:rPr>
          <w:rFonts w:ascii="Times New Roman" w:cs="Times New Roman" w:eastAsia="Times New Roman" w:hAnsi="Times New Roman"/>
          <w:sz w:val="17"/>
          <w:szCs w:val="17"/>
          <w:color w:val="auto"/>
        </w:rPr>
      </w:pPr>
    </w:p>
    <w:p>
      <w:pPr>
        <w:ind w:left="400" w:right="20" w:firstLine="408"/>
        <w:spacing w:after="0" w:line="253" w:lineRule="auto"/>
        <w:tabs>
          <w:tab w:leader="none" w:pos="1098" w:val="left"/>
        </w:tabs>
        <w:numPr>
          <w:ilvl w:val="1"/>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each candidate whom a Nominating Person proposes to nominate for election as a director, (A)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a proxy statement and accompanying proxy card relating to the Corporation’s next meeting of shareholders at which directors are to be elected and to serving as a director for a full term if elected), (B) a description of any direct or indirect material interest in any material contract or agreement between or among any Nominating Person, on the one hand, and each candidate for nomination or his or her respective associates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w:t>
      </w:r>
    </w:p>
    <w:p>
      <w:pPr>
        <w:spacing w:after="0" w:line="2" w:lineRule="exact"/>
        <w:rPr>
          <w:rFonts w:ascii="Times New Roman" w:cs="Times New Roman" w:eastAsia="Times New Roman" w:hAnsi="Times New Roman"/>
          <w:sz w:val="17"/>
          <w:szCs w:val="17"/>
          <w:color w:val="auto"/>
        </w:rPr>
      </w:pPr>
    </w:p>
    <w:p>
      <w:pPr>
        <w:ind w:left="400" w:right="140" w:firstLine="8"/>
        <w:spacing w:after="0" w:line="261" w:lineRule="auto"/>
        <w:tabs>
          <w:tab w:leader="none" w:pos="679"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(B) are referred to as “</w:t>
      </w:r>
      <w:r>
        <w:rPr>
          <w:rFonts w:ascii="Times New Roman" w:cs="Times New Roman" w:eastAsia="Times New Roman" w:hAnsi="Times New Roman"/>
          <w:sz w:val="17"/>
          <w:szCs w:val="17"/>
          <w:u w:val="single" w:color="auto"/>
          <w:color w:val="auto"/>
        </w:rPr>
        <w:t>Nominee Information</w:t>
      </w:r>
      <w:r>
        <w:rPr>
          <w:rFonts w:ascii="Times New Roman" w:cs="Times New Roman" w:eastAsia="Times New Roman" w:hAnsi="Times New Roman"/>
          <w:sz w:val="17"/>
          <w:szCs w:val="17"/>
          <w:color w:val="auto"/>
        </w:rPr>
        <w:t xml:space="preserve">”), and (C) a completed and signed questionnaire, representation and agreement as provided in </w:t>
      </w:r>
      <w:r>
        <w:rPr>
          <w:rFonts w:ascii="Times New Roman" w:cs="Times New Roman" w:eastAsia="Times New Roman" w:hAnsi="Times New Roman"/>
          <w:sz w:val="17"/>
          <w:szCs w:val="17"/>
          <w:u w:val="single" w:color="auto"/>
          <w:color w:val="auto"/>
        </w:rPr>
        <w:t>Section 2.6(a).</w:t>
      </w:r>
    </w:p>
    <w:p>
      <w:pPr>
        <w:spacing w:after="0" w:line="17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 xml:space="preserve">For purposes of this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the term “</w:t>
      </w:r>
      <w:r>
        <w:rPr>
          <w:rFonts w:ascii="Times New Roman" w:cs="Times New Roman" w:eastAsia="Times New Roman" w:hAnsi="Times New Roman"/>
          <w:sz w:val="17"/>
          <w:szCs w:val="17"/>
          <w:u w:val="single" w:color="auto"/>
          <w:color w:val="auto"/>
        </w:rPr>
        <w:t>Nominating Person</w:t>
      </w:r>
      <w:r>
        <w:rPr>
          <w:rFonts w:ascii="Times New Roman" w:cs="Times New Roman" w:eastAsia="Times New Roman" w:hAnsi="Times New Roman"/>
          <w:sz w:val="17"/>
          <w:szCs w:val="17"/>
          <w:color w:val="auto"/>
        </w:rPr>
        <w:t>” shall mean (i) the stockholder providing the notice of the nomination proposed to be made at the meeting, (ii) the beneficial owner or beneficial owners, if different, on whose behalf the notice of the nomination proposed to be made at the meeting is made, and (iii) any participant (as defined in paragraphs (a)(ii)-(vi) of Instruction 3 to Item 4 of Schedule 14A) with such stockholder in such solicitation.</w:t>
      </w:r>
    </w:p>
    <w:p>
      <w:pPr>
        <w:spacing w:after="0" w:line="70" w:lineRule="exact"/>
        <w:rPr>
          <w:sz w:val="20"/>
          <w:szCs w:val="20"/>
          <w:color w:val="auto"/>
        </w:rPr>
      </w:pPr>
    </w:p>
    <w:p>
      <w:pPr>
        <w:ind w:right="160" w:firstLine="408"/>
        <w:spacing w:after="0" w:line="267" w:lineRule="auto"/>
        <w:tabs>
          <w:tab w:leader="none" w:pos="658"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may request that any Nominating Person furnish such additional information as may be reasonably required by the Board of Directors. Such Nominating Person shall provide such additional information within ten (10) days after it has been requested by the Board of Directors.</w:t>
      </w:r>
    </w:p>
    <w:p>
      <w:pPr>
        <w:spacing w:after="0" w:line="63" w:lineRule="exact"/>
        <w:rPr>
          <w:rFonts w:ascii="Times New Roman" w:cs="Times New Roman" w:eastAsia="Times New Roman" w:hAnsi="Times New Roman"/>
          <w:sz w:val="17"/>
          <w:szCs w:val="17"/>
          <w:color w:val="auto"/>
        </w:rPr>
      </w:pPr>
    </w:p>
    <w:p>
      <w:pPr>
        <w:ind w:firstLine="408"/>
        <w:spacing w:after="0" w:line="259" w:lineRule="auto"/>
        <w:tabs>
          <w:tab w:leader="none" w:pos="648"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stockholder providing notice of any nomination proposed to be made at a meeting shall further update and supplement such notice, if necessary, so that the information provided or required to be provided in such notice pursuant to this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400"/>
          </w:cols>
          <w:pgMar w:left="740" w:top="264" w:right="759" w:bottom="1440" w:gutter="0" w:footer="0" w:header="0"/>
        </w:sectPr>
      </w:pPr>
    </w:p>
    <w:bookmarkStart w:id="346" w:name="page347"/>
    <w:bookmarkEnd w:id="346"/>
    <w:p>
      <w:pPr>
        <w:ind w:right="80"/>
        <w:spacing w:after="0" w:line="25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nomination.</w:t>
      </w:r>
    </w:p>
    <w:p>
      <w:pPr>
        <w:spacing w:after="0" w:line="74" w:lineRule="exact"/>
        <w:rPr>
          <w:sz w:val="20"/>
          <w:szCs w:val="20"/>
          <w:color w:val="auto"/>
        </w:rPr>
      </w:pPr>
    </w:p>
    <w:p>
      <w:pPr>
        <w:ind w:firstLine="408"/>
        <w:spacing w:after="0" w:line="253" w:lineRule="auto"/>
        <w:tabs>
          <w:tab w:leader="none" w:pos="630"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to the requirements of this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with respect to any nomination proposed to be made at a meeting, each Nominating Person shall comply with all applicable requirements of the Exchange Act with respect to any such nominations. Notwithstanding the foregoing provisions of this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unless otherwise required by law, (i) no Nominating Person shall solicit proxies in support of director nominees other than the Corporation’s nominees unless such Nominating Person has complied with Rule 14a-19 promulgated under the Exchange Act in connection with the solicitation of such proxies, including the provision to the Corporation of notices required thereunder in a timely manner and (ii) if any Nominating Person (1) provides notice pursuant to Rule 14a-19(b) promulgated under the Exchange Act and (2) subsequently fails to comply with the requirements of Rule 14a-19(a)(2) and Rule 14a-19(a)(3) promulgated under the Exchange Act, including the provision to the Corporation of notices required thereunder in a timely manner, or fails to timely provide reasonable evidence sufficient to satisfy the Corporation that such Nominating Person has met the requirements of Rule 14a-19(a)(3) promulgated under the Exchange Act in accordance with the following sentence, then the nomination of each such proposed nominee shall be disregarded, notwithstanding that the nominee is included as a nominee in the Corporation’s proxy statement, notice of meeting or other proxy materials for any annual meeting (or any supplement thereto) and notwithstanding that proxies or votes in respect of the election of such proposed nominees may have been received by the Corporation (which proxies and votes shall be disregarded). If any Nominating Person provides notice pursuant to Rule 14a-19(b) promulgated under the Exchange Act, such Nominating Person shall deliver to the Corporation, no later than seven (7) business days prior to the applicable meeting, reasonable evidence that it has met the requirements of Rule 14a-19(a)(3) promulgated under the Exchange Act.</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2.6 </w:t>
      </w:r>
      <w:r>
        <w:rPr>
          <w:rFonts w:ascii="Times New Roman" w:cs="Times New Roman" w:eastAsia="Times New Roman" w:hAnsi="Times New Roman"/>
          <w:sz w:val="17"/>
          <w:szCs w:val="17"/>
          <w:u w:val="single" w:color="auto"/>
          <w:color w:val="auto"/>
        </w:rPr>
        <w:t>Additional Requirements for Valid Nomination of Candidates to Serve as Director and, if Elected, to be Seated as Directors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right="20" w:firstLine="408"/>
        <w:spacing w:after="0" w:line="254" w:lineRule="auto"/>
        <w:tabs>
          <w:tab w:leader="none" w:pos="648"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be eligible to be a candidate for election as a director of the Corporation at an annual or special meeting, a candidate must be nominated in the manner prescribed in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and the candidate for nomination, whether nominated by the Board of Directors or by a stockholder of record, must have previously delivered (in accordance with the time period prescribed for delivery in a notice to such candidate given by or on behalf of the Board of Directors), to the Secretary at the principal executive offices of the Corporation, (i) a completed written questionnaire (in the form provided by the Corporation upon written request of any stockholder of record therefor) with respect to the background, qualifications, stock ownership and independence of such proposed nominee and (ii) a written representation and agreement (in the form provided by the Corporation upon written request of any stockholder of record therefor) that such candidate for nomination (A) is not and, if elected as a director during his or her term 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Times New Roman" w:cs="Times New Roman" w:eastAsia="Times New Roman" w:hAnsi="Times New Roman"/>
          <w:sz w:val="17"/>
          <w:szCs w:val="17"/>
          <w:u w:val="single" w:color="auto"/>
          <w:color w:val="auto"/>
        </w:rPr>
        <w:t>Voting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Commitment</w:t>
      </w:r>
      <w:r>
        <w:rPr>
          <w:rFonts w:ascii="Times New Roman" w:cs="Times New Roman" w:eastAsia="Times New Roman" w:hAnsi="Times New Roman"/>
          <w:sz w:val="17"/>
          <w:szCs w:val="17"/>
          <w:color w:val="auto"/>
        </w:rPr>
        <w:t>”) or (2) any Voting Commitment that could limit or interfere with such proposed nominee’s ability to comply, if elected as a director of the Corporation,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400"/>
          </w:cols>
          <w:pgMar w:left="740" w:top="263" w:right="759" w:bottom="1440" w:gutter="0" w:footer="0" w:header="0"/>
        </w:sectPr>
      </w:pPr>
    </w:p>
    <w:bookmarkStart w:id="347" w:name="page348"/>
    <w:bookmarkEnd w:id="347"/>
    <w:p>
      <w:pPr>
        <w:ind w:right="40"/>
        <w:spacing w:after="0" w:line="25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that has not been disclosed to the Corporation and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w:t>
      </w:r>
    </w:p>
    <w:p>
      <w:pPr>
        <w:spacing w:after="0" w:line="73" w:lineRule="exact"/>
        <w:rPr>
          <w:sz w:val="20"/>
          <w:szCs w:val="20"/>
          <w:color w:val="auto"/>
        </w:rPr>
      </w:pPr>
    </w:p>
    <w:p>
      <w:pPr>
        <w:ind w:right="100" w:firstLine="408"/>
        <w:spacing w:after="0" w:line="255" w:lineRule="auto"/>
        <w:tabs>
          <w:tab w:leader="none" w:pos="658"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may also require any proposed candidate for nomination as a Director to furnish such other information as may reasonably be requested by the Board of Directors in writing prior to the meeting of stockholders at which such candidate’s nomination is to be acted upon. Without limiting the generality of the foregoing, the Board of Directors may request such other information in order for the Board of Directors to determine the eligibility of such candidate for nomination to be an independent director of the Corporation or to comply with the Director qualification standards and additional selection criteria in accordance with the Corporation’s Corporate Governance Guidelines. Such other information shall be delivered to, or mailed and received by, the Secretary at the principal executive offices of the Corporation (or any other office specified by the Corporation in any public announcement) not later than five (5) business days after the request by the Board of Directors has been delivered to, or mailed and received by, the Nominating Person.</w:t>
      </w:r>
    </w:p>
    <w:p>
      <w:pPr>
        <w:spacing w:after="0" w:line="76" w:lineRule="exact"/>
        <w:rPr>
          <w:rFonts w:ascii="Times New Roman" w:cs="Times New Roman" w:eastAsia="Times New Roman" w:hAnsi="Times New Roman"/>
          <w:sz w:val="17"/>
          <w:szCs w:val="17"/>
          <w:color w:val="auto"/>
        </w:rPr>
      </w:pPr>
    </w:p>
    <w:p>
      <w:pPr>
        <w:ind w:firstLine="408"/>
        <w:spacing w:after="0" w:line="253" w:lineRule="auto"/>
        <w:tabs>
          <w:tab w:leader="none" w:pos="648"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candidate for nomination as a director shall further update and supplement the materials delivered pursuant to this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if necessary, so that the information provided or required to be provided pursuant to this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(or any other office specified by the Corporation in any public announcement)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proposal, including by changing or adding nominees, matters, business or resolutions proposed to be brought before a meeting of the stockholders.</w:t>
      </w:r>
    </w:p>
    <w:p>
      <w:pPr>
        <w:spacing w:after="0" w:line="80" w:lineRule="exact"/>
        <w:rPr>
          <w:rFonts w:ascii="Times New Roman" w:cs="Times New Roman" w:eastAsia="Times New Roman" w:hAnsi="Times New Roman"/>
          <w:sz w:val="17"/>
          <w:szCs w:val="17"/>
          <w:color w:val="auto"/>
        </w:rPr>
      </w:pPr>
    </w:p>
    <w:p>
      <w:pPr>
        <w:ind w:right="20" w:firstLine="408"/>
        <w:spacing w:after="0" w:line="257" w:lineRule="auto"/>
        <w:tabs>
          <w:tab w:leader="none" w:pos="658"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candidate shall be eligible for nomination as a director of the Corporation unless such candidate for nomination and the Nominating Person seeking to place such candidate’s name in nomination has complied with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and this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as applicable. The presiding officer at the meeting shall, if the facts warrant, determine that a nomination was not properly made in accordance with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and this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400"/>
          </w:cols>
          <w:pgMar w:left="740" w:top="264" w:right="759" w:bottom="1440" w:gutter="0" w:footer="0" w:header="0"/>
        </w:sectPr>
      </w:pPr>
    </w:p>
    <w:bookmarkStart w:id="348" w:name="page349"/>
    <w:bookmarkEnd w:id="348"/>
    <w:p>
      <w:pPr>
        <w:ind w:right="580" w:firstLine="408"/>
        <w:spacing w:after="0" w:line="283" w:lineRule="auto"/>
        <w:tabs>
          <w:tab w:leader="none" w:pos="648"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Notwithstanding anything in these Bylaws to the contrary, no candidate for nomination shall be eligible to be seated as a director of the Corporation unless nominated and elected in accordance with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and this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w:t>
      </w:r>
    </w:p>
    <w:p>
      <w:pPr>
        <w:spacing w:after="0" w:line="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2.7 </w:t>
      </w:r>
      <w:r>
        <w:rPr>
          <w:rFonts w:ascii="Times New Roman" w:cs="Times New Roman" w:eastAsia="Times New Roman" w:hAnsi="Times New Roman"/>
          <w:sz w:val="17"/>
          <w:szCs w:val="17"/>
          <w:u w:val="single" w:color="auto"/>
          <w:color w:val="auto"/>
        </w:rPr>
        <w:t>Notice of Stockholders’ Meetings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right="140" w:firstLine="417"/>
        <w:spacing w:after="0" w:line="259" w:lineRule="auto"/>
        <w:rPr>
          <w:sz w:val="20"/>
          <w:szCs w:val="20"/>
          <w:color w:val="auto"/>
        </w:rPr>
      </w:pPr>
      <w:r>
        <w:rPr>
          <w:rFonts w:ascii="Times New Roman" w:cs="Times New Roman" w:eastAsia="Times New Roman" w:hAnsi="Times New Roman"/>
          <w:sz w:val="17"/>
          <w:szCs w:val="17"/>
          <w:color w:val="auto"/>
        </w:rPr>
        <w:t xml:space="preserve">Unless otherwise provided by law, the Certificate of Incorporation or these Bylaws, the notice of any meeting of stockholders shall be sent or otherwise given in accordance with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xml:space="preserve"> of these Bylaws not less than ten (10) nor more than sixty (60) days before the date of the meeting to each stockholder entitled to vote at such meeting. The notice shall specify the place, if any, date and time of the meeting, the means of remote communication, if any, by which stockholders and proxy holders may be deemed to be present in person and vote at such meeting, and, in the case of a special meeting, the purpose or purposes for which the meeting is called.</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2.8 </w:t>
      </w:r>
      <w:r>
        <w:rPr>
          <w:rFonts w:ascii="Times New Roman" w:cs="Times New Roman" w:eastAsia="Times New Roman" w:hAnsi="Times New Roman"/>
          <w:sz w:val="17"/>
          <w:szCs w:val="17"/>
          <w:u w:val="single" w:color="auto"/>
          <w:color w:val="auto"/>
        </w:rPr>
        <w:t>Quorum</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firstLine="417"/>
        <w:spacing w:after="0" w:line="255" w:lineRule="auto"/>
        <w:rPr>
          <w:sz w:val="20"/>
          <w:szCs w:val="20"/>
          <w:color w:val="auto"/>
        </w:rPr>
      </w:pPr>
      <w:r>
        <w:rPr>
          <w:rFonts w:ascii="Times New Roman" w:cs="Times New Roman" w:eastAsia="Times New Roman" w:hAnsi="Times New Roman"/>
          <w:sz w:val="17"/>
          <w:szCs w:val="17"/>
          <w:color w:val="auto"/>
        </w:rPr>
        <w:t xml:space="preserve">Unless otherwise provided by law, the Certificate of Incorporation or these Bylaws, the holders of a majority in voting power of the stock issued and outstanding and entitled to vote, present in person, or by remote communication, if applicable, or represented by proxy, shall constitute a quorum for the transaction of business at all meetings of the stockholders. A quorum, once established at a meeting, shall not be broken by the withdrawal of enough votes to leave less than a quorum. If, however, a quorum is not present or represented at any meeting of the stockholders, then either (i) the person presiding over the meeting or (ii) a majority in voting power of the stockholders entitled to vote at the meeting, present in person, or by remote communication, if applicable, or represented by proxy, shall have power to recess the meeting or adjourn the meeting from time to time in the manner provided in </w:t>
      </w:r>
      <w:r>
        <w:rPr>
          <w:rFonts w:ascii="Times New Roman" w:cs="Times New Roman" w:eastAsia="Times New Roman" w:hAnsi="Times New Roman"/>
          <w:sz w:val="17"/>
          <w:szCs w:val="17"/>
          <w:u w:val="single" w:color="auto"/>
          <w:color w:val="auto"/>
        </w:rPr>
        <w:t>Section 2.9</w:t>
      </w:r>
      <w:r>
        <w:rPr>
          <w:rFonts w:ascii="Times New Roman" w:cs="Times New Roman" w:eastAsia="Times New Roman" w:hAnsi="Times New Roman"/>
          <w:sz w:val="17"/>
          <w:szCs w:val="17"/>
          <w:color w:val="auto"/>
        </w:rPr>
        <w:t xml:space="preserve"> of these Bylaws until a quorum is present or represented. At any recessed or adjourned meeting at which a quorum is present or represented, any business may be transacted that might have been transacted at the meeting as originally noticed.</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2.9 </w:t>
      </w:r>
      <w:r>
        <w:rPr>
          <w:rFonts w:ascii="Times New Roman" w:cs="Times New Roman" w:eastAsia="Times New Roman" w:hAnsi="Times New Roman"/>
          <w:sz w:val="17"/>
          <w:szCs w:val="17"/>
          <w:u w:val="single" w:color="auto"/>
          <w:color w:val="auto"/>
        </w:rPr>
        <w:t>Adjourned Meeting; Notice</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right="20" w:firstLine="417"/>
        <w:spacing w:after="0" w:line="255" w:lineRule="auto"/>
        <w:rPr>
          <w:sz w:val="20"/>
          <w:szCs w:val="20"/>
          <w:color w:val="auto"/>
        </w:rPr>
      </w:pPr>
      <w:r>
        <w:rPr>
          <w:rFonts w:ascii="Times New Roman" w:cs="Times New Roman" w:eastAsia="Times New Roman" w:hAnsi="Times New Roman"/>
          <w:sz w:val="17"/>
          <w:szCs w:val="17"/>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or are provided in any other manner permitted by the DGCL . At any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meeting as of the record date so fixed for notice of such adjourned meeting.</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2.10 </w:t>
      </w:r>
      <w:r>
        <w:rPr>
          <w:rFonts w:ascii="Times New Roman" w:cs="Times New Roman" w:eastAsia="Times New Roman" w:hAnsi="Times New Roman"/>
          <w:sz w:val="17"/>
          <w:szCs w:val="17"/>
          <w:u w:val="single" w:color="auto"/>
          <w:color w:val="auto"/>
        </w:rPr>
        <w:t>Conduct of Business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right="40" w:firstLine="417"/>
        <w:spacing w:after="0" w:line="267" w:lineRule="auto"/>
        <w:rPr>
          <w:sz w:val="20"/>
          <w:szCs w:val="20"/>
          <w:color w:val="auto"/>
        </w:rPr>
      </w:pPr>
      <w:r>
        <w:rPr>
          <w:rFonts w:ascii="Times New Roman" w:cs="Times New Roman" w:eastAsia="Times New Roman" w:hAnsi="Times New Roman"/>
          <w:sz w:val="17"/>
          <w:szCs w:val="17"/>
          <w:color w:val="auto"/>
        </w:rPr>
        <w:t>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420"/>
          </w:cols>
          <w:pgMar w:left="740" w:top="264" w:right="739" w:bottom="1440" w:gutter="0" w:footer="0" w:header="0"/>
        </w:sectPr>
      </w:pPr>
    </w:p>
    <w:bookmarkStart w:id="349" w:name="page350"/>
    <w:bookmarkEnd w:id="349"/>
    <w:p>
      <w:pPr>
        <w:spacing w:after="0" w:line="25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person presiding over the meeting, may include, without limitation, the following: (i) the establishment of an agenda or order of business for the meeting; (ii) rules and procedures for maintaining order at the meeting and the safety of those present (including, without limitation, rules and procedures for removal of disruptive persons from the meeting); (iii) limitations on attendance at or participation in the meeting to stockholders entitled to vote at the meeting, their duly authorized and constituted proxies or such other persons as the person presiding over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of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2.11 </w:t>
      </w:r>
      <w:r>
        <w:rPr>
          <w:rFonts w:ascii="Times New Roman" w:cs="Times New Roman" w:eastAsia="Times New Roman" w:hAnsi="Times New Roman"/>
          <w:sz w:val="17"/>
          <w:szCs w:val="17"/>
          <w:u w:val="single" w:color="auto"/>
          <w:color w:val="auto"/>
        </w:rPr>
        <w:t>Voting</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Except as may be otherwise provided in the Certificate of Incorporation, these Bylaws or the DGCL, each stockholder shall be entitled to one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vote for each share of capital stock held by such stockholder.</w:t>
      </w:r>
    </w:p>
    <w:p>
      <w:pPr>
        <w:spacing w:after="0" w:line="94" w:lineRule="exact"/>
        <w:rPr>
          <w:sz w:val="20"/>
          <w:szCs w:val="20"/>
          <w:color w:val="auto"/>
        </w:rPr>
      </w:pPr>
    </w:p>
    <w:p>
      <w:pPr>
        <w:ind w:right="20" w:firstLine="417"/>
        <w:spacing w:after="0" w:line="257" w:lineRule="auto"/>
        <w:rPr>
          <w:sz w:val="20"/>
          <w:szCs w:val="20"/>
          <w:color w:val="auto"/>
        </w:rPr>
      </w:pPr>
      <w:r>
        <w:rPr>
          <w:rFonts w:ascii="Times New Roman" w:cs="Times New Roman" w:eastAsia="Times New Roman" w:hAnsi="Times New Roman"/>
          <w:sz w:val="17"/>
          <w:szCs w:val="17"/>
          <w:color w:val="auto"/>
        </w:rPr>
        <w:t>Except as otherwise provided by the Certificate of Incorporation, at all duly called or convened meetings of stockholders at which a quorum is present, for the election of directors, a plurality of the votes cast shall be sufficient to elect a director. Except as otherwise provided by the Certificate of Incorporation, these Bylaws, the rules or regulations of any stock exchange applicable to the Corporation, or applicable law or pursuant to any regulation applicable to the Corporation or its securities, each other matter presented to the stockholders at a duly called or convened meeting at which a quorum is present shall be decided by the affirmative vote of the holders of a majority in voting power of the votes cast (excluding abstentions and broker non-votes) on such matter.</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2.12 </w:t>
      </w:r>
      <w:r>
        <w:rPr>
          <w:rFonts w:ascii="Times New Roman" w:cs="Times New Roman" w:eastAsia="Times New Roman" w:hAnsi="Times New Roman"/>
          <w:sz w:val="17"/>
          <w:szCs w:val="17"/>
          <w:u w:val="single" w:color="auto"/>
          <w:color w:val="auto"/>
        </w:rPr>
        <w:t>Record Date for Stockholder Meetings and Other Purposes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firstLine="417"/>
        <w:spacing w:after="0" w:line="256" w:lineRule="auto"/>
        <w:rPr>
          <w:sz w:val="20"/>
          <w:szCs w:val="20"/>
          <w:color w:val="auto"/>
        </w:rPr>
      </w:pPr>
      <w:r>
        <w:rPr>
          <w:rFonts w:ascii="Times New Roman" w:cs="Times New Roman" w:eastAsia="Times New Roman" w:hAnsi="Times New Roman"/>
          <w:sz w:val="17"/>
          <w:szCs w:val="17"/>
          <w:color w:val="auto"/>
        </w:rPr>
        <w:t>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days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400"/>
          </w:cols>
          <w:pgMar w:left="740" w:top="264" w:right="759" w:bottom="1440" w:gutter="0" w:footer="0" w:header="0"/>
        </w:sectPr>
      </w:pPr>
    </w:p>
    <w:bookmarkStart w:id="350" w:name="page351"/>
    <w:bookmarkEnd w:id="350"/>
    <w:p>
      <w:pPr>
        <w:ind w:left="9" w:right="200"/>
        <w:spacing w:after="0" w:line="25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first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72" w:lineRule="exact"/>
        <w:rPr>
          <w:sz w:val="20"/>
          <w:szCs w:val="20"/>
          <w:color w:val="auto"/>
        </w:rPr>
      </w:pPr>
    </w:p>
    <w:p>
      <w:pPr>
        <w:ind w:left="9" w:right="100" w:firstLine="417"/>
        <w:spacing w:after="0" w:line="259" w:lineRule="auto"/>
        <w:rPr>
          <w:sz w:val="20"/>
          <w:szCs w:val="20"/>
          <w:color w:val="auto"/>
        </w:rPr>
      </w:pPr>
      <w:r>
        <w:rPr>
          <w:rFonts w:ascii="Times New Roman" w:cs="Times New Roman" w:eastAsia="Times New Roman" w:hAnsi="Times New Roman"/>
          <w:sz w:val="17"/>
          <w:szCs w:val="17"/>
          <w:color w:val="auto"/>
        </w:rPr>
        <w:t>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w:t>
      </w:r>
    </w:p>
    <w:p>
      <w:pPr>
        <w:spacing w:after="0" w:line="70" w:lineRule="exact"/>
        <w:rPr>
          <w:sz w:val="20"/>
          <w:szCs w:val="20"/>
          <w:color w:val="auto"/>
        </w:rPr>
      </w:pPr>
    </w:p>
    <w:p>
      <w:pPr>
        <w:ind w:left="409"/>
        <w:spacing w:after="0"/>
        <w:rPr>
          <w:sz w:val="20"/>
          <w:szCs w:val="20"/>
          <w:color w:val="auto"/>
        </w:rPr>
      </w:pPr>
      <w:r>
        <w:rPr>
          <w:rFonts w:ascii="Times New Roman" w:cs="Times New Roman" w:eastAsia="Times New Roman" w:hAnsi="Times New Roman"/>
          <w:sz w:val="17"/>
          <w:szCs w:val="17"/>
          <w:color w:val="auto"/>
        </w:rPr>
        <w:t xml:space="preserve">2.13 </w:t>
      </w:r>
      <w:r>
        <w:rPr>
          <w:rFonts w:ascii="Times New Roman" w:cs="Times New Roman" w:eastAsia="Times New Roman" w:hAnsi="Times New Roman"/>
          <w:sz w:val="17"/>
          <w:szCs w:val="17"/>
          <w:u w:val="single" w:color="auto"/>
          <w:color w:val="auto"/>
        </w:rPr>
        <w:t>Proxies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left="9" w:right="120" w:firstLine="417"/>
        <w:spacing w:after="0" w:line="258" w:lineRule="auto"/>
        <w:rPr>
          <w:sz w:val="20"/>
          <w:szCs w:val="20"/>
          <w:color w:val="auto"/>
        </w:rPr>
      </w:pPr>
      <w:r>
        <w:rPr>
          <w:rFonts w:ascii="Times New Roman" w:cs="Times New Roman" w:eastAsia="Times New Roman" w:hAnsi="Times New Roman"/>
          <w:sz w:val="17"/>
          <w:szCs w:val="17"/>
          <w:color w:val="auto"/>
        </w:rPr>
        <w:t>Each stockholder entitled to vote at a meeting of stockholders may authorize another person or persons to act for such stockholder by proxy authorized by an instrument in writing or by a transmission permitted by law, including Rule 14a-19 promulgated under the Securities Exchange Act of 1934, as amended, filed in accordance with the procedure established for the meeting, but no such proxy shall be voted or acted upon after three</w:t>
      </w:r>
    </w:p>
    <w:p>
      <w:pPr>
        <w:ind w:left="9" w:right="80" w:hanging="9"/>
        <w:spacing w:after="0" w:line="256" w:lineRule="auto"/>
        <w:tabs>
          <w:tab w:leader="none" w:pos="250"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years from its date, unless the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transmission was authorized by the stockholder.</w:t>
      </w:r>
    </w:p>
    <w:p>
      <w:pPr>
        <w:spacing w:after="0" w:line="175" w:lineRule="exact"/>
        <w:rPr>
          <w:sz w:val="20"/>
          <w:szCs w:val="20"/>
          <w:color w:val="auto"/>
        </w:rPr>
      </w:pPr>
    </w:p>
    <w:p>
      <w:pPr>
        <w:ind w:left="9" w:right="400" w:firstLine="417"/>
        <w:spacing w:after="0" w:line="283" w:lineRule="auto"/>
        <w:rPr>
          <w:sz w:val="20"/>
          <w:szCs w:val="20"/>
          <w:color w:val="auto"/>
        </w:rPr>
      </w:pPr>
      <w:r>
        <w:rPr>
          <w:rFonts w:ascii="Times New Roman" w:cs="Times New Roman" w:eastAsia="Times New Roman" w:hAnsi="Times New Roman"/>
          <w:sz w:val="17"/>
          <w:szCs w:val="17"/>
          <w:color w:val="auto"/>
        </w:rPr>
        <w:t>Any stockholder directly or indirectly soliciting proxies from other stockholders must use a proxy card color other than white, which shall be reserved for the exclusive use by the Board.</w:t>
      </w:r>
    </w:p>
    <w:p>
      <w:pPr>
        <w:spacing w:after="0" w:line="50" w:lineRule="exact"/>
        <w:rPr>
          <w:sz w:val="20"/>
          <w:szCs w:val="20"/>
          <w:color w:val="auto"/>
        </w:rPr>
      </w:pPr>
    </w:p>
    <w:p>
      <w:pPr>
        <w:ind w:left="409"/>
        <w:spacing w:after="0"/>
        <w:rPr>
          <w:sz w:val="20"/>
          <w:szCs w:val="20"/>
          <w:color w:val="auto"/>
        </w:rPr>
      </w:pPr>
      <w:r>
        <w:rPr>
          <w:rFonts w:ascii="Times New Roman" w:cs="Times New Roman" w:eastAsia="Times New Roman" w:hAnsi="Times New Roman"/>
          <w:sz w:val="17"/>
          <w:szCs w:val="17"/>
          <w:color w:val="auto"/>
        </w:rPr>
        <w:t xml:space="preserve">2.14 </w:t>
      </w:r>
      <w:r>
        <w:rPr>
          <w:rFonts w:ascii="Times New Roman" w:cs="Times New Roman" w:eastAsia="Times New Roman" w:hAnsi="Times New Roman"/>
          <w:sz w:val="17"/>
          <w:szCs w:val="17"/>
          <w:u w:val="single" w:color="auto"/>
          <w:color w:val="auto"/>
        </w:rPr>
        <w:t>List of Stockholders Entitled to Vote</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left="9" w:firstLine="417"/>
        <w:spacing w:after="0" w:line="253" w:lineRule="auto"/>
        <w:rPr>
          <w:sz w:val="20"/>
          <w:szCs w:val="20"/>
          <w:color w:val="auto"/>
        </w:rPr>
      </w:pPr>
      <w:r>
        <w:rPr>
          <w:rFonts w:ascii="Times New Roman" w:cs="Times New Roman" w:eastAsia="Times New Roman" w:hAnsi="Times New Roman"/>
          <w:sz w:val="17"/>
          <w:szCs w:val="17"/>
          <w:color w:val="auto"/>
        </w:rPr>
        <w:t xml:space="preserve">The Corporation shall prepare, no later than the tenth day before each meeting of stockholders, a complete list of the stockholders entitled to vote at the meeting (provided, however, that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ten (10) days ending on the day before the meeting date: (i) on a reasonably accessible electronic network, provided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 </w:t>
      </w:r>
      <w:r>
        <w:rPr>
          <w:rFonts w:ascii="Times New Roman" w:cs="Times New Roman" w:eastAsia="Times New Roman" w:hAnsi="Times New Roman"/>
          <w:sz w:val="17"/>
          <w:szCs w:val="17"/>
          <w:u w:val="single" w:color="auto"/>
          <w:color w:val="auto"/>
        </w:rPr>
        <w:t>Section 2.14</w:t>
      </w:r>
      <w:r>
        <w:rPr>
          <w:rFonts w:ascii="Times New Roman" w:cs="Times New Roman" w:eastAsia="Times New Roman" w:hAnsi="Times New Roman"/>
          <w:sz w:val="17"/>
          <w:szCs w:val="17"/>
          <w:color w:val="auto"/>
        </w:rPr>
        <w:t xml:space="preserve"> or to vote in person or by proxy at any meeting of stockholders.</w:t>
      </w:r>
    </w:p>
    <w:p>
      <w:pPr>
        <w:spacing w:after="0" w:line="12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429"/>
          </w:cols>
          <w:pgMar w:left="731" w:top="263" w:right="739" w:bottom="1440" w:gutter="0" w:footer="0" w:header="0"/>
        </w:sectPr>
      </w:pPr>
    </w:p>
    <w:bookmarkStart w:id="351" w:name="page352"/>
    <w:bookmarkEnd w:id="351"/>
    <w:p>
      <w:pPr>
        <w:ind w:left="4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2.15 </w:t>
      </w:r>
      <w:r>
        <w:rPr>
          <w:rFonts w:ascii="Times New Roman" w:cs="Times New Roman" w:eastAsia="Times New Roman" w:hAnsi="Times New Roman"/>
          <w:sz w:val="17"/>
          <w:szCs w:val="17"/>
          <w:u w:val="single" w:color="auto"/>
          <w:color w:val="auto"/>
        </w:rPr>
        <w:t>Inspectors of Election</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jc w:val="both"/>
        <w:ind w:right="140" w:firstLine="417"/>
        <w:spacing w:after="0" w:line="261" w:lineRule="auto"/>
        <w:rPr>
          <w:sz w:val="20"/>
          <w:szCs w:val="20"/>
          <w:color w:val="auto"/>
        </w:rPr>
      </w:pPr>
      <w:r>
        <w:rPr>
          <w:rFonts w:ascii="Times New Roman" w:cs="Times New Roman" w:eastAsia="Times New Roman" w:hAnsi="Times New Roman"/>
          <w:sz w:val="17"/>
          <w:szCs w:val="17"/>
          <w:color w:val="auto"/>
        </w:rPr>
        <w:t>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person presiding over the meeting shall appoint a person to fill that vacancy.</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Such inspectors shall:</w:t>
      </w:r>
    </w:p>
    <w:p>
      <w:pPr>
        <w:spacing w:after="0" w:line="111" w:lineRule="exact"/>
        <w:rPr>
          <w:sz w:val="20"/>
          <w:szCs w:val="20"/>
          <w:color w:val="auto"/>
        </w:rPr>
      </w:pPr>
    </w:p>
    <w:p>
      <w:pPr>
        <w:ind w:right="400" w:firstLine="929"/>
        <w:spacing w:after="0" w:line="283" w:lineRule="auto"/>
        <w:tabs>
          <w:tab w:leader="none" w:pos="1142"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number of shares outstanding and the voting power of each, the number of shares represented at the meeting and the validity of any proxies and ballots;</w:t>
      </w:r>
    </w:p>
    <w:p>
      <w:pPr>
        <w:spacing w:after="0" w:line="50" w:lineRule="exact"/>
        <w:rPr>
          <w:rFonts w:ascii="Times New Roman" w:cs="Times New Roman" w:eastAsia="Times New Roman" w:hAnsi="Times New Roman"/>
          <w:sz w:val="17"/>
          <w:szCs w:val="17"/>
          <w:color w:val="auto"/>
        </w:rPr>
      </w:pPr>
    </w:p>
    <w:p>
      <w:pPr>
        <w:ind w:left="1180" w:hanging="251"/>
        <w:spacing w:after="0"/>
        <w:tabs>
          <w:tab w:leader="none" w:pos="1180"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count all votes or ballots;</w:t>
      </w:r>
    </w:p>
    <w:p>
      <w:pPr>
        <w:spacing w:after="0" w:line="111" w:lineRule="exact"/>
        <w:rPr>
          <w:rFonts w:ascii="Times New Roman" w:cs="Times New Roman" w:eastAsia="Times New Roman" w:hAnsi="Times New Roman"/>
          <w:sz w:val="17"/>
          <w:szCs w:val="17"/>
          <w:color w:val="auto"/>
        </w:rPr>
      </w:pPr>
    </w:p>
    <w:p>
      <w:pPr>
        <w:ind w:left="1220" w:hanging="291"/>
        <w:spacing w:after="0"/>
        <w:tabs>
          <w:tab w:leader="none" w:pos="1220"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count and tabulate all votes;</w:t>
      </w:r>
    </w:p>
    <w:p>
      <w:pPr>
        <w:spacing w:after="0" w:line="111" w:lineRule="exact"/>
        <w:rPr>
          <w:rFonts w:ascii="Times New Roman" w:cs="Times New Roman" w:eastAsia="Times New Roman" w:hAnsi="Times New Roman"/>
          <w:sz w:val="17"/>
          <w:szCs w:val="17"/>
          <w:color w:val="auto"/>
        </w:rPr>
      </w:pPr>
    </w:p>
    <w:p>
      <w:pPr>
        <w:ind w:left="1220" w:hanging="291"/>
        <w:spacing w:after="0"/>
        <w:tabs>
          <w:tab w:leader="none" w:pos="1220"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and retain for a reasonable period a record of the disposition of any challenges made to any determination by the</w:t>
      </w:r>
    </w:p>
    <w:p>
      <w:pPr>
        <w:spacing w:after="0" w:line="2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inspector(s); and</w:t>
      </w:r>
    </w:p>
    <w:p>
      <w:pPr>
        <w:spacing w:after="0" w:line="93" w:lineRule="exact"/>
        <w:rPr>
          <w:rFonts w:ascii="Times New Roman" w:cs="Times New Roman" w:eastAsia="Times New Roman" w:hAnsi="Times New Roman"/>
          <w:sz w:val="17"/>
          <w:szCs w:val="17"/>
          <w:color w:val="auto"/>
        </w:rPr>
      </w:pPr>
    </w:p>
    <w:p>
      <w:pPr>
        <w:ind w:left="1180" w:hanging="251"/>
        <w:spacing w:after="0"/>
        <w:tabs>
          <w:tab w:leader="none" w:pos="1180"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certify its or their determination of the number of shares represented at the meeting and its or their count of all votes and ballots.</w:t>
      </w:r>
    </w:p>
    <w:p>
      <w:pPr>
        <w:spacing w:after="0" w:line="213" w:lineRule="exact"/>
        <w:rPr>
          <w:sz w:val="20"/>
          <w:szCs w:val="20"/>
          <w:color w:val="auto"/>
        </w:rPr>
      </w:pPr>
    </w:p>
    <w:p>
      <w:pPr>
        <w:ind w:right="320" w:firstLine="417"/>
        <w:spacing w:after="0" w:line="261" w:lineRule="auto"/>
        <w:rPr>
          <w:sz w:val="20"/>
          <w:szCs w:val="20"/>
          <w:color w:val="auto"/>
        </w:rPr>
      </w:pPr>
      <w:r>
        <w:rPr>
          <w:rFonts w:ascii="Times New Roman" w:cs="Times New Roman" w:eastAsia="Times New Roman" w:hAnsi="Times New Roman"/>
          <w:sz w:val="17"/>
          <w:szCs w:val="17"/>
          <w:color w:val="auto"/>
        </w:rPr>
        <w:t>Each inspector,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prima facie evidence of the facts stated therein. The inspectors of election may appoint such persons to assist them in performing their duties as they determine.</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2.16 </w:t>
      </w:r>
      <w:r>
        <w:rPr>
          <w:rFonts w:ascii="Times New Roman" w:cs="Times New Roman" w:eastAsia="Times New Roman" w:hAnsi="Times New Roman"/>
          <w:sz w:val="17"/>
          <w:szCs w:val="17"/>
          <w:u w:val="single" w:color="auto"/>
          <w:color w:val="auto"/>
        </w:rPr>
        <w:t>Delivery to the Corporation.</w:t>
      </w:r>
    </w:p>
    <w:p>
      <w:pPr>
        <w:spacing w:after="0" w:line="111" w:lineRule="exact"/>
        <w:rPr>
          <w:sz w:val="20"/>
          <w:szCs w:val="20"/>
          <w:color w:val="auto"/>
        </w:rPr>
      </w:pPr>
    </w:p>
    <w:p>
      <w:pPr>
        <w:ind w:firstLine="417"/>
        <w:spacing w:after="0" w:line="257" w:lineRule="auto"/>
        <w:rPr>
          <w:sz w:val="20"/>
          <w:szCs w:val="20"/>
          <w:color w:val="auto"/>
        </w:rPr>
      </w:pPr>
      <w:r>
        <w:rPr>
          <w:rFonts w:ascii="Times New Roman" w:cs="Times New Roman" w:eastAsia="Times New Roman" w:hAnsi="Times New Roman"/>
          <w:sz w:val="17"/>
          <w:szCs w:val="17"/>
          <w:color w:val="auto"/>
        </w:rPr>
        <w:t>Whenever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Article II.</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III - Directors</w:t>
      </w:r>
    </w:p>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Powers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right="80" w:firstLine="417"/>
        <w:spacing w:after="0" w:line="283" w:lineRule="auto"/>
        <w:rPr>
          <w:sz w:val="20"/>
          <w:szCs w:val="20"/>
          <w:color w:val="auto"/>
        </w:rPr>
      </w:pPr>
      <w:r>
        <w:rPr>
          <w:rFonts w:ascii="Times New Roman" w:cs="Times New Roman" w:eastAsia="Times New Roman" w:hAnsi="Times New Roman"/>
          <w:sz w:val="17"/>
          <w:szCs w:val="17"/>
          <w:color w:val="auto"/>
        </w:rPr>
        <w:t>Except as otherwise provided by the Certificate of Incorporation or the DGCL, the business and affairs of the Corporation shall be managed by or under the direction of the Board.</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420"/>
          </w:cols>
          <w:pgMar w:left="740" w:top="264" w:right="739" w:bottom="1440" w:gutter="0" w:footer="0" w:header="0"/>
        </w:sectPr>
      </w:pPr>
    </w:p>
    <w:bookmarkStart w:id="352" w:name="page353"/>
    <w:bookmarkEnd w:id="352"/>
    <w:p>
      <w:pPr>
        <w:ind w:left="4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3.2 </w:t>
      </w:r>
      <w:r>
        <w:rPr>
          <w:rFonts w:ascii="Times New Roman" w:cs="Times New Roman" w:eastAsia="Times New Roman" w:hAnsi="Times New Roman"/>
          <w:sz w:val="17"/>
          <w:szCs w:val="17"/>
          <w:u w:val="single" w:color="auto"/>
          <w:color w:val="auto"/>
        </w:rPr>
        <w:t>Number of Directors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right="20" w:firstLine="417"/>
        <w:spacing w:after="0" w:line="267" w:lineRule="auto"/>
        <w:rPr>
          <w:sz w:val="20"/>
          <w:szCs w:val="20"/>
          <w:color w:val="auto"/>
        </w:rPr>
      </w:pPr>
      <w:r>
        <w:rPr>
          <w:rFonts w:ascii="Times New Roman" w:cs="Times New Roman" w:eastAsia="Times New Roman" w:hAnsi="Times New Roman"/>
          <w:sz w:val="17"/>
          <w:szCs w:val="17"/>
          <w:color w:val="auto"/>
        </w:rPr>
        <w:t>Subject to the Certificate of Incorporation, the total number of directors constituting the Board shall be determined from time to time by resolution of the Board. No reduction of the authorized number of directors shall have the effect of removing any director before that director’s term of office expires.</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u w:val="single" w:color="auto"/>
          <w:color w:val="auto"/>
        </w:rPr>
        <w:t>Election, Qualification and Term of Office of Directors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right="80" w:firstLine="417"/>
        <w:spacing w:after="0" w:line="261" w:lineRule="auto"/>
        <w:rPr>
          <w:sz w:val="20"/>
          <w:szCs w:val="20"/>
          <w:color w:val="auto"/>
        </w:rPr>
      </w:pPr>
      <w:r>
        <w:rPr>
          <w:rFonts w:ascii="Times New Roman" w:cs="Times New Roman" w:eastAsia="Times New Roman" w:hAnsi="Times New Roman"/>
          <w:sz w:val="17"/>
          <w:szCs w:val="17"/>
          <w:color w:val="auto"/>
        </w:rPr>
        <w:t xml:space="preserve">Except as provided in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 xml:space="preserve"> of these Bylaws, and subject to the Certificate of Incorporation, each director, including a director elected to fill a vacancy or newly created directorship, shall hold office until the expiration of the term of the class, if any, for which elected and until such director’s successor is elected and qualified or until such director’s earlier death, resignation, disqualification or removal. Directors need not be stockholders. The Certificate of Incorporation or these Bylaws may prescribe qualifications for directors.</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3.4 </w:t>
      </w:r>
      <w:r>
        <w:rPr>
          <w:rFonts w:ascii="Times New Roman" w:cs="Times New Roman" w:eastAsia="Times New Roman" w:hAnsi="Times New Roman"/>
          <w:sz w:val="17"/>
          <w:szCs w:val="17"/>
          <w:u w:val="single" w:color="auto"/>
          <w:color w:val="auto"/>
        </w:rPr>
        <w:t>Resignation and Vacancies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firstLine="417"/>
        <w:spacing w:after="0" w:line="259" w:lineRule="auto"/>
        <w:rPr>
          <w:sz w:val="20"/>
          <w:szCs w:val="20"/>
          <w:color w:val="auto"/>
        </w:rPr>
      </w:pPr>
      <w:r>
        <w:rPr>
          <w:rFonts w:ascii="Times New Roman" w:cs="Times New Roman" w:eastAsia="Times New Roman" w:hAnsi="Times New Roman"/>
          <w:sz w:val="17"/>
          <w:szCs w:val="17"/>
          <w:color w:val="auto"/>
        </w:rPr>
        <w:t xml:space="preserve">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When one or more directors so resigns and the resignation is effective at a future date or upon the happening of an event to occur on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right="140" w:firstLine="417"/>
        <w:spacing w:after="0" w:line="267" w:lineRule="auto"/>
        <w:rPr>
          <w:sz w:val="20"/>
          <w:szCs w:val="20"/>
          <w:color w:val="auto"/>
        </w:rPr>
      </w:pPr>
      <w:r>
        <w:rPr>
          <w:rFonts w:ascii="Times New Roman" w:cs="Times New Roman" w:eastAsia="Times New Roman" w:hAnsi="Times New Roman"/>
          <w:sz w:val="17"/>
          <w:szCs w:val="17"/>
          <w:color w:val="auto"/>
        </w:rPr>
        <w:t>Unless otherwise provided in the Certificate of Incorporation or these Bylaws, vacancies resulting from the death, resignation, disqualification or removal of any director, and newly created directorships resulting from any increase in the authorized number of directors shall be filled only by a majority of the directors then in office, although less than a quorum, or by a sole remaining director.</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3.5 </w:t>
      </w:r>
      <w:r>
        <w:rPr>
          <w:rFonts w:ascii="Times New Roman" w:cs="Times New Roman" w:eastAsia="Times New Roman" w:hAnsi="Times New Roman"/>
          <w:sz w:val="17"/>
          <w:szCs w:val="17"/>
          <w:u w:val="single" w:color="auto"/>
          <w:color w:val="auto"/>
        </w:rPr>
        <w:t>Place of Meetings; Meetings by Telephone</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Board may hold meetings, both regular and special, either within or outside the State of Delaware.</w:t>
      </w:r>
    </w:p>
    <w:p>
      <w:pPr>
        <w:spacing w:after="0" w:line="213" w:lineRule="exact"/>
        <w:rPr>
          <w:sz w:val="20"/>
          <w:szCs w:val="20"/>
          <w:color w:val="auto"/>
        </w:rPr>
      </w:pPr>
    </w:p>
    <w:p>
      <w:pPr>
        <w:jc w:val="both"/>
        <w:ind w:right="20" w:firstLine="417"/>
        <w:spacing w:after="0" w:line="261" w:lineRule="auto"/>
        <w:rPr>
          <w:sz w:val="20"/>
          <w:szCs w:val="20"/>
          <w:color w:val="auto"/>
        </w:rPr>
      </w:pPr>
      <w:r>
        <w:rPr>
          <w:rFonts w:ascii="Times New Roman" w:cs="Times New Roman" w:eastAsia="Times New Roman" w:hAnsi="Times New Roman"/>
          <w:sz w:val="17"/>
          <w:szCs w:val="17"/>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3.6 </w:t>
      </w:r>
      <w:r>
        <w:rPr>
          <w:rFonts w:ascii="Times New Roman" w:cs="Times New Roman" w:eastAsia="Times New Roman" w:hAnsi="Times New Roman"/>
          <w:sz w:val="17"/>
          <w:szCs w:val="17"/>
          <w:u w:val="single" w:color="auto"/>
          <w:color w:val="auto"/>
        </w:rPr>
        <w:t>Regular Meetings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right="80" w:firstLine="417"/>
        <w:spacing w:after="0" w:line="261" w:lineRule="auto"/>
        <w:rPr>
          <w:sz w:val="20"/>
          <w:szCs w:val="20"/>
          <w:color w:val="auto"/>
        </w:rPr>
      </w:pPr>
      <w:r>
        <w:rPr>
          <w:rFonts w:ascii="Times New Roman" w:cs="Times New Roman" w:eastAsia="Times New Roman" w:hAnsi="Times New Roman"/>
          <w:sz w:val="17"/>
          <w:szCs w:val="17"/>
          <w:color w:val="auto"/>
        </w:rPr>
        <w:t>Regular meetings of the Board may be held within or outside the State of Delaware and at such time and at such place as which has been designated by the Board and publicized among all directors, either orally or in writing, by telephone, including a voice-messaging system or other system designed to record and communicate messages, facsimile, telegraph or telex, or by electronic mail or other means of electronic transmission. No further notice shall be required for regular meetings of the Board.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420"/>
          </w:cols>
          <w:pgMar w:left="740" w:top="264" w:right="739" w:bottom="1440" w:gutter="0" w:footer="0" w:header="0"/>
        </w:sectPr>
      </w:pPr>
    </w:p>
    <w:bookmarkStart w:id="353" w:name="page354"/>
    <w:bookmarkEnd w:id="353"/>
    <w:p>
      <w:pPr>
        <w:ind w:left="4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3.7 </w:t>
      </w:r>
      <w:r>
        <w:rPr>
          <w:rFonts w:ascii="Times New Roman" w:cs="Times New Roman" w:eastAsia="Times New Roman" w:hAnsi="Times New Roman"/>
          <w:sz w:val="17"/>
          <w:szCs w:val="17"/>
          <w:u w:val="single" w:color="auto"/>
          <w:color w:val="auto"/>
        </w:rPr>
        <w:t>Special Meetings; Notice</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right="520" w:firstLine="417"/>
        <w:spacing w:after="0" w:line="283" w:lineRule="auto"/>
        <w:rPr>
          <w:sz w:val="20"/>
          <w:szCs w:val="20"/>
          <w:color w:val="auto"/>
        </w:rPr>
      </w:pPr>
      <w:r>
        <w:rPr>
          <w:rFonts w:ascii="Times New Roman" w:cs="Times New Roman" w:eastAsia="Times New Roman" w:hAnsi="Times New Roman"/>
          <w:sz w:val="17"/>
          <w:szCs w:val="17"/>
          <w:color w:val="auto"/>
        </w:rPr>
        <w:t>Special meetings of the Board for any purpose or purposes may be called at any time by the Chairperson of the Board, the Chief Executive Officer, the President, the Secretary or a majority of the total number of directors constituting the Board.</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Notice of the time and place of special meetings shall be:</w:t>
      </w:r>
    </w:p>
    <w:p>
      <w:pPr>
        <w:spacing w:after="0" w:line="111" w:lineRule="exact"/>
        <w:rPr>
          <w:sz w:val="20"/>
          <w:szCs w:val="20"/>
          <w:color w:val="auto"/>
        </w:rPr>
      </w:pPr>
    </w:p>
    <w:p>
      <w:pPr>
        <w:ind w:left="1140" w:hanging="211"/>
        <w:spacing w:after="0"/>
        <w:tabs>
          <w:tab w:leader="none" w:pos="1140"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delivered personally by hand, by courier or by telephone;</w:t>
      </w:r>
    </w:p>
    <w:p>
      <w:pPr>
        <w:spacing w:after="0" w:line="111" w:lineRule="exact"/>
        <w:rPr>
          <w:rFonts w:ascii="Times New Roman" w:cs="Times New Roman" w:eastAsia="Times New Roman" w:hAnsi="Times New Roman"/>
          <w:sz w:val="17"/>
          <w:szCs w:val="17"/>
          <w:color w:val="auto"/>
        </w:rPr>
      </w:pPr>
    </w:p>
    <w:p>
      <w:pPr>
        <w:ind w:left="1180" w:hanging="251"/>
        <w:spacing w:after="0"/>
        <w:tabs>
          <w:tab w:leader="none" w:pos="1180"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sent by United States first-class mail, postage prepaid;</w:t>
      </w:r>
    </w:p>
    <w:p>
      <w:pPr>
        <w:spacing w:after="0" w:line="111" w:lineRule="exact"/>
        <w:rPr>
          <w:rFonts w:ascii="Times New Roman" w:cs="Times New Roman" w:eastAsia="Times New Roman" w:hAnsi="Times New Roman"/>
          <w:sz w:val="17"/>
          <w:szCs w:val="17"/>
          <w:color w:val="auto"/>
        </w:rPr>
      </w:pPr>
    </w:p>
    <w:p>
      <w:pPr>
        <w:ind w:left="1220" w:hanging="291"/>
        <w:spacing w:after="0"/>
        <w:tabs>
          <w:tab w:leader="none" w:pos="1220"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sent by facsimile or electronic mail; or</w:t>
      </w:r>
    </w:p>
    <w:p>
      <w:pPr>
        <w:spacing w:after="0" w:line="111" w:lineRule="exact"/>
        <w:rPr>
          <w:rFonts w:ascii="Times New Roman" w:cs="Times New Roman" w:eastAsia="Times New Roman" w:hAnsi="Times New Roman"/>
          <w:sz w:val="17"/>
          <w:szCs w:val="17"/>
          <w:color w:val="auto"/>
        </w:rPr>
      </w:pPr>
    </w:p>
    <w:p>
      <w:pPr>
        <w:ind w:left="1220" w:hanging="291"/>
        <w:spacing w:after="0"/>
        <w:tabs>
          <w:tab w:leader="none" w:pos="1220"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sent by other means of electronic transmission,</w:t>
      </w:r>
    </w:p>
    <w:p>
      <w:pPr>
        <w:spacing w:after="0" w:line="213"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17"/>
          <w:szCs w:val="17"/>
          <w:color w:val="auto"/>
        </w:rPr>
        <w:t>directed to each director at that director’s address, telephone number, facsimile number or electronic mail address, or other address for electronic transmission, as the case may be, as shown on the Corporation’s records.</w:t>
      </w:r>
    </w:p>
    <w:p>
      <w:pPr>
        <w:spacing w:after="0" w:line="152" w:lineRule="exact"/>
        <w:rPr>
          <w:sz w:val="20"/>
          <w:szCs w:val="20"/>
          <w:color w:val="auto"/>
        </w:rPr>
      </w:pPr>
    </w:p>
    <w:p>
      <w:pPr>
        <w:jc w:val="both"/>
        <w:ind w:right="20" w:firstLine="417"/>
        <w:spacing w:after="0" w:line="261" w:lineRule="auto"/>
        <w:rPr>
          <w:sz w:val="20"/>
          <w:szCs w:val="20"/>
          <w:color w:val="auto"/>
        </w:rPr>
      </w:pPr>
      <w:r>
        <w:rPr>
          <w:rFonts w:ascii="Times New Roman" w:cs="Times New Roman" w:eastAsia="Times New Roman" w:hAnsi="Times New Roman"/>
          <w:sz w:val="17"/>
          <w:szCs w:val="17"/>
          <w:color w:val="auto"/>
        </w:rPr>
        <w:t>If the notice is (i) delivered personally by hand, by courier or by telephone, (ii) sent by facsimile or electronic mail, or (iii) sent by other means of electronic transmission, it shall be delivered or sent at least twenty-four (24) hours before the time of the holding of the meeting. If the notice is sent by U.S. mail, it shall be deposited in the U.S. mail at least four (4) days before the time of the holding of the meeting. The notice need not specify the place of the meeting (if the meeting is to be held at the Corporation’s principal executive office) nor the purpose of the meeting.</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3.8 </w:t>
      </w:r>
      <w:r>
        <w:rPr>
          <w:rFonts w:ascii="Times New Roman" w:cs="Times New Roman" w:eastAsia="Times New Roman" w:hAnsi="Times New Roman"/>
          <w:sz w:val="17"/>
          <w:szCs w:val="17"/>
          <w:u w:val="single" w:color="auto"/>
          <w:color w:val="auto"/>
        </w:rPr>
        <w:t>Quorum</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right="120" w:firstLine="417"/>
        <w:spacing w:after="0" w:line="259" w:lineRule="auto"/>
        <w:rPr>
          <w:sz w:val="20"/>
          <w:szCs w:val="20"/>
          <w:color w:val="auto"/>
        </w:rPr>
      </w:pPr>
      <w:r>
        <w:rPr>
          <w:rFonts w:ascii="Times New Roman" w:cs="Times New Roman" w:eastAsia="Times New Roman" w:hAnsi="Times New Roman"/>
          <w:sz w:val="17"/>
          <w:szCs w:val="17"/>
          <w:color w:val="auto"/>
        </w:rPr>
        <w:t>At all meetings of the Board, unless otherwise provided by the Certificate of Incorporation, a majority of the total number of directors shall constitute a quorum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3.9 </w:t>
      </w:r>
      <w:r>
        <w:rPr>
          <w:rFonts w:ascii="Times New Roman" w:cs="Times New Roman" w:eastAsia="Times New Roman" w:hAnsi="Times New Roman"/>
          <w:sz w:val="17"/>
          <w:szCs w:val="17"/>
          <w:u w:val="single" w:color="auto"/>
          <w:color w:val="auto"/>
        </w:rPr>
        <w:t>Board Action without a Meeting</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firstLine="417"/>
        <w:spacing w:after="0" w:line="259" w:lineRule="auto"/>
        <w:rPr>
          <w:sz w:val="20"/>
          <w:szCs w:val="20"/>
          <w:color w:val="auto"/>
        </w:rPr>
      </w:pPr>
      <w:r>
        <w:rPr>
          <w:rFonts w:ascii="Times New Roman" w:cs="Times New Roman" w:eastAsia="Times New Roman" w:hAnsi="Times New Roman"/>
          <w:sz w:val="17"/>
          <w:szCs w:val="17"/>
          <w:color w:val="auto"/>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After an action is taken, the consent or consents relating thereto shall be filed with the minutes of the proceedings of the Board, or the committee thereof, in the same paper or electronic form as the minutes are maintained. Such action by written consent or consent by electronic transmission shall have the same force and effect as a unanimous vote of the Board.</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0380"/>
          </w:cols>
          <w:pgMar w:left="740" w:top="263" w:right="779" w:bottom="1440" w:gutter="0" w:footer="0" w:header="0"/>
        </w:sectPr>
      </w:pPr>
    </w:p>
    <w:bookmarkStart w:id="354" w:name="page355"/>
    <w:bookmarkEnd w:id="354"/>
    <w:p>
      <w:pPr>
        <w:ind w:left="40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3.10 </w:t>
      </w:r>
      <w:r>
        <w:rPr>
          <w:rFonts w:ascii="Times New Roman" w:cs="Times New Roman" w:eastAsia="Times New Roman" w:hAnsi="Times New Roman"/>
          <w:sz w:val="17"/>
          <w:szCs w:val="17"/>
          <w:u w:val="single" w:color="auto"/>
          <w:color w:val="auto"/>
        </w:rPr>
        <w:t>Fees and Compensation of Directors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left="9" w:right="560" w:firstLine="417"/>
        <w:spacing w:after="0" w:line="283" w:lineRule="auto"/>
        <w:rPr>
          <w:sz w:val="20"/>
          <w:szCs w:val="20"/>
          <w:color w:val="auto"/>
        </w:rPr>
      </w:pPr>
      <w:r>
        <w:rPr>
          <w:rFonts w:ascii="Times New Roman" w:cs="Times New Roman" w:eastAsia="Times New Roman" w:hAnsi="Times New Roman"/>
          <w:sz w:val="17"/>
          <w:szCs w:val="17"/>
          <w:color w:val="auto"/>
        </w:rPr>
        <w:t>Unless otherwise restricted by the Certificate of Incorporation or these Bylaws, the Board shall have the authority to fix the compensation, including fees and reimbursement of expenses, of directors for services to the Corporation in any capacity.</w:t>
      </w:r>
    </w:p>
    <w:p>
      <w:pPr>
        <w:spacing w:after="0" w:line="35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Article IV - Committees</w:t>
      </w:r>
    </w:p>
    <w:p>
      <w:pPr>
        <w:spacing w:after="0" w:line="217" w:lineRule="exact"/>
        <w:rPr>
          <w:sz w:val="20"/>
          <w:szCs w:val="20"/>
          <w:color w:val="auto"/>
        </w:rPr>
      </w:pPr>
    </w:p>
    <w:p>
      <w:pPr>
        <w:ind w:left="409"/>
        <w:spacing w:after="0"/>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Committees of Directors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left="9" w:firstLine="417"/>
        <w:spacing w:after="0" w:line="254" w:lineRule="auto"/>
        <w:rPr>
          <w:sz w:val="20"/>
          <w:szCs w:val="20"/>
          <w:color w:val="auto"/>
        </w:rPr>
      </w:pPr>
      <w:r>
        <w:rPr>
          <w:rFonts w:ascii="Times New Roman" w:cs="Times New Roman" w:eastAsia="Times New Roman" w:hAnsi="Times New Roman"/>
          <w:sz w:val="17"/>
          <w:szCs w:val="17"/>
          <w:color w:val="auto"/>
        </w:rPr>
        <w:t>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w:t>
      </w:r>
    </w:p>
    <w:p>
      <w:pPr>
        <w:ind w:left="9" w:right="520" w:hanging="9"/>
        <w:spacing w:after="0" w:line="261" w:lineRule="auto"/>
        <w:tabs>
          <w:tab w:leader="none" w:pos="212" w:val="left"/>
        </w:tabs>
        <w:numPr>
          <w:ilvl w:val="0"/>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or adopt, or recommend to the stockholders, any action or matter expressly required by the DGCL to be submitted to stockholders for approval, or (ii) adopt, amend or repeal any bylaw of the Corporation.</w:t>
      </w:r>
    </w:p>
    <w:p>
      <w:pPr>
        <w:spacing w:after="0" w:line="69" w:lineRule="exact"/>
        <w:rPr>
          <w:sz w:val="20"/>
          <w:szCs w:val="20"/>
          <w:color w:val="auto"/>
        </w:rPr>
      </w:pPr>
    </w:p>
    <w:p>
      <w:pPr>
        <w:ind w:left="409"/>
        <w:spacing w:after="0"/>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Committee Minutes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left="409"/>
        <w:spacing w:after="0"/>
        <w:rPr>
          <w:sz w:val="20"/>
          <w:szCs w:val="20"/>
          <w:color w:val="auto"/>
        </w:rPr>
      </w:pPr>
      <w:r>
        <w:rPr>
          <w:rFonts w:ascii="Times New Roman" w:cs="Times New Roman" w:eastAsia="Times New Roman" w:hAnsi="Times New Roman"/>
          <w:sz w:val="17"/>
          <w:szCs w:val="17"/>
          <w:color w:val="auto"/>
        </w:rPr>
        <w:t>Each committee shall keep regular minutes of its meetings and report the same to the Board when required.</w:t>
      </w:r>
    </w:p>
    <w:p>
      <w:pPr>
        <w:spacing w:after="0" w:line="111" w:lineRule="exact"/>
        <w:rPr>
          <w:sz w:val="20"/>
          <w:szCs w:val="20"/>
          <w:color w:val="auto"/>
        </w:rPr>
      </w:pPr>
    </w:p>
    <w:p>
      <w:pPr>
        <w:ind w:left="409"/>
        <w:spacing w:after="0"/>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u w:val="single" w:color="auto"/>
          <w:color w:val="auto"/>
        </w:rPr>
        <w:t>Meetings and Actions of Committees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left="409"/>
        <w:spacing w:after="0"/>
        <w:rPr>
          <w:sz w:val="20"/>
          <w:szCs w:val="20"/>
          <w:color w:val="auto"/>
        </w:rPr>
      </w:pPr>
      <w:r>
        <w:rPr>
          <w:rFonts w:ascii="Times New Roman" w:cs="Times New Roman" w:eastAsia="Times New Roman" w:hAnsi="Times New Roman"/>
          <w:sz w:val="17"/>
          <w:szCs w:val="17"/>
          <w:color w:val="auto"/>
        </w:rPr>
        <w:t>Meetings and actions of committees shall be governed by, and held and taken in accordance with, the provisions of:</w:t>
      </w:r>
    </w:p>
    <w:p>
      <w:pPr>
        <w:spacing w:after="0" w:line="111" w:lineRule="exact"/>
        <w:rPr>
          <w:sz w:val="20"/>
          <w:szCs w:val="20"/>
          <w:color w:val="auto"/>
        </w:rPr>
      </w:pPr>
    </w:p>
    <w:p>
      <w:pPr>
        <w:ind w:left="1149" w:hanging="211"/>
        <w:spacing w:after="0"/>
        <w:tabs>
          <w:tab w:leader="none" w:pos="1149"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3.5</w:t>
      </w:r>
      <w:r>
        <w:rPr>
          <w:rFonts w:ascii="Times New Roman" w:cs="Times New Roman" w:eastAsia="Times New Roman" w:hAnsi="Times New Roman"/>
          <w:sz w:val="17"/>
          <w:szCs w:val="17"/>
          <w:color w:val="auto"/>
        </w:rPr>
        <w:t xml:space="preserve"> (place of meetings; meetings by telephone);</w:t>
      </w:r>
    </w:p>
    <w:p>
      <w:pPr>
        <w:spacing w:after="0" w:line="111" w:lineRule="exact"/>
        <w:rPr>
          <w:rFonts w:ascii="Times New Roman" w:cs="Times New Roman" w:eastAsia="Times New Roman" w:hAnsi="Times New Roman"/>
          <w:sz w:val="17"/>
          <w:szCs w:val="17"/>
          <w:color w:val="auto"/>
        </w:rPr>
      </w:pPr>
    </w:p>
    <w:p>
      <w:pPr>
        <w:ind w:left="1189" w:hanging="251"/>
        <w:spacing w:after="0"/>
        <w:tabs>
          <w:tab w:leader="none" w:pos="1189"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3.6</w:t>
      </w:r>
      <w:r>
        <w:rPr>
          <w:rFonts w:ascii="Times New Roman" w:cs="Times New Roman" w:eastAsia="Times New Roman" w:hAnsi="Times New Roman"/>
          <w:sz w:val="17"/>
          <w:szCs w:val="17"/>
          <w:color w:val="auto"/>
        </w:rPr>
        <w:t xml:space="preserve"> (regular meetings);</w:t>
      </w:r>
    </w:p>
    <w:p>
      <w:pPr>
        <w:spacing w:after="0" w:line="111" w:lineRule="exact"/>
        <w:rPr>
          <w:rFonts w:ascii="Times New Roman" w:cs="Times New Roman" w:eastAsia="Times New Roman" w:hAnsi="Times New Roman"/>
          <w:sz w:val="17"/>
          <w:szCs w:val="17"/>
          <w:color w:val="auto"/>
        </w:rPr>
      </w:pPr>
    </w:p>
    <w:p>
      <w:pPr>
        <w:ind w:left="1229" w:hanging="291"/>
        <w:spacing w:after="0"/>
        <w:tabs>
          <w:tab w:leader="none" w:pos="1229"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3.7</w:t>
      </w:r>
      <w:r>
        <w:rPr>
          <w:rFonts w:ascii="Times New Roman" w:cs="Times New Roman" w:eastAsia="Times New Roman" w:hAnsi="Times New Roman"/>
          <w:sz w:val="17"/>
          <w:szCs w:val="17"/>
          <w:color w:val="auto"/>
        </w:rPr>
        <w:t xml:space="preserve"> (special meetings; notice);</w:t>
      </w:r>
    </w:p>
    <w:p>
      <w:pPr>
        <w:spacing w:after="0" w:line="111" w:lineRule="exact"/>
        <w:rPr>
          <w:rFonts w:ascii="Times New Roman" w:cs="Times New Roman" w:eastAsia="Times New Roman" w:hAnsi="Times New Roman"/>
          <w:sz w:val="17"/>
          <w:szCs w:val="17"/>
          <w:color w:val="auto"/>
        </w:rPr>
      </w:pPr>
    </w:p>
    <w:p>
      <w:pPr>
        <w:ind w:left="1229" w:hanging="291"/>
        <w:spacing w:after="0"/>
        <w:tabs>
          <w:tab w:leader="none" w:pos="1229"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3.9</w:t>
      </w:r>
      <w:r>
        <w:rPr>
          <w:rFonts w:ascii="Times New Roman" w:cs="Times New Roman" w:eastAsia="Times New Roman" w:hAnsi="Times New Roman"/>
          <w:sz w:val="17"/>
          <w:szCs w:val="17"/>
          <w:color w:val="auto"/>
        </w:rPr>
        <w:t xml:space="preserve"> (board action without a meeting); and</w:t>
      </w:r>
    </w:p>
    <w:p>
      <w:pPr>
        <w:spacing w:after="0" w:line="111" w:lineRule="exact"/>
        <w:rPr>
          <w:rFonts w:ascii="Times New Roman" w:cs="Times New Roman" w:eastAsia="Times New Roman" w:hAnsi="Times New Roman"/>
          <w:sz w:val="17"/>
          <w:szCs w:val="17"/>
          <w:color w:val="auto"/>
        </w:rPr>
      </w:pPr>
    </w:p>
    <w:p>
      <w:pPr>
        <w:ind w:left="1189" w:hanging="251"/>
        <w:spacing w:after="0"/>
        <w:tabs>
          <w:tab w:leader="none" w:pos="1189"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7.13</w:t>
      </w:r>
      <w:r>
        <w:rPr>
          <w:rFonts w:ascii="Times New Roman" w:cs="Times New Roman" w:eastAsia="Times New Roman" w:hAnsi="Times New Roman"/>
          <w:sz w:val="17"/>
          <w:szCs w:val="17"/>
          <w:color w:val="auto"/>
        </w:rPr>
        <w:t xml:space="preserve"> (waiver of notice),</w:t>
      </w:r>
    </w:p>
    <w:p>
      <w:pPr>
        <w:spacing w:after="0" w:line="20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 xml:space="preserve">with such changes in the context of those bylaws as are necessary to substitute the committee and its members for the Board and its members.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w:t>
      </w:r>
    </w:p>
    <w:p>
      <w:pPr>
        <w:spacing w:after="0" w:line="115" w:lineRule="exact"/>
        <w:rPr>
          <w:sz w:val="20"/>
          <w:szCs w:val="20"/>
          <w:color w:val="auto"/>
        </w:rPr>
      </w:pPr>
    </w:p>
    <w:p>
      <w:pPr>
        <w:ind w:left="5129" w:right="360" w:hanging="4191"/>
        <w:spacing w:after="0" w:line="455" w:lineRule="auto"/>
        <w:tabs>
          <w:tab w:leader="none" w:pos="1143"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time of regular meetings of committees may be determined either by resolution of the Board or by resolution of the committee; 16</w:t>
      </w:r>
    </w:p>
    <w:p>
      <w:pPr>
        <w:sectPr>
          <w:pgSz w:w="11900" w:h="16838" w:orient="portrait"/>
          <w:cols w:equalWidth="0" w:num="1">
            <w:col w:w="10409"/>
          </w:cols>
          <w:pgMar w:left="731" w:top="264" w:right="759" w:bottom="1440" w:gutter="0" w:footer="0" w:header="0"/>
        </w:sectPr>
      </w:pPr>
    </w:p>
    <w:bookmarkStart w:id="355" w:name="page356"/>
    <w:bookmarkEnd w:id="355"/>
    <w:p>
      <w:pPr>
        <w:ind w:left="1180" w:hanging="251"/>
        <w:spacing w:after="0"/>
        <w:tabs>
          <w:tab w:leader="none" w:pos="1180"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special meetings of committees may also be called by resolution of the Board or the Chairperson of the applicable committee; and</w:t>
      </w:r>
    </w:p>
    <w:p>
      <w:pPr>
        <w:spacing w:after="0" w:line="111" w:lineRule="exact"/>
        <w:rPr>
          <w:rFonts w:ascii="Times New Roman" w:cs="Times New Roman" w:eastAsia="Times New Roman" w:hAnsi="Times New Roman"/>
          <w:sz w:val="17"/>
          <w:szCs w:val="17"/>
          <w:color w:val="auto"/>
        </w:rPr>
      </w:pPr>
    </w:p>
    <w:p>
      <w:pPr>
        <w:ind w:right="520" w:firstLine="929"/>
        <w:spacing w:after="0" w:line="315" w:lineRule="auto"/>
        <w:tabs>
          <w:tab w:leader="none" w:pos="1236"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Board may adopt rules for the governance of any committee to override the provisions that would otherwise apply to the committee pursuant to this </w:t>
      </w:r>
      <w:r>
        <w:rPr>
          <w:rFonts w:ascii="Times New Roman" w:cs="Times New Roman" w:eastAsia="Times New Roman" w:hAnsi="Times New Roman"/>
          <w:sz w:val="16"/>
          <w:szCs w:val="16"/>
          <w:u w:val="single" w:color="auto"/>
          <w:color w:val="auto"/>
        </w:rPr>
        <w:t>Section 4.3</w:t>
      </w:r>
      <w:r>
        <w:rPr>
          <w:rFonts w:ascii="Times New Roman" w:cs="Times New Roman" w:eastAsia="Times New Roman" w:hAnsi="Times New Roman"/>
          <w:sz w:val="16"/>
          <w:szCs w:val="16"/>
          <w:color w:val="auto"/>
        </w:rPr>
        <w:t>, provided that such rules do not violate the provisions of the Certificate of Incorporation or applicable law.</w:t>
      </w:r>
    </w:p>
    <w:p>
      <w:pPr>
        <w:spacing w:after="0" w:line="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u w:val="single" w:color="auto"/>
          <w:color w:val="auto"/>
        </w:rPr>
        <w:t>Subcommittees.</w:t>
      </w:r>
    </w:p>
    <w:p>
      <w:pPr>
        <w:spacing w:after="0" w:line="111" w:lineRule="exact"/>
        <w:rPr>
          <w:sz w:val="20"/>
          <w:szCs w:val="20"/>
          <w:color w:val="auto"/>
        </w:rPr>
      </w:pPr>
    </w:p>
    <w:p>
      <w:pPr>
        <w:ind w:right="280" w:firstLine="417"/>
        <w:spacing w:after="0" w:line="267" w:lineRule="auto"/>
        <w:rPr>
          <w:sz w:val="20"/>
          <w:szCs w:val="20"/>
          <w:color w:val="auto"/>
        </w:rPr>
      </w:pPr>
      <w:r>
        <w:rPr>
          <w:rFonts w:ascii="Times New Roman" w:cs="Times New Roman" w:eastAsia="Times New Roman" w:hAnsi="Times New Roman"/>
          <w:sz w:val="17"/>
          <w:szCs w:val="17"/>
          <w:color w:val="auto"/>
        </w:rPr>
        <w:t>Unless otherwise provided in the Certificate of Incorporation, these Bylaws or the resolutions of the Board designating the committee, a committee may create one (1) or more subcommittees, each subcommittee to consist of one (1) or more members of the committee, and delegate to a subcommittee any or all of the powers and authority of the committee.</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 - Officers</w:t>
      </w:r>
    </w:p>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Officers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firstLine="417"/>
        <w:spacing w:after="0" w:line="259" w:lineRule="auto"/>
        <w:rPr>
          <w:sz w:val="20"/>
          <w:szCs w:val="20"/>
          <w:color w:val="auto"/>
        </w:rPr>
      </w:pPr>
      <w:r>
        <w:rPr>
          <w:rFonts w:ascii="Times New Roman" w:cs="Times New Roman" w:eastAsia="Times New Roman" w:hAnsi="Times New Roman"/>
          <w:sz w:val="17"/>
          <w:szCs w:val="17"/>
          <w:color w:val="auto"/>
        </w:rPr>
        <w:t>The officers of the Corporation shall include a Chief Executive Officer, a President and a Secretary. The Corporation may also have, at the discretion of the Board, a Chairperson of the Board, a Vice Chairperson of the Board, a Chief Financial Officer, a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 No officer need be a stockholder or director of the Corporation.</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u w:val="single" w:color="auto"/>
          <w:color w:val="auto"/>
        </w:rPr>
        <w:t>Appointment of Officers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right="60" w:firstLine="417"/>
        <w:spacing w:after="0" w:line="283" w:lineRule="auto"/>
        <w:rPr>
          <w:sz w:val="20"/>
          <w:szCs w:val="20"/>
          <w:color w:val="auto"/>
        </w:rPr>
      </w:pPr>
      <w:r>
        <w:rPr>
          <w:rFonts w:ascii="Times New Roman" w:cs="Times New Roman" w:eastAsia="Times New Roman" w:hAnsi="Times New Roman"/>
          <w:sz w:val="17"/>
          <w:szCs w:val="17"/>
          <w:color w:val="auto"/>
        </w:rPr>
        <w:t xml:space="preserve">The Board shall appoint the officers of the Corporation, except such officers as may be appointed in accordance with the provisions of </w:t>
      </w:r>
      <w:r>
        <w:rPr>
          <w:rFonts w:ascii="Times New Roman" w:cs="Times New Roman" w:eastAsia="Times New Roman" w:hAnsi="Times New Roman"/>
          <w:sz w:val="17"/>
          <w:szCs w:val="17"/>
          <w:u w:val="single" w:color="auto"/>
          <w:color w:val="auto"/>
        </w:rPr>
        <w:t>Section 5.3</w:t>
      </w:r>
      <w:r>
        <w:rPr>
          <w:rFonts w:ascii="Times New Roman" w:cs="Times New Roman" w:eastAsia="Times New Roman" w:hAnsi="Times New Roman"/>
          <w:sz w:val="17"/>
          <w:szCs w:val="17"/>
          <w:color w:val="auto"/>
        </w:rPr>
        <w:t xml:space="preserve"> of these Bylaws.</w:t>
      </w:r>
    </w:p>
    <w:p>
      <w:pPr>
        <w:spacing w:after="0" w:line="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u w:val="single" w:color="auto"/>
          <w:color w:val="auto"/>
        </w:rPr>
        <w:t>Subordinate Officers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jc w:val="both"/>
        <w:ind w:right="240" w:firstLine="417"/>
        <w:spacing w:after="0" w:line="267" w:lineRule="auto"/>
        <w:rPr>
          <w:sz w:val="20"/>
          <w:szCs w:val="20"/>
          <w:color w:val="auto"/>
        </w:rPr>
      </w:pPr>
      <w:r>
        <w:rPr>
          <w:rFonts w:ascii="Times New Roman" w:cs="Times New Roman" w:eastAsia="Times New Roman" w:hAnsi="Times New Roman"/>
          <w:sz w:val="17"/>
          <w:szCs w:val="17"/>
          <w:color w:val="auto"/>
        </w:rPr>
        <w:t>The Board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7"/>
          <w:szCs w:val="17"/>
          <w:u w:val="single" w:color="auto"/>
          <w:color w:val="auto"/>
        </w:rPr>
        <w:t>Removal and Resignation of Officers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right="380" w:firstLine="417"/>
        <w:spacing w:after="0" w:line="315" w:lineRule="auto"/>
        <w:rPr>
          <w:sz w:val="20"/>
          <w:szCs w:val="20"/>
          <w:color w:val="auto"/>
        </w:rPr>
      </w:pPr>
      <w:r>
        <w:rPr>
          <w:rFonts w:ascii="Times New Roman" w:cs="Times New Roman" w:eastAsia="Times New Roman" w:hAnsi="Times New Roman"/>
          <w:sz w:val="16"/>
          <w:szCs w:val="16"/>
          <w:color w:val="auto"/>
        </w:rPr>
        <w:t>Subject to the rights, if any, of an officer under any contract of employment, any officer may be removed, either with or without cause, by the Board or, except in the case of an officer chosen by the Board, by any officer upon whom such power of removal may be conferred by the Board.</w:t>
      </w:r>
    </w:p>
    <w:p>
      <w:pPr>
        <w:spacing w:after="0" w:line="130" w:lineRule="exact"/>
        <w:rPr>
          <w:sz w:val="20"/>
          <w:szCs w:val="20"/>
          <w:color w:val="auto"/>
        </w:rPr>
      </w:pPr>
    </w:p>
    <w:p>
      <w:pPr>
        <w:jc w:val="both"/>
        <w:ind w:right="180" w:firstLine="417"/>
        <w:spacing w:after="0" w:line="261" w:lineRule="auto"/>
        <w:rPr>
          <w:sz w:val="20"/>
          <w:szCs w:val="20"/>
          <w:color w:val="auto"/>
        </w:rPr>
      </w:pPr>
      <w:r>
        <w:rPr>
          <w:rFonts w:ascii="Times New Roman" w:cs="Times New Roman" w:eastAsia="Times New Roman" w:hAnsi="Times New Roman"/>
          <w:sz w:val="17"/>
          <w:szCs w:val="17"/>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0420"/>
          </w:cols>
          <w:pgMar w:left="740" w:top="264" w:right="739" w:bottom="1440" w:gutter="0" w:footer="0" w:header="0"/>
        </w:sectPr>
      </w:pPr>
    </w:p>
    <w:bookmarkStart w:id="356" w:name="page357"/>
    <w:bookmarkEnd w:id="356"/>
    <w:p>
      <w:pPr>
        <w:ind w:left="4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5.5 </w:t>
      </w:r>
      <w:r>
        <w:rPr>
          <w:rFonts w:ascii="Times New Roman" w:cs="Times New Roman" w:eastAsia="Times New Roman" w:hAnsi="Times New Roman"/>
          <w:sz w:val="17"/>
          <w:szCs w:val="17"/>
          <w:u w:val="single" w:color="auto"/>
          <w:color w:val="auto"/>
        </w:rPr>
        <w:t>Vacancies in Offices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Any vacancy occurring in any office of the Corporation shall be filled by the Board or as provided in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5.6 </w:t>
      </w:r>
      <w:r>
        <w:rPr>
          <w:rFonts w:ascii="Times New Roman" w:cs="Times New Roman" w:eastAsia="Times New Roman" w:hAnsi="Times New Roman"/>
          <w:sz w:val="17"/>
          <w:szCs w:val="17"/>
          <w:u w:val="single" w:color="auto"/>
          <w:color w:val="auto"/>
        </w:rPr>
        <w:t>Representation of Shares of Other Corporations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right="60" w:firstLine="417"/>
        <w:spacing w:after="0" w:line="259" w:lineRule="auto"/>
        <w:rPr>
          <w:sz w:val="20"/>
          <w:szCs w:val="20"/>
          <w:color w:val="auto"/>
        </w:rPr>
      </w:pPr>
      <w:r>
        <w:rPr>
          <w:rFonts w:ascii="Times New Roman" w:cs="Times New Roman" w:eastAsia="Times New Roman" w:hAnsi="Times New Roman"/>
          <w:sz w:val="17"/>
          <w:szCs w:val="17"/>
          <w:color w:val="auto"/>
        </w:rPr>
        <w:t>The Chairperson of the Board, the Chief Executive Officer, or the President of this Corporation, or any other person authorized by the Board, the Chief Executive Officer or the President, is authorized to vote, represent and exercise on behalf of this Corporation all rights incident to any and all shares or voting securities of any other corporation or other person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5.7 </w:t>
      </w:r>
      <w:r>
        <w:rPr>
          <w:rFonts w:ascii="Times New Roman" w:cs="Times New Roman" w:eastAsia="Times New Roman" w:hAnsi="Times New Roman"/>
          <w:sz w:val="17"/>
          <w:szCs w:val="17"/>
          <w:u w:val="single" w:color="auto"/>
          <w:color w:val="auto"/>
        </w:rPr>
        <w:t>Authority and Duties of Officers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right="300" w:firstLine="417"/>
        <w:spacing w:after="0" w:line="267" w:lineRule="auto"/>
        <w:rPr>
          <w:sz w:val="20"/>
          <w:szCs w:val="20"/>
          <w:color w:val="auto"/>
        </w:rPr>
      </w:pPr>
      <w:r>
        <w:rPr>
          <w:rFonts w:ascii="Times New Roman" w:cs="Times New Roman" w:eastAsia="Times New Roman" w:hAnsi="Times New Roman"/>
          <w:sz w:val="17"/>
          <w:szCs w:val="17"/>
          <w:color w:val="auto"/>
        </w:rPr>
        <w:t>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5.8 </w:t>
      </w:r>
      <w:r>
        <w:rPr>
          <w:rFonts w:ascii="Times New Roman" w:cs="Times New Roman" w:eastAsia="Times New Roman" w:hAnsi="Times New Roman"/>
          <w:sz w:val="17"/>
          <w:szCs w:val="17"/>
          <w:u w:val="single" w:color="auto"/>
          <w:color w:val="auto"/>
        </w:rPr>
        <w:t>Compensation.</w:t>
      </w:r>
    </w:p>
    <w:p>
      <w:pPr>
        <w:spacing w:after="0" w:line="111" w:lineRule="exact"/>
        <w:rPr>
          <w:sz w:val="20"/>
          <w:szCs w:val="20"/>
          <w:color w:val="auto"/>
        </w:rPr>
      </w:pPr>
    </w:p>
    <w:p>
      <w:pPr>
        <w:ind w:right="60" w:firstLine="417"/>
        <w:spacing w:after="0" w:line="267" w:lineRule="auto"/>
        <w:rPr>
          <w:sz w:val="20"/>
          <w:szCs w:val="20"/>
          <w:color w:val="auto"/>
        </w:rPr>
      </w:pPr>
      <w:r>
        <w:rPr>
          <w:rFonts w:ascii="Times New Roman" w:cs="Times New Roman" w:eastAsia="Times New Roman" w:hAnsi="Times New Roman"/>
          <w:sz w:val="17"/>
          <w:szCs w:val="17"/>
          <w:color w:val="auto"/>
        </w:rPr>
        <w:t>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w:t>
      </w: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Article VI - Records</w:t>
      </w:r>
    </w:p>
    <w:p>
      <w:pPr>
        <w:spacing w:after="0" w:line="217" w:lineRule="exact"/>
        <w:rPr>
          <w:sz w:val="20"/>
          <w:szCs w:val="20"/>
          <w:color w:val="auto"/>
        </w:rPr>
      </w:pPr>
    </w:p>
    <w:p>
      <w:pPr>
        <w:ind w:firstLine="417"/>
        <w:spacing w:after="0" w:line="255" w:lineRule="auto"/>
        <w:rPr>
          <w:sz w:val="20"/>
          <w:szCs w:val="20"/>
          <w:color w:val="auto"/>
        </w:rPr>
      </w:pPr>
      <w:r>
        <w:rPr>
          <w:rFonts w:ascii="Times New Roman" w:cs="Times New Roman" w:eastAsia="Times New Roman" w:hAnsi="Times New Roman"/>
          <w:sz w:val="17"/>
          <w:szCs w:val="17"/>
          <w:color w:val="auto"/>
        </w:rPr>
        <w:t>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 as adopted in the State of Delaware.</w:t>
      </w:r>
    </w:p>
    <w:p>
      <w:pPr>
        <w:spacing w:after="0" w:line="1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0340"/>
          </w:cols>
          <w:pgMar w:left="740" w:top="264" w:right="819" w:bottom="1440" w:gutter="0" w:footer="0" w:header="0"/>
        </w:sectPr>
      </w:pPr>
    </w:p>
    <w:bookmarkStart w:id="357" w:name="page358"/>
    <w:bookmarkEnd w:id="357"/>
    <w:p>
      <w:pPr>
        <w:ind w:left="41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Article VII - General Matters</w:t>
      </w:r>
    </w:p>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u w:val="single" w:color="auto"/>
          <w:color w:val="auto"/>
        </w:rPr>
        <w:t>Execution of Corporate Contracts and Instruments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right="240" w:firstLine="417"/>
        <w:spacing w:after="0" w:line="283" w:lineRule="auto"/>
        <w:rPr>
          <w:sz w:val="20"/>
          <w:szCs w:val="20"/>
          <w:color w:val="auto"/>
        </w:rPr>
      </w:pPr>
      <w:r>
        <w:rPr>
          <w:rFonts w:ascii="Times New Roman" w:cs="Times New Roman" w:eastAsia="Times New Roman" w:hAnsi="Times New Roman"/>
          <w:sz w:val="17"/>
          <w:szCs w:val="17"/>
          <w:color w:val="auto"/>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w:t>
      </w:r>
    </w:p>
    <w:p>
      <w:pPr>
        <w:spacing w:after="0" w:line="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u w:val="single" w:color="auto"/>
          <w:color w:val="auto"/>
        </w:rPr>
        <w:t>Stock Certificates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right="40" w:firstLine="417"/>
        <w:spacing w:after="0" w:line="255" w:lineRule="auto"/>
        <w:rPr>
          <w:sz w:val="20"/>
          <w:szCs w:val="20"/>
          <w:color w:val="auto"/>
        </w:rPr>
      </w:pPr>
      <w:r>
        <w:rPr>
          <w:rFonts w:ascii="Times New Roman" w:cs="Times New Roman" w:eastAsia="Times New Roman" w:hAnsi="Times New Roman"/>
          <w:sz w:val="17"/>
          <w:szCs w:val="17"/>
          <w:color w:val="auto"/>
        </w:rPr>
        <w:t>The shares of the Corporation shall be represented by certificates, provided that the Board by resolution may provide that some or all of the shares of any class or series of stock of the Corporation shall be uncertificated.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Chairperson or Vice Chairperson of the Board, Chief Executive Officer, the President, Vice President, the Treasurer, any Assistant Treasurer,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75" w:lineRule="exact"/>
        <w:rPr>
          <w:sz w:val="20"/>
          <w:szCs w:val="20"/>
          <w:color w:val="auto"/>
        </w:rPr>
      </w:pPr>
    </w:p>
    <w:p>
      <w:pPr>
        <w:ind w:firstLine="417"/>
        <w:spacing w:after="0" w:line="259" w:lineRule="auto"/>
        <w:rPr>
          <w:sz w:val="20"/>
          <w:szCs w:val="20"/>
          <w:color w:val="auto"/>
        </w:rPr>
      </w:pPr>
      <w:r>
        <w:rPr>
          <w:rFonts w:ascii="Times New Roman" w:cs="Times New Roman" w:eastAsia="Times New Roman" w:hAnsi="Times New Roman"/>
          <w:sz w:val="17"/>
          <w:szCs w:val="17"/>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7.3 </w:t>
      </w:r>
      <w:r>
        <w:rPr>
          <w:rFonts w:ascii="Times New Roman" w:cs="Times New Roman" w:eastAsia="Times New Roman" w:hAnsi="Times New Roman"/>
          <w:sz w:val="17"/>
          <w:szCs w:val="17"/>
          <w:u w:val="single" w:color="auto"/>
          <w:color w:val="auto"/>
        </w:rPr>
        <w:t>Special Designation of Certificates.</w:t>
      </w:r>
    </w:p>
    <w:p>
      <w:pPr>
        <w:spacing w:after="0" w:line="111" w:lineRule="exact"/>
        <w:rPr>
          <w:sz w:val="20"/>
          <w:szCs w:val="20"/>
          <w:color w:val="auto"/>
        </w:rPr>
      </w:pPr>
    </w:p>
    <w:p>
      <w:pPr>
        <w:ind w:right="40" w:firstLine="417"/>
        <w:spacing w:after="0" w:line="255" w:lineRule="auto"/>
        <w:rPr>
          <w:sz w:val="20"/>
          <w:szCs w:val="20"/>
          <w:color w:val="auto"/>
        </w:rPr>
      </w:pPr>
      <w:r>
        <w:rPr>
          <w:rFonts w:ascii="Times New Roman" w:cs="Times New Roman" w:eastAsia="Times New Roman" w:hAnsi="Times New Roman"/>
          <w:sz w:val="17"/>
          <w:szCs w:val="17"/>
          <w:color w:val="auto"/>
        </w:rPr>
        <w:t>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provided, however, that except as otherwise provided in Section 202 of the DGCL, in lieu of the foregoing requirements, there may be set forth on the face of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0420"/>
          </w:cols>
          <w:pgMar w:left="740" w:top="259" w:right="739" w:bottom="1440" w:gutter="0" w:footer="0" w:header="0"/>
        </w:sectPr>
      </w:pPr>
    </w:p>
    <w:bookmarkStart w:id="358" w:name="page359"/>
    <w:bookmarkEnd w:id="358"/>
    <w:p>
      <w:pPr>
        <w:ind w:left="4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7.4 </w:t>
      </w:r>
      <w:r>
        <w:rPr>
          <w:rFonts w:ascii="Times New Roman" w:cs="Times New Roman" w:eastAsia="Times New Roman" w:hAnsi="Times New Roman"/>
          <w:sz w:val="17"/>
          <w:szCs w:val="17"/>
          <w:u w:val="single" w:color="auto"/>
          <w:color w:val="auto"/>
        </w:rPr>
        <w:t>Lost Certificates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right="40" w:firstLine="417"/>
        <w:spacing w:after="0" w:line="259" w:lineRule="auto"/>
        <w:rPr>
          <w:sz w:val="20"/>
          <w:szCs w:val="20"/>
          <w:color w:val="auto"/>
        </w:rPr>
      </w:pPr>
      <w:r>
        <w:rPr>
          <w:rFonts w:ascii="Times New Roman" w:cs="Times New Roman" w:eastAsia="Times New Roman" w:hAnsi="Times New Roman"/>
          <w:sz w:val="17"/>
          <w:szCs w:val="17"/>
          <w:color w:val="auto"/>
        </w:rPr>
        <w:t xml:space="preserve">Except as provided in this </w:t>
      </w:r>
      <w:r>
        <w:rPr>
          <w:rFonts w:ascii="Times New Roman" w:cs="Times New Roman" w:eastAsia="Times New Roman" w:hAnsi="Times New Roman"/>
          <w:sz w:val="17"/>
          <w:szCs w:val="17"/>
          <w:u w:val="single" w:color="auto"/>
          <w:color w:val="auto"/>
        </w:rPr>
        <w:t>Section 7.4</w:t>
      </w:r>
      <w:r>
        <w:rPr>
          <w:rFonts w:ascii="Times New Roman" w:cs="Times New Roman" w:eastAsia="Times New Roman" w:hAnsi="Times New Roman"/>
          <w:sz w:val="17"/>
          <w:szCs w:val="17"/>
          <w:color w:val="auto"/>
        </w:rPr>
        <w:t>,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7.5 </w:t>
      </w:r>
      <w:r>
        <w:rPr>
          <w:rFonts w:ascii="Times New Roman" w:cs="Times New Roman" w:eastAsia="Times New Roman" w:hAnsi="Times New Roman"/>
          <w:sz w:val="17"/>
          <w:szCs w:val="17"/>
          <w:u w:val="single" w:color="auto"/>
          <w:color w:val="auto"/>
        </w:rPr>
        <w:t>Shares Without Certificates</w:t>
      </w:r>
    </w:p>
    <w:p>
      <w:pPr>
        <w:spacing w:after="0" w:line="111" w:lineRule="exact"/>
        <w:rPr>
          <w:sz w:val="20"/>
          <w:szCs w:val="20"/>
          <w:color w:val="auto"/>
        </w:rPr>
      </w:pPr>
    </w:p>
    <w:p>
      <w:pPr>
        <w:ind w:right="320" w:firstLine="417"/>
        <w:spacing w:after="0" w:line="283" w:lineRule="auto"/>
        <w:rPr>
          <w:sz w:val="20"/>
          <w:szCs w:val="20"/>
          <w:color w:val="auto"/>
        </w:rPr>
      </w:pPr>
      <w:r>
        <w:rPr>
          <w:rFonts w:ascii="Times New Roman" w:cs="Times New Roman" w:eastAsia="Times New Roman" w:hAnsi="Times New Roman"/>
          <w:sz w:val="17"/>
          <w:szCs w:val="17"/>
          <w:color w:val="auto"/>
        </w:rPr>
        <w:t>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7.6 </w:t>
      </w:r>
      <w:r>
        <w:rPr>
          <w:rFonts w:ascii="Times New Roman" w:cs="Times New Roman" w:eastAsia="Times New Roman" w:hAnsi="Times New Roman"/>
          <w:sz w:val="17"/>
          <w:szCs w:val="17"/>
          <w:u w:val="single" w:color="auto"/>
          <w:color w:val="auto"/>
        </w:rPr>
        <w:t>Construction; Definitions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right="180" w:firstLine="417"/>
        <w:spacing w:after="0" w:line="283" w:lineRule="auto"/>
        <w:rPr>
          <w:sz w:val="20"/>
          <w:szCs w:val="20"/>
          <w:color w:val="auto"/>
        </w:rPr>
      </w:pPr>
      <w:r>
        <w:rPr>
          <w:rFonts w:ascii="Times New Roman" w:cs="Times New Roman" w:eastAsia="Times New Roman" w:hAnsi="Times New Roman"/>
          <w:sz w:val="17"/>
          <w:szCs w:val="17"/>
          <w:color w:val="auto"/>
        </w:rPr>
        <w:t>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w:t>
      </w:r>
    </w:p>
    <w:p>
      <w:pPr>
        <w:spacing w:after="0" w:line="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7.7 </w:t>
      </w: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firstLine="417"/>
        <w:spacing w:after="0" w:line="283" w:lineRule="auto"/>
        <w:rPr>
          <w:sz w:val="20"/>
          <w:szCs w:val="20"/>
          <w:color w:val="auto"/>
        </w:rPr>
      </w:pPr>
      <w:r>
        <w:rPr>
          <w:rFonts w:ascii="Times New Roman" w:cs="Times New Roman" w:eastAsia="Times New Roman" w:hAnsi="Times New Roman"/>
          <w:sz w:val="17"/>
          <w:szCs w:val="17"/>
          <w:color w:val="auto"/>
        </w:rPr>
        <w:t>The Board, subject to any restrictions contained in either (i) the DGCL or (ii) the Certificate of Incorporation, may declare and pay dividends upon the shares of its capital stock. Dividends may be paid in cash, in property or in shares of the Corporation’s capital stock.</w:t>
      </w:r>
    </w:p>
    <w:p>
      <w:pPr>
        <w:spacing w:after="0" w:line="152" w:lineRule="exact"/>
        <w:rPr>
          <w:sz w:val="20"/>
          <w:szCs w:val="20"/>
          <w:color w:val="auto"/>
        </w:rPr>
      </w:pPr>
    </w:p>
    <w:p>
      <w:pPr>
        <w:ind w:right="160" w:firstLine="417"/>
        <w:spacing w:after="0" w:line="267" w:lineRule="auto"/>
        <w:rPr>
          <w:sz w:val="20"/>
          <w:szCs w:val="20"/>
          <w:color w:val="auto"/>
        </w:rPr>
      </w:pPr>
      <w:r>
        <w:rPr>
          <w:rFonts w:ascii="Times New Roman" w:cs="Times New Roman" w:eastAsia="Times New Roman" w:hAnsi="Times New Roman"/>
          <w:sz w:val="17"/>
          <w:szCs w:val="17"/>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7.8 </w:t>
      </w:r>
      <w:r>
        <w:rPr>
          <w:rFonts w:ascii="Times New Roman" w:cs="Times New Roman" w:eastAsia="Times New Roman" w:hAnsi="Times New Roman"/>
          <w:sz w:val="17"/>
          <w:szCs w:val="17"/>
          <w:u w:val="single" w:color="auto"/>
          <w:color w:val="auto"/>
        </w:rPr>
        <w:t>Fiscal Year</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fiscal year of the Corporation shall be fixed by resolution of the Board and may be changed by the Board.</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7.9 </w:t>
      </w:r>
      <w:r>
        <w:rPr>
          <w:rFonts w:ascii="Times New Roman" w:cs="Times New Roman" w:eastAsia="Times New Roman" w:hAnsi="Times New Roman"/>
          <w:sz w:val="17"/>
          <w:szCs w:val="17"/>
          <w:u w:val="single" w:color="auto"/>
          <w:color w:val="auto"/>
        </w:rPr>
        <w:t>Seal</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right="560" w:firstLine="417"/>
        <w:spacing w:after="0" w:line="283" w:lineRule="auto"/>
        <w:rPr>
          <w:sz w:val="20"/>
          <w:szCs w:val="20"/>
          <w:color w:val="auto"/>
        </w:rPr>
      </w:pPr>
      <w:r>
        <w:rPr>
          <w:rFonts w:ascii="Times New Roman" w:cs="Times New Roman" w:eastAsia="Times New Roman" w:hAnsi="Times New Roman"/>
          <w:sz w:val="17"/>
          <w:szCs w:val="17"/>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7.10 </w:t>
      </w:r>
      <w:r>
        <w:rPr>
          <w:rFonts w:ascii="Times New Roman" w:cs="Times New Roman" w:eastAsia="Times New Roman" w:hAnsi="Times New Roman"/>
          <w:sz w:val="17"/>
          <w:szCs w:val="17"/>
          <w:u w:val="single" w:color="auto"/>
          <w:color w:val="auto"/>
        </w:rPr>
        <w:t>Transfer of Stock</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jc w:val="both"/>
        <w:ind w:right="100" w:firstLine="417"/>
        <w:spacing w:after="0" w:line="267" w:lineRule="auto"/>
        <w:rPr>
          <w:sz w:val="20"/>
          <w:szCs w:val="20"/>
          <w:color w:val="auto"/>
        </w:rPr>
      </w:pPr>
      <w:r>
        <w:rPr>
          <w:rFonts w:ascii="Times New Roman" w:cs="Times New Roman" w:eastAsia="Times New Roman" w:hAnsi="Times New Roman"/>
          <w:sz w:val="17"/>
          <w:szCs w:val="17"/>
          <w:color w:val="auto"/>
        </w:rPr>
        <w:t>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0400"/>
          </w:cols>
          <w:pgMar w:left="740" w:top="264" w:right="759" w:bottom="1440" w:gutter="0" w:footer="0" w:header="0"/>
        </w:sectPr>
      </w:pPr>
    </w:p>
    <w:bookmarkStart w:id="359" w:name="page360"/>
    <w:bookmarkEnd w:id="359"/>
    <w:p>
      <w:pPr>
        <w:ind w:right="20"/>
        <w:spacing w:after="0" w:line="25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7.11 </w:t>
      </w:r>
      <w:r>
        <w:rPr>
          <w:rFonts w:ascii="Times New Roman" w:cs="Times New Roman" w:eastAsia="Times New Roman" w:hAnsi="Times New Roman"/>
          <w:sz w:val="17"/>
          <w:szCs w:val="17"/>
          <w:u w:val="single" w:color="auto"/>
          <w:color w:val="auto"/>
        </w:rPr>
        <w:t>Stock Transfer Agreements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right="140" w:firstLine="417"/>
        <w:spacing w:after="0" w:line="267" w:lineRule="auto"/>
        <w:rPr>
          <w:sz w:val="20"/>
          <w:szCs w:val="20"/>
          <w:color w:val="auto"/>
        </w:rPr>
      </w:pPr>
      <w:r>
        <w:rPr>
          <w:rFonts w:ascii="Times New Roman" w:cs="Times New Roman" w:eastAsia="Times New Roman" w:hAnsi="Times New Roman"/>
          <w:sz w:val="17"/>
          <w:szCs w:val="17"/>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7.12 </w:t>
      </w:r>
      <w:r>
        <w:rPr>
          <w:rFonts w:ascii="Times New Roman" w:cs="Times New Roman" w:eastAsia="Times New Roman" w:hAnsi="Times New Roman"/>
          <w:sz w:val="17"/>
          <w:szCs w:val="17"/>
          <w:u w:val="single" w:color="auto"/>
          <w:color w:val="auto"/>
        </w:rPr>
        <w:t>Registered Stockholders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Corporation:</w:t>
      </w:r>
    </w:p>
    <w:p>
      <w:pPr>
        <w:spacing w:after="0" w:line="111" w:lineRule="exact"/>
        <w:rPr>
          <w:sz w:val="20"/>
          <w:szCs w:val="20"/>
          <w:color w:val="auto"/>
        </w:rPr>
      </w:pPr>
    </w:p>
    <w:p>
      <w:pPr>
        <w:ind w:right="220" w:firstLine="929"/>
        <w:spacing w:after="0" w:line="283" w:lineRule="auto"/>
        <w:tabs>
          <w:tab w:leader="none" w:pos="1142"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be entitled to recognize the exclusive right of a person registered on its books as the owner of shares to receive dividends and to vote as such owner; and</w:t>
      </w:r>
    </w:p>
    <w:p>
      <w:pPr>
        <w:spacing w:after="0" w:line="50" w:lineRule="exact"/>
        <w:rPr>
          <w:rFonts w:ascii="Times New Roman" w:cs="Times New Roman" w:eastAsia="Times New Roman" w:hAnsi="Times New Roman"/>
          <w:sz w:val="17"/>
          <w:szCs w:val="17"/>
          <w:color w:val="auto"/>
        </w:rPr>
      </w:pPr>
    </w:p>
    <w:p>
      <w:pPr>
        <w:ind w:right="20" w:firstLine="929"/>
        <w:spacing w:after="0" w:line="283" w:lineRule="auto"/>
        <w:tabs>
          <w:tab w:leader="none" w:pos="1189"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not be bound to recognize any equitable or other claim to or interest in such share or shares on the part of another person, whether or not it shall have express or other notice thereof, except as otherwise provided by the laws of the State of Delaware.</w:t>
      </w:r>
    </w:p>
    <w:p>
      <w:pPr>
        <w:spacing w:after="0" w:line="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7.13 </w:t>
      </w:r>
      <w:r>
        <w:rPr>
          <w:rFonts w:ascii="Times New Roman" w:cs="Times New Roman" w:eastAsia="Times New Roman" w:hAnsi="Times New Roman"/>
          <w:sz w:val="17"/>
          <w:szCs w:val="17"/>
          <w:u w:val="single" w:color="auto"/>
          <w:color w:val="auto"/>
        </w:rPr>
        <w:t>Waiver of Notice</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right="220" w:firstLine="417"/>
        <w:spacing w:after="0" w:line="256" w:lineRule="auto"/>
        <w:rPr>
          <w:sz w:val="20"/>
          <w:szCs w:val="20"/>
          <w:color w:val="auto"/>
        </w:rPr>
      </w:pPr>
      <w:r>
        <w:rPr>
          <w:rFonts w:ascii="Times New Roman" w:cs="Times New Roman" w:eastAsia="Times New Roman" w:hAnsi="Times New Roman"/>
          <w:sz w:val="17"/>
          <w:szCs w:val="17"/>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VIII - Notice</w:t>
      </w:r>
    </w:p>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8.1 </w:t>
      </w:r>
      <w:r>
        <w:rPr>
          <w:rFonts w:ascii="Times New Roman" w:cs="Times New Roman" w:eastAsia="Times New Roman" w:hAnsi="Times New Roman"/>
          <w:sz w:val="17"/>
          <w:szCs w:val="17"/>
          <w:u w:val="single" w:color="auto"/>
          <w:color w:val="auto"/>
        </w:rPr>
        <w:t>Delivery of Notice; Notice by Electronic Transmission</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firstLine="417"/>
        <w:spacing w:after="0" w:line="256" w:lineRule="auto"/>
        <w:rPr>
          <w:sz w:val="20"/>
          <w:szCs w:val="20"/>
          <w:color w:val="auto"/>
        </w:rPr>
      </w:pPr>
      <w:r>
        <w:rPr>
          <w:rFonts w:ascii="Times New Roman" w:cs="Times New Roman" w:eastAsia="Times New Roman" w:hAnsi="Times New Roman"/>
          <w:sz w:val="17"/>
          <w:szCs w:val="17"/>
          <w:color w:val="auto"/>
        </w:rPr>
        <w:t>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0420"/>
          </w:cols>
          <w:pgMar w:left="740" w:top="264" w:right="739" w:bottom="1440" w:gutter="0" w:footer="0" w:header="0"/>
        </w:sectPr>
      </w:pPr>
    </w:p>
    <w:bookmarkStart w:id="360" w:name="page361"/>
    <w:bookmarkEnd w:id="360"/>
    <w:p>
      <w:pPr>
        <w:ind w:right="180" w:firstLine="417"/>
        <w:spacing w:after="0" w:line="25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without obtaining the consent required by this paragraph.</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Any notice given pursuant to the preceding paragraph shall be deemed given:</w:t>
      </w:r>
    </w:p>
    <w:p>
      <w:pPr>
        <w:spacing w:after="0" w:line="124" w:lineRule="exact"/>
        <w:rPr>
          <w:sz w:val="20"/>
          <w:szCs w:val="20"/>
          <w:color w:val="auto"/>
        </w:rPr>
      </w:pPr>
    </w:p>
    <w:p>
      <w:pPr>
        <w:ind w:left="1340" w:hanging="416"/>
        <w:spacing w:after="0"/>
        <w:tabs>
          <w:tab w:leader="none" w:pos="1340"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by facsimile telecommunication, when directed to a number at which the stockholder has consented to receive notice;</w:t>
      </w:r>
    </w:p>
    <w:p>
      <w:pPr>
        <w:spacing w:after="0" w:line="123" w:lineRule="exact"/>
        <w:rPr>
          <w:rFonts w:ascii="Times New Roman" w:cs="Times New Roman" w:eastAsia="Times New Roman" w:hAnsi="Times New Roman"/>
          <w:sz w:val="17"/>
          <w:szCs w:val="17"/>
          <w:color w:val="auto"/>
        </w:rPr>
      </w:pPr>
    </w:p>
    <w:p>
      <w:pPr>
        <w:ind w:left="1340" w:hanging="416"/>
        <w:spacing w:after="0"/>
        <w:tabs>
          <w:tab w:leader="none" w:pos="1340"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by a posting on an electronic network together with separate notice to the stockholder of such specific posting, upon the later of</w:t>
      </w:r>
    </w:p>
    <w:p>
      <w:pPr>
        <w:spacing w:after="0" w:line="26" w:lineRule="exact"/>
        <w:rPr>
          <w:rFonts w:ascii="Times New Roman" w:cs="Times New Roman" w:eastAsia="Times New Roman" w:hAnsi="Times New Roman"/>
          <w:sz w:val="17"/>
          <w:szCs w:val="17"/>
          <w:color w:val="auto"/>
        </w:rPr>
      </w:pPr>
    </w:p>
    <w:p>
      <w:pPr>
        <w:ind w:left="1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such posting and (B) the giving of such separate notice; and</w:t>
      </w:r>
    </w:p>
    <w:p>
      <w:pPr>
        <w:spacing w:after="0" w:line="106" w:lineRule="exact"/>
        <w:rPr>
          <w:rFonts w:ascii="Times New Roman" w:cs="Times New Roman" w:eastAsia="Times New Roman" w:hAnsi="Times New Roman"/>
          <w:sz w:val="17"/>
          <w:szCs w:val="17"/>
          <w:color w:val="auto"/>
        </w:rPr>
      </w:pPr>
    </w:p>
    <w:p>
      <w:pPr>
        <w:ind w:left="1340" w:hanging="416"/>
        <w:spacing w:after="0"/>
        <w:tabs>
          <w:tab w:leader="none" w:pos="1340"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by any other form of electronic transmission, when directed to the stockholder.</w:t>
      </w:r>
    </w:p>
    <w:p>
      <w:pPr>
        <w:spacing w:after="0" w:line="213" w:lineRule="exact"/>
        <w:rPr>
          <w:sz w:val="20"/>
          <w:szCs w:val="20"/>
          <w:color w:val="auto"/>
        </w:rPr>
      </w:pPr>
    </w:p>
    <w:p>
      <w:pPr>
        <w:ind w:right="100" w:firstLine="417"/>
        <w:spacing w:after="0" w:line="261" w:lineRule="auto"/>
        <w:rPr>
          <w:sz w:val="20"/>
          <w:szCs w:val="20"/>
          <w:color w:val="auto"/>
        </w:rPr>
      </w:pPr>
      <w:r>
        <w:rPr>
          <w:rFonts w:ascii="Times New Roman" w:cs="Times New Roman" w:eastAsia="Times New Roman" w:hAnsi="Times New Roman"/>
          <w:sz w:val="17"/>
          <w:szCs w:val="17"/>
          <w:color w:val="auto"/>
        </w:rPr>
        <w:t>Notwithstanding the foregoing, a notice may not be given by an electronic transmission from and after the time that (1) the Corporation is unable to deliver by such electronic transmission two (2) consecutive notices given by the Corporation and (2) such inability becomes known to the Secretary or an Assistant Secretary of the Corporation or to the transfer agent, or other person responsible for the giving of notice, provided, however, the inadvertent failure to discover such inability shall not invalidate any meeting or other action.</w:t>
      </w:r>
    </w:p>
    <w:p>
      <w:pPr>
        <w:spacing w:after="0" w:line="172" w:lineRule="exact"/>
        <w:rPr>
          <w:sz w:val="20"/>
          <w:szCs w:val="20"/>
          <w:color w:val="auto"/>
        </w:rPr>
      </w:pPr>
    </w:p>
    <w:p>
      <w:pPr>
        <w:ind w:right="360" w:firstLine="417"/>
        <w:spacing w:after="0" w:line="283" w:lineRule="auto"/>
        <w:rPr>
          <w:sz w:val="20"/>
          <w:szCs w:val="20"/>
          <w:color w:val="auto"/>
        </w:rPr>
      </w:pPr>
      <w:r>
        <w:rPr>
          <w:rFonts w:ascii="Times New Roman" w:cs="Times New Roman" w:eastAsia="Times New Roman" w:hAnsi="Times New Roman"/>
          <w:sz w:val="17"/>
          <w:szCs w:val="17"/>
          <w:color w:val="auto"/>
        </w:rPr>
        <w:t>An affidavit of the Secretary or an Assistant Secretary or of the transfer agent or other agent of the Corporation that the notice has been given shall, in the absence of fraud, be prima facie evidence of the facts stated therein.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IX - Indemnification</w:t>
      </w:r>
    </w:p>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9.1 </w:t>
      </w:r>
      <w:r>
        <w:rPr>
          <w:rFonts w:ascii="Times New Roman" w:cs="Times New Roman" w:eastAsia="Times New Roman" w:hAnsi="Times New Roman"/>
          <w:sz w:val="17"/>
          <w:szCs w:val="17"/>
          <w:u w:val="single" w:color="auto"/>
          <w:color w:val="auto"/>
        </w:rPr>
        <w:t>Indemnification of Directors and Officers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firstLine="417"/>
        <w:spacing w:after="0" w:line="254" w:lineRule="auto"/>
        <w:rPr>
          <w:sz w:val="20"/>
          <w:szCs w:val="20"/>
          <w:color w:val="auto"/>
        </w:rPr>
      </w:pPr>
      <w:r>
        <w:rPr>
          <w:rFonts w:ascii="Times New Roman" w:cs="Times New Roman" w:eastAsia="Times New Roman" w:hAnsi="Times New Roman"/>
          <w:sz w:val="17"/>
          <w:szCs w:val="17"/>
          <w:color w:val="auto"/>
        </w:rPr>
        <w:t>The Corporation shall indemnify and hold harmless, to the fullest extent permitted by the DGCL as it presently exists or may hereafter be amended, any director or officer of the Corporation who was or is made or is threatened to be made a party or is otherwise involved in any action, suit or proceeding, whether civil, criminal, administrative or investigative (a “</w:t>
      </w:r>
      <w:r>
        <w:rPr>
          <w:rFonts w:ascii="Times New Roman" w:cs="Times New Roman" w:eastAsia="Times New Roman" w:hAnsi="Times New Roman"/>
          <w:sz w:val="17"/>
          <w:szCs w:val="17"/>
          <w:u w:val="single" w:color="auto"/>
          <w:color w:val="auto"/>
        </w:rPr>
        <w:t>Proceeding</w:t>
      </w:r>
      <w:r>
        <w:rPr>
          <w:rFonts w:ascii="Times New Roman" w:cs="Times New Roman" w:eastAsia="Times New Roman" w:hAnsi="Times New Roman"/>
          <w:sz w:val="17"/>
          <w:szCs w:val="17"/>
          <w:color w:val="auto"/>
        </w:rPr>
        <w:t xml:space="preserve">”)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employee or agent of another corporation or of a partnership (a “covered person”),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person in connection with any such Proceeding. Notwithstanding the preceding sentence, except as otherwise provided in </w:t>
      </w:r>
      <w:r>
        <w:rPr>
          <w:rFonts w:ascii="Times New Roman" w:cs="Times New Roman" w:eastAsia="Times New Roman" w:hAnsi="Times New Roman"/>
          <w:sz w:val="17"/>
          <w:szCs w:val="17"/>
          <w:u w:val="single" w:color="auto"/>
          <w:color w:val="auto"/>
        </w:rPr>
        <w:t>Section 9.4</w:t>
      </w:r>
      <w:r>
        <w:rPr>
          <w:rFonts w:ascii="Times New Roman" w:cs="Times New Roman" w:eastAsia="Times New Roman" w:hAnsi="Times New Roman"/>
          <w:sz w:val="17"/>
          <w:szCs w:val="17"/>
          <w:color w:val="auto"/>
        </w:rPr>
        <w:t>, the Corporation shall be required to indemnify a person in connection with a Proceeding initiated by such person only if the Proceeding was authorized in the specific case by the Board.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0400"/>
          </w:cols>
          <w:pgMar w:left="740" w:top="263" w:right="759" w:bottom="1440" w:gutter="0" w:footer="0" w:header="0"/>
        </w:sectPr>
      </w:pPr>
    </w:p>
    <w:bookmarkStart w:id="361" w:name="page362"/>
    <w:bookmarkEnd w:id="361"/>
    <w:p>
      <w:pPr>
        <w:ind w:left="4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9.2 </w:t>
      </w:r>
      <w:r>
        <w:rPr>
          <w:rFonts w:ascii="Times New Roman" w:cs="Times New Roman" w:eastAsia="Times New Roman" w:hAnsi="Times New Roman"/>
          <w:sz w:val="17"/>
          <w:szCs w:val="17"/>
          <w:u w:val="single" w:color="auto"/>
          <w:color w:val="auto"/>
        </w:rPr>
        <w:t>Indemnification of Others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right="40" w:firstLine="417"/>
        <w:spacing w:after="0" w:line="257" w:lineRule="auto"/>
        <w:rPr>
          <w:sz w:val="20"/>
          <w:szCs w:val="20"/>
          <w:color w:val="auto"/>
        </w:rPr>
      </w:pPr>
      <w:r>
        <w:rPr>
          <w:rFonts w:ascii="Times New Roman" w:cs="Times New Roman" w:eastAsia="Times New Roman" w:hAnsi="Times New Roman"/>
          <w:sz w:val="17"/>
          <w:szCs w:val="17"/>
          <w:color w:val="auto"/>
        </w:rPr>
        <w:t>The Corporation shall have the power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9.3 </w:t>
      </w:r>
      <w:r>
        <w:rPr>
          <w:rFonts w:ascii="Times New Roman" w:cs="Times New Roman" w:eastAsia="Times New Roman" w:hAnsi="Times New Roman"/>
          <w:sz w:val="17"/>
          <w:szCs w:val="17"/>
          <w:u w:val="single" w:color="auto"/>
          <w:color w:val="auto"/>
        </w:rPr>
        <w:t>Prepayment of Expenses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firstLine="417"/>
        <w:spacing w:after="0" w:line="259" w:lineRule="auto"/>
        <w:rPr>
          <w:sz w:val="20"/>
          <w:szCs w:val="20"/>
          <w:color w:val="auto"/>
        </w:rPr>
      </w:pPr>
      <w:r>
        <w:rPr>
          <w:rFonts w:ascii="Times New Roman" w:cs="Times New Roman" w:eastAsia="Times New Roman" w:hAnsi="Times New Roman"/>
          <w:sz w:val="17"/>
          <w:szCs w:val="17"/>
          <w:color w:val="auto"/>
        </w:rPr>
        <w:t xml:space="preserve">The Corporation shall to the fullest extent not prohibited by applicable law pay the expenses (including attorneys’ fees) incurred by any covered person, and may pay the expenses incurred by any employee or agent of the Corporation, in defending any Proceeding in advance of its final disposition;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such payment of expenses in advance of the final disposition of the Proceeding shall be made only upon receipt of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undertaking by the person to repay all amounts advanced if it should be ultimately determined that the person is not entitled to be indemnified under this Article IX or otherwise.</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9.4 </w:t>
      </w:r>
      <w:r>
        <w:rPr>
          <w:rFonts w:ascii="Times New Roman" w:cs="Times New Roman" w:eastAsia="Times New Roman" w:hAnsi="Times New Roman"/>
          <w:sz w:val="17"/>
          <w:szCs w:val="17"/>
          <w:u w:val="single" w:color="auto"/>
          <w:color w:val="auto"/>
        </w:rPr>
        <w:t>Determination; Claim</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right="20" w:firstLine="417"/>
        <w:spacing w:after="0" w:line="259" w:lineRule="auto"/>
        <w:rPr>
          <w:sz w:val="20"/>
          <w:szCs w:val="20"/>
          <w:color w:val="auto"/>
        </w:rPr>
      </w:pPr>
      <w:r>
        <w:rPr>
          <w:rFonts w:ascii="Times New Roman" w:cs="Times New Roman" w:eastAsia="Times New Roman" w:hAnsi="Times New Roman"/>
          <w:sz w:val="17"/>
          <w:szCs w:val="17"/>
          <w:color w:val="auto"/>
        </w:rPr>
        <w:t>If a claim for indemnification (following the final disposition of such Proceeding) under this Article IX is not paid in full within sixty (60) days, or a claim for advancement of expenses under this Article IX is not paid in full within thirty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9.5 </w:t>
      </w:r>
      <w:r>
        <w:rPr>
          <w:rFonts w:ascii="Times New Roman" w:cs="Times New Roman" w:eastAsia="Times New Roman" w:hAnsi="Times New Roman"/>
          <w:sz w:val="17"/>
          <w:szCs w:val="17"/>
          <w:u w:val="single" w:color="auto"/>
          <w:color w:val="auto"/>
        </w:rPr>
        <w:t>Non-Exclusivity of Rights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right="200" w:firstLine="417"/>
        <w:spacing w:after="0" w:line="315" w:lineRule="auto"/>
        <w:rPr>
          <w:sz w:val="20"/>
          <w:szCs w:val="20"/>
          <w:color w:val="auto"/>
        </w:rPr>
      </w:pPr>
      <w:r>
        <w:rPr>
          <w:rFonts w:ascii="Times New Roman" w:cs="Times New Roman" w:eastAsia="Times New Roman" w:hAnsi="Times New Roman"/>
          <w:sz w:val="16"/>
          <w:szCs w:val="16"/>
          <w:color w:val="auto"/>
        </w:rPr>
        <w:t>The rights conferred on any person by this Article IX shall not be exclusive of any other rights which such person may have or hereafter acquire under any statute, provision of the Certificate of Incorporation, these Bylaws, agreement, vote of stockholders or disinterested directors or otherwise.</w:t>
      </w:r>
    </w:p>
    <w:p>
      <w:pPr>
        <w:spacing w:after="0" w:line="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9.6 </w:t>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right="80" w:firstLine="417"/>
        <w:spacing w:after="0" w:line="259" w:lineRule="auto"/>
        <w:rPr>
          <w:sz w:val="20"/>
          <w:szCs w:val="20"/>
          <w:color w:val="auto"/>
        </w:rPr>
      </w:pPr>
      <w:r>
        <w:rPr>
          <w:rFonts w:ascii="Times New Roman" w:cs="Times New Roman" w:eastAsia="Times New Roman" w:hAnsi="Times New Roman"/>
          <w:sz w:val="17"/>
          <w:szCs w:val="17"/>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0420"/>
          </w:cols>
          <w:pgMar w:left="740" w:top="264" w:right="739" w:bottom="1440" w:gutter="0" w:footer="0" w:header="0"/>
        </w:sectPr>
      </w:pPr>
    </w:p>
    <w:bookmarkStart w:id="362" w:name="page363"/>
    <w:bookmarkEnd w:id="362"/>
    <w:p>
      <w:pPr>
        <w:ind w:left="4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9.7 </w:t>
      </w:r>
      <w:r>
        <w:rPr>
          <w:rFonts w:ascii="Times New Roman" w:cs="Times New Roman" w:eastAsia="Times New Roman" w:hAnsi="Times New Roman"/>
          <w:sz w:val="17"/>
          <w:szCs w:val="17"/>
          <w:u w:val="single" w:color="auto"/>
          <w:color w:val="auto"/>
        </w:rPr>
        <w:t>Other Indemnification</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right="240" w:firstLine="417"/>
        <w:spacing w:after="0" w:line="261" w:lineRule="auto"/>
        <w:rPr>
          <w:sz w:val="20"/>
          <w:szCs w:val="20"/>
          <w:color w:val="auto"/>
        </w:rPr>
      </w:pPr>
      <w:r>
        <w:rPr>
          <w:rFonts w:ascii="Times New Roman" w:cs="Times New Roman" w:eastAsia="Times New Roman" w:hAnsi="Times New Roman"/>
          <w:sz w:val="17"/>
          <w:szCs w:val="17"/>
          <w:color w:val="auto"/>
        </w:rPr>
        <w:t>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enterprise.</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9.8 </w:t>
      </w:r>
      <w:r>
        <w:rPr>
          <w:rFonts w:ascii="Times New Roman" w:cs="Times New Roman" w:eastAsia="Times New Roman" w:hAnsi="Times New Roman"/>
          <w:sz w:val="17"/>
          <w:szCs w:val="17"/>
          <w:u w:val="single" w:color="auto"/>
          <w:color w:val="auto"/>
        </w:rPr>
        <w:t>Continuation of Indemnification</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right="220" w:firstLine="417"/>
        <w:spacing w:after="0" w:line="267" w:lineRule="auto"/>
        <w:rPr>
          <w:sz w:val="20"/>
          <w:szCs w:val="20"/>
          <w:color w:val="auto"/>
        </w:rPr>
      </w:pPr>
      <w:r>
        <w:rPr>
          <w:rFonts w:ascii="Times New Roman" w:cs="Times New Roman" w:eastAsia="Times New Roman" w:hAnsi="Times New Roman"/>
          <w:sz w:val="17"/>
          <w:szCs w:val="17"/>
          <w:color w:val="auto"/>
        </w:rPr>
        <w:t>The rights to indemnification and to prepayment of expenses provided by, or granted pursuant to, this Article IX shall continue notwithstanding that the person has ceased to be a director or officer of the Corporation and shall inure to the benefit of the estate, heirs, executors, administrators, legatees and distributees of such person.</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9.9 </w:t>
      </w:r>
      <w:r>
        <w:rPr>
          <w:rFonts w:ascii="Times New Roman" w:cs="Times New Roman" w:eastAsia="Times New Roman" w:hAnsi="Times New Roman"/>
          <w:sz w:val="17"/>
          <w:szCs w:val="17"/>
          <w:u w:val="single" w:color="auto"/>
          <w:color w:val="auto"/>
        </w:rPr>
        <w:t>Amendment or Repeal; Interpretation</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firstLine="417"/>
        <w:spacing w:after="0" w:line="254" w:lineRule="auto"/>
        <w:rPr>
          <w:sz w:val="20"/>
          <w:szCs w:val="20"/>
          <w:color w:val="auto"/>
        </w:rPr>
      </w:pPr>
      <w:r>
        <w:rPr>
          <w:rFonts w:ascii="Times New Roman" w:cs="Times New Roman" w:eastAsia="Times New Roman" w:hAnsi="Times New Roman"/>
          <w:sz w:val="17"/>
          <w:szCs w:val="17"/>
          <w:color w:val="auto"/>
        </w:rPr>
        <w:t>The provisions of this Article IX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IX the Corporation intends to be legally bound to each such current or former director or officer of the Corporation. With respect to current and former directors and officers of the Corporation, the rights conferred under this Article IX are present contractual rights and such rights are fully vested, and shall be deemed to have vested fully, immediately upon adoption of these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IX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w:t>
      </w:r>
    </w:p>
    <w:p>
      <w:pPr>
        <w:spacing w:after="0" w:line="177" w:lineRule="exact"/>
        <w:rPr>
          <w:sz w:val="20"/>
          <w:szCs w:val="20"/>
          <w:color w:val="auto"/>
        </w:rPr>
      </w:pPr>
    </w:p>
    <w:p>
      <w:pPr>
        <w:ind w:firstLine="417"/>
        <w:spacing w:after="0" w:line="254" w:lineRule="auto"/>
        <w:rPr>
          <w:sz w:val="20"/>
          <w:szCs w:val="20"/>
          <w:color w:val="auto"/>
        </w:rPr>
      </w:pPr>
      <w:r>
        <w:rPr>
          <w:rFonts w:ascii="Times New Roman" w:cs="Times New Roman" w:eastAsia="Times New Roman" w:hAnsi="Times New Roman"/>
          <w:sz w:val="17"/>
          <w:szCs w:val="17"/>
          <w:color w:val="auto"/>
        </w:rPr>
        <w:t>Any reference to an officer of the Corporation in this Article IX shall be deemed to refer exclusively to the Chief Executive Officer, President, and Secretary, or other officer of the Corporation appointed by (x) the Board pursuant to Article V of these Bylaws or (y) an officer to whom the Board has delegated the power to appoint officers pursuant to Article V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 for purposes of this Article IX.</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0400"/>
          </w:cols>
          <w:pgMar w:left="740" w:top="264" w:right="759" w:bottom="1440" w:gutter="0" w:footer="0" w:header="0"/>
        </w:sectPr>
      </w:pPr>
    </w:p>
    <w:bookmarkStart w:id="363" w:name="page364"/>
    <w:bookmarkEnd w:id="363"/>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Article X - Amendments</w:t>
      </w:r>
    </w:p>
    <w:p>
      <w:pPr>
        <w:spacing w:after="0" w:line="217" w:lineRule="exact"/>
        <w:rPr>
          <w:sz w:val="20"/>
          <w:szCs w:val="20"/>
          <w:color w:val="auto"/>
        </w:rPr>
      </w:pPr>
    </w:p>
    <w:p>
      <w:pPr>
        <w:ind w:right="80" w:firstLine="417"/>
        <w:spacing w:after="0" w:line="261" w:lineRule="auto"/>
        <w:rPr>
          <w:sz w:val="20"/>
          <w:szCs w:val="20"/>
          <w:color w:val="auto"/>
        </w:rPr>
      </w:pPr>
      <w:r>
        <w:rPr>
          <w:rFonts w:ascii="Times New Roman" w:cs="Times New Roman" w:eastAsia="Times New Roman" w:hAnsi="Times New Roman"/>
          <w:sz w:val="17"/>
          <w:szCs w:val="17"/>
          <w:color w:val="auto"/>
        </w:rPr>
        <w:t xml:space="preserve">The Board is expressly empowered to adopt, amend or repeal the Bylaws of the Corporation. The stockholders also shall have power to adopt, amend or repeal the Bylaws of the Corporation;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such action by stockholders shall require, in addition to any other vote required by the Certificate of Incorporation or applicable law, the affirmative vote of the holders of at least two-thirds of the voting power of all the then-outstanding shares of voting stock of the Corporation with the power to vote generally in an election of directors, voting together as a single class.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XI - Definitions</w:t>
      </w:r>
    </w:p>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As used in these Bylaws, unless the context otherwise requires, the following terms shall have the following meanings:</w:t>
      </w:r>
    </w:p>
    <w:p>
      <w:pPr>
        <w:spacing w:after="0" w:line="213" w:lineRule="exact"/>
        <w:rPr>
          <w:sz w:val="20"/>
          <w:szCs w:val="20"/>
          <w:color w:val="auto"/>
        </w:rPr>
      </w:pPr>
    </w:p>
    <w:p>
      <w:pPr>
        <w:ind w:firstLine="417"/>
        <w:spacing w:after="0" w:line="261" w:lineRule="auto"/>
        <w:rPr>
          <w:sz w:val="20"/>
          <w:szCs w:val="20"/>
          <w:color w:val="auto"/>
        </w:rPr>
      </w:pPr>
      <w:r>
        <w:rPr>
          <w:rFonts w:ascii="Times New Roman" w:cs="Times New Roman" w:eastAsia="Times New Roman" w:hAnsi="Times New Roman"/>
          <w:sz w:val="17"/>
          <w:szCs w:val="17"/>
          <w:color w:val="auto"/>
        </w:rPr>
        <w:t>An “</w:t>
      </w:r>
      <w:r>
        <w:rPr>
          <w:rFonts w:ascii="Times New Roman" w:cs="Times New Roman" w:eastAsia="Times New Roman" w:hAnsi="Times New Roman"/>
          <w:sz w:val="17"/>
          <w:szCs w:val="17"/>
          <w:u w:val="single" w:color="auto"/>
          <w:color w:val="auto"/>
        </w:rPr>
        <w:t>electronic transmission</w:t>
      </w:r>
      <w:r>
        <w:rPr>
          <w:rFonts w:ascii="Times New Roman" w:cs="Times New Roman" w:eastAsia="Times New Roman" w:hAnsi="Times New Roman"/>
          <w:sz w:val="17"/>
          <w:szCs w:val="17"/>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172" w:lineRule="exact"/>
        <w:rPr>
          <w:sz w:val="20"/>
          <w:szCs w:val="20"/>
          <w:color w:val="auto"/>
        </w:rPr>
      </w:pPr>
    </w:p>
    <w:p>
      <w:pPr>
        <w:ind w:right="160" w:firstLine="417"/>
        <w:spacing w:after="0" w:line="267" w:lineRule="auto"/>
        <w:rPr>
          <w:sz w:val="20"/>
          <w:szCs w:val="20"/>
          <w:color w:val="auto"/>
        </w:rPr>
      </w:pPr>
      <w:r>
        <w:rPr>
          <w:rFonts w:ascii="Times New Roman" w:cs="Times New Roman" w:eastAsia="Times New Roman" w:hAnsi="Times New Roman"/>
          <w:sz w:val="17"/>
          <w:szCs w:val="17"/>
          <w:color w:val="auto"/>
        </w:rPr>
        <w:t>An “</w:t>
      </w:r>
      <w:r>
        <w:rPr>
          <w:rFonts w:ascii="Times New Roman" w:cs="Times New Roman" w:eastAsia="Times New Roman" w:hAnsi="Times New Roman"/>
          <w:sz w:val="17"/>
          <w:szCs w:val="17"/>
          <w:u w:val="single" w:color="auto"/>
          <w:color w:val="auto"/>
        </w:rPr>
        <w:t>electronic mail</w:t>
      </w:r>
      <w:r>
        <w:rPr>
          <w:rFonts w:ascii="Times New Roman" w:cs="Times New Roman" w:eastAsia="Times New Roman" w:hAnsi="Times New Roman"/>
          <w:sz w:val="17"/>
          <w:szCs w:val="17"/>
          <w:color w:val="auto"/>
        </w:rPr>
        <w:t>”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w:t>
      </w:r>
    </w:p>
    <w:p>
      <w:pPr>
        <w:spacing w:after="0" w:line="165" w:lineRule="exact"/>
        <w:rPr>
          <w:sz w:val="20"/>
          <w:szCs w:val="20"/>
          <w:color w:val="auto"/>
        </w:rPr>
      </w:pPr>
    </w:p>
    <w:p>
      <w:pPr>
        <w:ind w:right="360" w:firstLine="417"/>
        <w:spacing w:after="0" w:line="267" w:lineRule="auto"/>
        <w:rPr>
          <w:sz w:val="20"/>
          <w:szCs w:val="20"/>
          <w:color w:val="auto"/>
        </w:rPr>
      </w:pPr>
      <w:r>
        <w:rPr>
          <w:rFonts w:ascii="Times New Roman" w:cs="Times New Roman" w:eastAsia="Times New Roman" w:hAnsi="Times New Roman"/>
          <w:sz w:val="17"/>
          <w:szCs w:val="17"/>
          <w:color w:val="auto"/>
        </w:rPr>
        <w:t>An “</w:t>
      </w:r>
      <w:r>
        <w:rPr>
          <w:rFonts w:ascii="Times New Roman" w:cs="Times New Roman" w:eastAsia="Times New Roman" w:hAnsi="Times New Roman"/>
          <w:sz w:val="17"/>
          <w:szCs w:val="17"/>
          <w:u w:val="single" w:color="auto"/>
          <w:color w:val="auto"/>
        </w:rPr>
        <w:t>electronic mail address</w:t>
      </w:r>
      <w:r>
        <w:rPr>
          <w:rFonts w:ascii="Times New Roman" w:cs="Times New Roman" w:eastAsia="Times New Roman" w:hAnsi="Times New Roman"/>
          <w:sz w:val="17"/>
          <w:szCs w:val="17"/>
          <w:color w:val="auto"/>
        </w:rPr>
        <w:t>”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165" w:lineRule="exact"/>
        <w:rPr>
          <w:sz w:val="20"/>
          <w:szCs w:val="20"/>
          <w:color w:val="auto"/>
        </w:rPr>
      </w:pPr>
    </w:p>
    <w:p>
      <w:pPr>
        <w:ind w:firstLine="417"/>
        <w:spacing w:after="0" w:line="267" w:lineRule="auto"/>
        <w:rPr>
          <w:sz w:val="20"/>
          <w:szCs w:val="20"/>
          <w:color w:val="auto"/>
        </w:rPr>
      </w:pP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0400"/>
          </w:cols>
          <w:pgMar w:left="740" w:top="260" w:right="759" w:bottom="1440" w:gutter="0" w:footer="0" w:header="0"/>
        </w:sectPr>
      </w:pPr>
    </w:p>
    <w:bookmarkStart w:id="364" w:name="page365"/>
    <w:bookmarkEnd w:id="364"/>
    <w:p>
      <w:pPr>
        <w:ind w:left="892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wp:posOffset>
            </wp:positionH>
            <wp:positionV relativeFrom="paragraph">
              <wp:posOffset>165100</wp:posOffset>
            </wp:positionV>
            <wp:extent cx="6939915" cy="433260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9">
                      <a:extLst>
                        <a:ext uri="{28A0092B-C50C-407E-A947-70E740481C1C}"/>
                      </a:extLst>
                    </a:blip>
                    <a:srcRect/>
                    <a:stretch>
                      <a:fillRect/>
                    </a:stretch>
                  </pic:blipFill>
                  <pic:spPr bwMode="auto">
                    <a:xfrm>
                      <a:off x="0" y="0"/>
                      <a:ext cx="6939915" cy="4332605"/>
                    </a:xfrm>
                    <a:prstGeom prst="rect">
                      <a:avLst/>
                    </a:prstGeom>
                    <a:noFill/>
                  </pic:spPr>
                </pic:pic>
              </a:graphicData>
            </a:graphic>
          </wp:anchor>
        </w:drawing>
      </w:r>
    </w:p>
    <w:p>
      <w:pPr>
        <w:sectPr>
          <w:pgSz w:w="11900" w:h="16838" w:orient="portrait"/>
          <w:cols w:equalWidth="0" w:num="1">
            <w:col w:w="9720"/>
          </w:cols>
          <w:pgMar w:left="1440" w:top="119" w:right="739" w:bottom="1440" w:gutter="0" w:footer="0" w:header="0"/>
        </w:sectPr>
      </w:pPr>
    </w:p>
    <w:bookmarkStart w:id="365" w:name="page366"/>
    <w:bookmarkEnd w:id="3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72288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0">
                      <a:extLst>
                        <a:ext uri="{28A0092B-C50C-407E-A947-70E740481C1C}"/>
                      </a:extLst>
                    </a:blip>
                    <a:srcRect/>
                    <a:stretch>
                      <a:fillRect/>
                    </a:stretch>
                  </pic:blipFill>
                  <pic:spPr bwMode="auto">
                    <a:xfrm>
                      <a:off x="0" y="0"/>
                      <a:ext cx="7181215" cy="7228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6" w:name="page367"/>
    <w:bookmarkEnd w:id="366"/>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9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7"/>
          <w:szCs w:val="17"/>
          <w:color w:val="auto"/>
        </w:rPr>
        <w:t>12670 High Bluff Drive</w:t>
      </w:r>
    </w:p>
    <w:p>
      <w:pPr>
        <w:spacing w:after="0" w:line="2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7"/>
          <w:szCs w:val="17"/>
          <w:color w:val="auto"/>
        </w:rPr>
        <w:t>San Diego, California 92130</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7"/>
          <w:szCs w:val="17"/>
          <w:color w:val="auto"/>
        </w:rPr>
        <w:t>Tel: +1.858.523.5400 Fax: +1.858.523.5450</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7"/>
          <w:szCs w:val="17"/>
          <w:color w:val="auto"/>
        </w:rPr>
        <w:t>www.lw.com</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17"/>
                <w:szCs w:val="17"/>
                <w:color w:val="auto"/>
              </w:rPr>
            </w:pPr>
          </w:p>
        </w:tc>
        <w:tc>
          <w:tcPr>
            <w:tcW w:w="3860" w:type="dxa"/>
            <w:vAlign w:val="bottom"/>
            <w:gridSpan w:val="2"/>
          </w:tcPr>
          <w:p>
            <w:pPr>
              <w:ind w:left="1420"/>
              <w:spacing w:after="0"/>
              <w:rPr>
                <w:sz w:val="20"/>
                <w:szCs w:val="20"/>
                <w:color w:val="auto"/>
              </w:rPr>
            </w:pPr>
            <w:r>
              <w:rPr>
                <w:rFonts w:ascii="Times New Roman" w:cs="Times New Roman" w:eastAsia="Times New Roman" w:hAnsi="Times New Roman"/>
                <w:sz w:val="17"/>
                <w:szCs w:val="17"/>
                <w:color w:val="auto"/>
              </w:rPr>
              <w:t>FIRM / AFFILIATE OFFICES</w:t>
            </w:r>
          </w:p>
        </w:tc>
        <w:tc>
          <w:tcPr>
            <w:tcW w:w="0" w:type="dxa"/>
            <w:vAlign w:val="bottom"/>
          </w:tcPr>
          <w:p>
            <w:pPr>
              <w:spacing w:after="0"/>
              <w:rPr>
                <w:sz w:val="1"/>
                <w:szCs w:val="1"/>
                <w:color w:val="auto"/>
              </w:rPr>
            </w:pPr>
          </w:p>
        </w:tc>
      </w:tr>
      <w:tr>
        <w:trPr>
          <w:trHeight w:val="204"/>
        </w:trPr>
        <w:tc>
          <w:tcPr>
            <w:tcW w:w="3900" w:type="dxa"/>
            <w:vAlign w:val="bottom"/>
          </w:tcPr>
          <w:p>
            <w:pPr>
              <w:spacing w:after="0"/>
              <w:rPr>
                <w:sz w:val="17"/>
                <w:szCs w:val="17"/>
                <w:color w:val="auto"/>
              </w:rPr>
            </w:pPr>
          </w:p>
        </w:tc>
        <w:tc>
          <w:tcPr>
            <w:tcW w:w="2460" w:type="dxa"/>
            <w:vAlign w:val="bottom"/>
          </w:tcPr>
          <w:p>
            <w:pPr>
              <w:ind w:left="1420"/>
              <w:spacing w:after="0"/>
              <w:rPr>
                <w:sz w:val="20"/>
                <w:szCs w:val="20"/>
                <w:color w:val="auto"/>
              </w:rPr>
            </w:pPr>
            <w:r>
              <w:rPr>
                <w:rFonts w:ascii="Times New Roman" w:cs="Times New Roman" w:eastAsia="Times New Roman" w:hAnsi="Times New Roman"/>
                <w:sz w:val="17"/>
                <w:szCs w:val="17"/>
                <w:color w:val="auto"/>
              </w:rPr>
              <w:t>Austin</w:t>
            </w:r>
          </w:p>
        </w:tc>
        <w:tc>
          <w:tcPr>
            <w:tcW w:w="1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Milan</w:t>
            </w:r>
          </w:p>
        </w:tc>
        <w:tc>
          <w:tcPr>
            <w:tcW w:w="0" w:type="dxa"/>
            <w:vAlign w:val="bottom"/>
          </w:tcPr>
          <w:p>
            <w:pPr>
              <w:spacing w:after="0"/>
              <w:rPr>
                <w:sz w:val="1"/>
                <w:szCs w:val="1"/>
                <w:color w:val="auto"/>
              </w:rPr>
            </w:pPr>
          </w:p>
        </w:tc>
      </w:tr>
      <w:tr>
        <w:trPr>
          <w:trHeight w:val="204"/>
        </w:trPr>
        <w:tc>
          <w:tcPr>
            <w:tcW w:w="3900" w:type="dxa"/>
            <w:vAlign w:val="bottom"/>
          </w:tcPr>
          <w:p>
            <w:pPr>
              <w:spacing w:after="0"/>
              <w:rPr>
                <w:sz w:val="17"/>
                <w:szCs w:val="17"/>
                <w:color w:val="auto"/>
              </w:rPr>
            </w:pPr>
          </w:p>
        </w:tc>
        <w:tc>
          <w:tcPr>
            <w:tcW w:w="2460" w:type="dxa"/>
            <w:vAlign w:val="bottom"/>
          </w:tcPr>
          <w:p>
            <w:pPr>
              <w:ind w:left="1420"/>
              <w:spacing w:after="0"/>
              <w:rPr>
                <w:sz w:val="20"/>
                <w:szCs w:val="20"/>
                <w:color w:val="auto"/>
              </w:rPr>
            </w:pPr>
            <w:r>
              <w:rPr>
                <w:rFonts w:ascii="Times New Roman" w:cs="Times New Roman" w:eastAsia="Times New Roman" w:hAnsi="Times New Roman"/>
                <w:sz w:val="17"/>
                <w:szCs w:val="17"/>
                <w:color w:val="auto"/>
              </w:rPr>
              <w:t>Beijing</w:t>
            </w:r>
          </w:p>
        </w:tc>
        <w:tc>
          <w:tcPr>
            <w:tcW w:w="1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Munich</w:t>
            </w:r>
          </w:p>
        </w:tc>
        <w:tc>
          <w:tcPr>
            <w:tcW w:w="0" w:type="dxa"/>
            <w:vAlign w:val="bottom"/>
          </w:tcPr>
          <w:p>
            <w:pPr>
              <w:spacing w:after="0"/>
              <w:rPr>
                <w:sz w:val="1"/>
                <w:szCs w:val="1"/>
                <w:color w:val="auto"/>
              </w:rPr>
            </w:pPr>
          </w:p>
        </w:tc>
      </w:tr>
      <w:tr>
        <w:trPr>
          <w:trHeight w:val="204"/>
        </w:trPr>
        <w:tc>
          <w:tcPr>
            <w:tcW w:w="3900" w:type="dxa"/>
            <w:vAlign w:val="bottom"/>
          </w:tcPr>
          <w:p>
            <w:pPr>
              <w:spacing w:after="0"/>
              <w:rPr>
                <w:sz w:val="17"/>
                <w:szCs w:val="17"/>
                <w:color w:val="auto"/>
              </w:rPr>
            </w:pPr>
          </w:p>
        </w:tc>
        <w:tc>
          <w:tcPr>
            <w:tcW w:w="2460" w:type="dxa"/>
            <w:vAlign w:val="bottom"/>
          </w:tcPr>
          <w:p>
            <w:pPr>
              <w:ind w:left="1420"/>
              <w:spacing w:after="0"/>
              <w:rPr>
                <w:sz w:val="20"/>
                <w:szCs w:val="20"/>
                <w:color w:val="auto"/>
              </w:rPr>
            </w:pPr>
            <w:r>
              <w:rPr>
                <w:rFonts w:ascii="Times New Roman" w:cs="Times New Roman" w:eastAsia="Times New Roman" w:hAnsi="Times New Roman"/>
                <w:sz w:val="17"/>
                <w:szCs w:val="17"/>
                <w:color w:val="auto"/>
              </w:rPr>
              <w:t>Boston</w:t>
            </w:r>
          </w:p>
        </w:tc>
        <w:tc>
          <w:tcPr>
            <w:tcW w:w="1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New York</w:t>
            </w:r>
          </w:p>
        </w:tc>
        <w:tc>
          <w:tcPr>
            <w:tcW w:w="0" w:type="dxa"/>
            <w:vAlign w:val="bottom"/>
          </w:tcPr>
          <w:p>
            <w:pPr>
              <w:spacing w:after="0"/>
              <w:rPr>
                <w:sz w:val="1"/>
                <w:szCs w:val="1"/>
                <w:color w:val="auto"/>
              </w:rPr>
            </w:pPr>
          </w:p>
        </w:tc>
      </w:tr>
      <w:tr>
        <w:trPr>
          <w:trHeight w:val="204"/>
        </w:trPr>
        <w:tc>
          <w:tcPr>
            <w:tcW w:w="3900" w:type="dxa"/>
            <w:vAlign w:val="bottom"/>
          </w:tcPr>
          <w:p>
            <w:pPr>
              <w:spacing w:after="0"/>
              <w:rPr>
                <w:sz w:val="17"/>
                <w:szCs w:val="17"/>
                <w:color w:val="auto"/>
              </w:rPr>
            </w:pPr>
          </w:p>
        </w:tc>
        <w:tc>
          <w:tcPr>
            <w:tcW w:w="2460" w:type="dxa"/>
            <w:vAlign w:val="bottom"/>
          </w:tcPr>
          <w:p>
            <w:pPr>
              <w:ind w:left="1420"/>
              <w:spacing w:after="0"/>
              <w:rPr>
                <w:sz w:val="20"/>
                <w:szCs w:val="20"/>
                <w:color w:val="auto"/>
              </w:rPr>
            </w:pPr>
            <w:r>
              <w:rPr>
                <w:rFonts w:ascii="Times New Roman" w:cs="Times New Roman" w:eastAsia="Times New Roman" w:hAnsi="Times New Roman"/>
                <w:sz w:val="17"/>
                <w:szCs w:val="17"/>
                <w:color w:val="auto"/>
              </w:rPr>
              <w:t>Brussels</w:t>
            </w:r>
          </w:p>
        </w:tc>
        <w:tc>
          <w:tcPr>
            <w:tcW w:w="1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Orange County</w:t>
            </w:r>
          </w:p>
        </w:tc>
        <w:tc>
          <w:tcPr>
            <w:tcW w:w="0" w:type="dxa"/>
            <w:vAlign w:val="bottom"/>
          </w:tcPr>
          <w:p>
            <w:pPr>
              <w:spacing w:after="0"/>
              <w:rPr>
                <w:sz w:val="1"/>
                <w:szCs w:val="1"/>
                <w:color w:val="auto"/>
              </w:rPr>
            </w:pPr>
          </w:p>
        </w:tc>
      </w:tr>
      <w:tr>
        <w:trPr>
          <w:trHeight w:val="204"/>
        </w:trPr>
        <w:tc>
          <w:tcPr>
            <w:tcW w:w="3900" w:type="dxa"/>
            <w:vAlign w:val="bottom"/>
          </w:tcPr>
          <w:p>
            <w:pPr>
              <w:spacing w:after="0"/>
              <w:rPr>
                <w:sz w:val="17"/>
                <w:szCs w:val="17"/>
                <w:color w:val="auto"/>
              </w:rPr>
            </w:pPr>
          </w:p>
        </w:tc>
        <w:tc>
          <w:tcPr>
            <w:tcW w:w="2460" w:type="dxa"/>
            <w:vAlign w:val="bottom"/>
          </w:tcPr>
          <w:p>
            <w:pPr>
              <w:ind w:left="1420"/>
              <w:spacing w:after="0"/>
              <w:rPr>
                <w:sz w:val="20"/>
                <w:szCs w:val="20"/>
                <w:color w:val="auto"/>
              </w:rPr>
            </w:pPr>
            <w:r>
              <w:rPr>
                <w:rFonts w:ascii="Times New Roman" w:cs="Times New Roman" w:eastAsia="Times New Roman" w:hAnsi="Times New Roman"/>
                <w:sz w:val="17"/>
                <w:szCs w:val="17"/>
                <w:color w:val="auto"/>
              </w:rPr>
              <w:t>Century City</w:t>
            </w:r>
          </w:p>
        </w:tc>
        <w:tc>
          <w:tcPr>
            <w:tcW w:w="1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Paris</w:t>
            </w:r>
          </w:p>
        </w:tc>
        <w:tc>
          <w:tcPr>
            <w:tcW w:w="0" w:type="dxa"/>
            <w:vAlign w:val="bottom"/>
          </w:tcPr>
          <w:p>
            <w:pPr>
              <w:spacing w:after="0"/>
              <w:rPr>
                <w:sz w:val="1"/>
                <w:szCs w:val="1"/>
                <w:color w:val="auto"/>
              </w:rPr>
            </w:pPr>
          </w:p>
        </w:tc>
      </w:tr>
      <w:tr>
        <w:trPr>
          <w:trHeight w:val="204"/>
        </w:trPr>
        <w:tc>
          <w:tcPr>
            <w:tcW w:w="3900" w:type="dxa"/>
            <w:vAlign w:val="bottom"/>
          </w:tcPr>
          <w:p>
            <w:pPr>
              <w:spacing w:after="0"/>
              <w:rPr>
                <w:sz w:val="17"/>
                <w:szCs w:val="17"/>
                <w:color w:val="auto"/>
              </w:rPr>
            </w:pPr>
          </w:p>
        </w:tc>
        <w:tc>
          <w:tcPr>
            <w:tcW w:w="2460" w:type="dxa"/>
            <w:vAlign w:val="bottom"/>
          </w:tcPr>
          <w:p>
            <w:pPr>
              <w:ind w:left="1420"/>
              <w:spacing w:after="0"/>
              <w:rPr>
                <w:sz w:val="20"/>
                <w:szCs w:val="20"/>
                <w:color w:val="auto"/>
              </w:rPr>
            </w:pPr>
            <w:r>
              <w:rPr>
                <w:rFonts w:ascii="Times New Roman" w:cs="Times New Roman" w:eastAsia="Times New Roman" w:hAnsi="Times New Roman"/>
                <w:sz w:val="17"/>
                <w:szCs w:val="17"/>
                <w:color w:val="auto"/>
              </w:rPr>
              <w:t>Chicago</w:t>
            </w:r>
          </w:p>
        </w:tc>
        <w:tc>
          <w:tcPr>
            <w:tcW w:w="1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Riyadh</w:t>
            </w:r>
          </w:p>
        </w:tc>
        <w:tc>
          <w:tcPr>
            <w:tcW w:w="0" w:type="dxa"/>
            <w:vAlign w:val="bottom"/>
          </w:tcPr>
          <w:p>
            <w:pPr>
              <w:spacing w:after="0"/>
              <w:rPr>
                <w:sz w:val="1"/>
                <w:szCs w:val="1"/>
                <w:color w:val="auto"/>
              </w:rPr>
            </w:pPr>
          </w:p>
        </w:tc>
      </w:tr>
      <w:tr>
        <w:trPr>
          <w:trHeight w:val="204"/>
        </w:trPr>
        <w:tc>
          <w:tcPr>
            <w:tcW w:w="3900" w:type="dxa"/>
            <w:vAlign w:val="bottom"/>
          </w:tcPr>
          <w:p>
            <w:pPr>
              <w:spacing w:after="0"/>
              <w:rPr>
                <w:sz w:val="17"/>
                <w:szCs w:val="17"/>
                <w:color w:val="auto"/>
              </w:rPr>
            </w:pPr>
          </w:p>
        </w:tc>
        <w:tc>
          <w:tcPr>
            <w:tcW w:w="2460" w:type="dxa"/>
            <w:vAlign w:val="bottom"/>
          </w:tcPr>
          <w:p>
            <w:pPr>
              <w:ind w:left="1420"/>
              <w:spacing w:after="0"/>
              <w:rPr>
                <w:sz w:val="20"/>
                <w:szCs w:val="20"/>
                <w:color w:val="auto"/>
              </w:rPr>
            </w:pPr>
            <w:r>
              <w:rPr>
                <w:rFonts w:ascii="Times New Roman" w:cs="Times New Roman" w:eastAsia="Times New Roman" w:hAnsi="Times New Roman"/>
                <w:sz w:val="17"/>
                <w:szCs w:val="17"/>
                <w:color w:val="auto"/>
              </w:rPr>
              <w:t>Dubai</w:t>
            </w:r>
          </w:p>
        </w:tc>
        <w:tc>
          <w:tcPr>
            <w:tcW w:w="1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San Diego</w:t>
            </w:r>
          </w:p>
        </w:tc>
        <w:tc>
          <w:tcPr>
            <w:tcW w:w="0" w:type="dxa"/>
            <w:vAlign w:val="bottom"/>
          </w:tcPr>
          <w:p>
            <w:pPr>
              <w:spacing w:after="0"/>
              <w:rPr>
                <w:sz w:val="1"/>
                <w:szCs w:val="1"/>
                <w:color w:val="auto"/>
              </w:rPr>
            </w:pPr>
          </w:p>
        </w:tc>
      </w:tr>
      <w:tr>
        <w:trPr>
          <w:trHeight w:val="204"/>
        </w:trPr>
        <w:tc>
          <w:tcPr>
            <w:tcW w:w="3900" w:type="dxa"/>
            <w:vAlign w:val="bottom"/>
          </w:tcPr>
          <w:p>
            <w:pPr>
              <w:spacing w:after="0"/>
              <w:rPr>
                <w:sz w:val="17"/>
                <w:szCs w:val="17"/>
                <w:color w:val="auto"/>
              </w:rPr>
            </w:pPr>
          </w:p>
        </w:tc>
        <w:tc>
          <w:tcPr>
            <w:tcW w:w="2460" w:type="dxa"/>
            <w:vAlign w:val="bottom"/>
          </w:tcPr>
          <w:p>
            <w:pPr>
              <w:ind w:left="1420"/>
              <w:spacing w:after="0"/>
              <w:rPr>
                <w:sz w:val="20"/>
                <w:szCs w:val="20"/>
                <w:color w:val="auto"/>
              </w:rPr>
            </w:pPr>
            <w:r>
              <w:rPr>
                <w:rFonts w:ascii="Times New Roman" w:cs="Times New Roman" w:eastAsia="Times New Roman" w:hAnsi="Times New Roman"/>
                <w:sz w:val="17"/>
                <w:szCs w:val="17"/>
                <w:color w:val="auto"/>
              </w:rPr>
              <w:t>Düsseldorf</w:t>
            </w:r>
          </w:p>
        </w:tc>
        <w:tc>
          <w:tcPr>
            <w:tcW w:w="1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San Francisco</w:t>
            </w:r>
          </w:p>
        </w:tc>
        <w:tc>
          <w:tcPr>
            <w:tcW w:w="0" w:type="dxa"/>
            <w:vAlign w:val="bottom"/>
          </w:tcPr>
          <w:p>
            <w:pPr>
              <w:spacing w:after="0"/>
              <w:rPr>
                <w:sz w:val="1"/>
                <w:szCs w:val="1"/>
                <w:color w:val="auto"/>
              </w:rPr>
            </w:pPr>
          </w:p>
        </w:tc>
      </w:tr>
      <w:tr>
        <w:trPr>
          <w:trHeight w:val="204"/>
        </w:trPr>
        <w:tc>
          <w:tcPr>
            <w:tcW w:w="39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March 21, 2024</w:t>
            </w:r>
          </w:p>
        </w:tc>
        <w:tc>
          <w:tcPr>
            <w:tcW w:w="2460" w:type="dxa"/>
            <w:vAlign w:val="bottom"/>
          </w:tcPr>
          <w:p>
            <w:pPr>
              <w:ind w:left="1420"/>
              <w:spacing w:after="0"/>
              <w:rPr>
                <w:sz w:val="20"/>
                <w:szCs w:val="20"/>
                <w:color w:val="auto"/>
              </w:rPr>
            </w:pPr>
            <w:r>
              <w:rPr>
                <w:rFonts w:ascii="Times New Roman" w:cs="Times New Roman" w:eastAsia="Times New Roman" w:hAnsi="Times New Roman"/>
                <w:sz w:val="17"/>
                <w:szCs w:val="17"/>
                <w:color w:val="auto"/>
              </w:rPr>
              <w:t>Frankfurt</w:t>
            </w:r>
          </w:p>
        </w:tc>
        <w:tc>
          <w:tcPr>
            <w:tcW w:w="1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Seoul</w:t>
            </w:r>
          </w:p>
        </w:tc>
        <w:tc>
          <w:tcPr>
            <w:tcW w:w="0" w:type="dxa"/>
            <w:vAlign w:val="bottom"/>
          </w:tcPr>
          <w:p>
            <w:pPr>
              <w:spacing w:after="0"/>
              <w:rPr>
                <w:sz w:val="1"/>
                <w:szCs w:val="1"/>
                <w:color w:val="auto"/>
              </w:rPr>
            </w:pPr>
          </w:p>
        </w:tc>
      </w:tr>
      <w:tr>
        <w:trPr>
          <w:trHeight w:val="132"/>
        </w:trPr>
        <w:tc>
          <w:tcPr>
            <w:tcW w:w="3900" w:type="dxa"/>
            <w:vAlign w:val="bottom"/>
            <w:vMerge w:val="continue"/>
          </w:tcPr>
          <w:p>
            <w:pPr>
              <w:spacing w:after="0"/>
              <w:rPr>
                <w:sz w:val="11"/>
                <w:szCs w:val="11"/>
                <w:color w:val="auto"/>
              </w:rPr>
            </w:pPr>
          </w:p>
        </w:tc>
        <w:tc>
          <w:tcPr>
            <w:tcW w:w="2460" w:type="dxa"/>
            <w:vAlign w:val="bottom"/>
            <w:vMerge w:val="restart"/>
          </w:tcPr>
          <w:p>
            <w:pPr>
              <w:ind w:left="1420"/>
              <w:spacing w:after="0"/>
              <w:rPr>
                <w:sz w:val="20"/>
                <w:szCs w:val="20"/>
                <w:color w:val="auto"/>
              </w:rPr>
            </w:pPr>
            <w:r>
              <w:rPr>
                <w:rFonts w:ascii="Times New Roman" w:cs="Times New Roman" w:eastAsia="Times New Roman" w:hAnsi="Times New Roman"/>
                <w:sz w:val="17"/>
                <w:szCs w:val="17"/>
                <w:color w:val="auto"/>
              </w:rPr>
              <w:t>Hamburg</w:t>
            </w:r>
          </w:p>
        </w:tc>
        <w:tc>
          <w:tcPr>
            <w:tcW w:w="14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Silicon Valley</w:t>
            </w:r>
          </w:p>
        </w:tc>
        <w:tc>
          <w:tcPr>
            <w:tcW w:w="0" w:type="dxa"/>
            <w:vAlign w:val="bottom"/>
          </w:tcPr>
          <w:p>
            <w:pPr>
              <w:spacing w:after="0"/>
              <w:rPr>
                <w:sz w:val="1"/>
                <w:szCs w:val="1"/>
                <w:color w:val="auto"/>
              </w:rPr>
            </w:pPr>
          </w:p>
        </w:tc>
      </w:tr>
      <w:tr>
        <w:trPr>
          <w:trHeight w:val="72"/>
        </w:trPr>
        <w:tc>
          <w:tcPr>
            <w:tcW w:w="3900" w:type="dxa"/>
            <w:vAlign w:val="bottom"/>
          </w:tcPr>
          <w:p>
            <w:pPr>
              <w:spacing w:after="0"/>
              <w:rPr>
                <w:sz w:val="6"/>
                <w:szCs w:val="6"/>
                <w:color w:val="auto"/>
              </w:rPr>
            </w:pPr>
          </w:p>
        </w:tc>
        <w:tc>
          <w:tcPr>
            <w:tcW w:w="246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900" w:type="dxa"/>
            <w:vAlign w:val="bottom"/>
          </w:tcPr>
          <w:p>
            <w:pPr>
              <w:spacing w:after="0"/>
              <w:rPr>
                <w:sz w:val="17"/>
                <w:szCs w:val="17"/>
                <w:color w:val="auto"/>
              </w:rPr>
            </w:pPr>
          </w:p>
        </w:tc>
        <w:tc>
          <w:tcPr>
            <w:tcW w:w="2460" w:type="dxa"/>
            <w:vAlign w:val="bottom"/>
          </w:tcPr>
          <w:p>
            <w:pPr>
              <w:ind w:left="1420"/>
              <w:spacing w:after="0"/>
              <w:rPr>
                <w:sz w:val="20"/>
                <w:szCs w:val="20"/>
                <w:color w:val="auto"/>
              </w:rPr>
            </w:pPr>
            <w:r>
              <w:rPr>
                <w:rFonts w:ascii="Times New Roman" w:cs="Times New Roman" w:eastAsia="Times New Roman" w:hAnsi="Times New Roman"/>
                <w:sz w:val="17"/>
                <w:szCs w:val="17"/>
                <w:color w:val="auto"/>
              </w:rPr>
              <w:t>Hong Kong</w:t>
            </w:r>
          </w:p>
        </w:tc>
        <w:tc>
          <w:tcPr>
            <w:tcW w:w="1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Singapore</w:t>
            </w:r>
          </w:p>
        </w:tc>
        <w:tc>
          <w:tcPr>
            <w:tcW w:w="0" w:type="dxa"/>
            <w:vAlign w:val="bottom"/>
          </w:tcPr>
          <w:p>
            <w:pPr>
              <w:spacing w:after="0"/>
              <w:rPr>
                <w:sz w:val="1"/>
                <w:szCs w:val="1"/>
                <w:color w:val="auto"/>
              </w:rPr>
            </w:pPr>
          </w:p>
        </w:tc>
      </w:tr>
      <w:tr>
        <w:trPr>
          <w:trHeight w:val="204"/>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Boundless Bio, Inc.</w:t>
            </w:r>
          </w:p>
        </w:tc>
        <w:tc>
          <w:tcPr>
            <w:tcW w:w="2460" w:type="dxa"/>
            <w:vAlign w:val="bottom"/>
          </w:tcPr>
          <w:p>
            <w:pPr>
              <w:ind w:left="1420"/>
              <w:spacing w:after="0"/>
              <w:rPr>
                <w:sz w:val="20"/>
                <w:szCs w:val="20"/>
                <w:color w:val="auto"/>
              </w:rPr>
            </w:pPr>
            <w:r>
              <w:rPr>
                <w:rFonts w:ascii="Times New Roman" w:cs="Times New Roman" w:eastAsia="Times New Roman" w:hAnsi="Times New Roman"/>
                <w:sz w:val="17"/>
                <w:szCs w:val="17"/>
                <w:color w:val="auto"/>
              </w:rPr>
              <w:t>Houston</w:t>
            </w:r>
          </w:p>
        </w:tc>
        <w:tc>
          <w:tcPr>
            <w:tcW w:w="1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Tel Aviv</w:t>
            </w:r>
          </w:p>
        </w:tc>
        <w:tc>
          <w:tcPr>
            <w:tcW w:w="0" w:type="dxa"/>
            <w:vAlign w:val="bottom"/>
          </w:tcPr>
          <w:p>
            <w:pPr>
              <w:spacing w:after="0"/>
              <w:rPr>
                <w:sz w:val="1"/>
                <w:szCs w:val="1"/>
                <w:color w:val="auto"/>
              </w:rPr>
            </w:pPr>
          </w:p>
        </w:tc>
      </w:tr>
      <w:tr>
        <w:trPr>
          <w:trHeight w:val="204"/>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9880 Campus Point Drive, Suite 120</w:t>
            </w:r>
          </w:p>
        </w:tc>
        <w:tc>
          <w:tcPr>
            <w:tcW w:w="2460" w:type="dxa"/>
            <w:vAlign w:val="bottom"/>
          </w:tcPr>
          <w:p>
            <w:pPr>
              <w:ind w:left="1420"/>
              <w:spacing w:after="0"/>
              <w:rPr>
                <w:sz w:val="20"/>
                <w:szCs w:val="20"/>
                <w:color w:val="auto"/>
              </w:rPr>
            </w:pPr>
            <w:r>
              <w:rPr>
                <w:rFonts w:ascii="Times New Roman" w:cs="Times New Roman" w:eastAsia="Times New Roman" w:hAnsi="Times New Roman"/>
                <w:sz w:val="17"/>
                <w:szCs w:val="17"/>
                <w:color w:val="auto"/>
              </w:rPr>
              <w:t>London</w:t>
            </w:r>
          </w:p>
        </w:tc>
        <w:tc>
          <w:tcPr>
            <w:tcW w:w="1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Tokyo</w:t>
            </w:r>
          </w:p>
        </w:tc>
        <w:tc>
          <w:tcPr>
            <w:tcW w:w="0" w:type="dxa"/>
            <w:vAlign w:val="bottom"/>
          </w:tcPr>
          <w:p>
            <w:pPr>
              <w:spacing w:after="0"/>
              <w:rPr>
                <w:sz w:val="1"/>
                <w:szCs w:val="1"/>
                <w:color w:val="auto"/>
              </w:rPr>
            </w:pPr>
          </w:p>
        </w:tc>
      </w:tr>
      <w:tr>
        <w:trPr>
          <w:trHeight w:val="204"/>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San Diego, CA 92121</w:t>
            </w:r>
          </w:p>
        </w:tc>
        <w:tc>
          <w:tcPr>
            <w:tcW w:w="2460" w:type="dxa"/>
            <w:vAlign w:val="bottom"/>
          </w:tcPr>
          <w:p>
            <w:pPr>
              <w:ind w:left="1420"/>
              <w:spacing w:after="0"/>
              <w:rPr>
                <w:sz w:val="20"/>
                <w:szCs w:val="20"/>
                <w:color w:val="auto"/>
              </w:rPr>
            </w:pPr>
            <w:r>
              <w:rPr>
                <w:rFonts w:ascii="Times New Roman" w:cs="Times New Roman" w:eastAsia="Times New Roman" w:hAnsi="Times New Roman"/>
                <w:sz w:val="17"/>
                <w:szCs w:val="17"/>
                <w:color w:val="auto"/>
              </w:rPr>
              <w:t>Los Angeles</w:t>
            </w:r>
          </w:p>
        </w:tc>
        <w:tc>
          <w:tcPr>
            <w:tcW w:w="1400" w:type="dxa"/>
            <w:vAlign w:val="bottom"/>
          </w:tcPr>
          <w:p>
            <w:pPr>
              <w:ind w:left="180"/>
              <w:spacing w:after="0"/>
              <w:rPr>
                <w:sz w:val="20"/>
                <w:szCs w:val="20"/>
                <w:color w:val="auto"/>
              </w:rPr>
            </w:pPr>
            <w:r>
              <w:rPr>
                <w:rFonts w:ascii="Times New Roman" w:cs="Times New Roman" w:eastAsia="Times New Roman" w:hAnsi="Times New Roman"/>
                <w:sz w:val="17"/>
                <w:szCs w:val="17"/>
                <w:color w:val="auto"/>
                <w:w w:val="97"/>
              </w:rPr>
              <w:t>Washington, D.C.</w:t>
            </w:r>
          </w:p>
        </w:tc>
        <w:tc>
          <w:tcPr>
            <w:tcW w:w="0" w:type="dxa"/>
            <w:vAlign w:val="bottom"/>
          </w:tcPr>
          <w:p>
            <w:pPr>
              <w:spacing w:after="0"/>
              <w:rPr>
                <w:sz w:val="1"/>
                <w:szCs w:val="1"/>
                <w:color w:val="auto"/>
              </w:rPr>
            </w:pPr>
          </w:p>
        </w:tc>
      </w:tr>
      <w:tr>
        <w:trPr>
          <w:trHeight w:val="222"/>
        </w:trPr>
        <w:tc>
          <w:tcPr>
            <w:tcW w:w="3900" w:type="dxa"/>
            <w:vAlign w:val="bottom"/>
          </w:tcPr>
          <w:p>
            <w:pPr>
              <w:spacing w:after="0"/>
              <w:rPr>
                <w:sz w:val="19"/>
                <w:szCs w:val="19"/>
                <w:color w:val="auto"/>
              </w:rPr>
            </w:pPr>
          </w:p>
        </w:tc>
        <w:tc>
          <w:tcPr>
            <w:tcW w:w="2460" w:type="dxa"/>
            <w:vAlign w:val="bottom"/>
          </w:tcPr>
          <w:p>
            <w:pPr>
              <w:ind w:left="1420"/>
              <w:spacing w:after="0"/>
              <w:rPr>
                <w:sz w:val="20"/>
                <w:szCs w:val="20"/>
                <w:color w:val="auto"/>
              </w:rPr>
            </w:pPr>
            <w:r>
              <w:rPr>
                <w:rFonts w:ascii="Times New Roman" w:cs="Times New Roman" w:eastAsia="Times New Roman" w:hAnsi="Times New Roman"/>
                <w:sz w:val="17"/>
                <w:szCs w:val="17"/>
                <w:color w:val="auto"/>
              </w:rPr>
              <w:t>Madrid</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-1914525</wp:posOffset>
            </wp:positionV>
            <wp:extent cx="1979930" cy="20256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1">
                      <a:extLst>
                        <a:ext uri="{28A0092B-C50C-407E-A947-70E740481C1C}"/>
                      </a:extLst>
                    </a:blip>
                    <a:srcRect/>
                    <a:stretch>
                      <a:fillRect/>
                    </a:stretch>
                  </pic:blipFill>
                  <pic:spPr bwMode="auto">
                    <a:xfrm>
                      <a:off x="0" y="0"/>
                      <a:ext cx="1979930" cy="202565"/>
                    </a:xfrm>
                    <a:prstGeom prst="rect">
                      <a:avLst/>
                    </a:prstGeom>
                    <a:noFill/>
                  </pic:spPr>
                </pic:pic>
              </a:graphicData>
            </a:graphic>
          </wp:anchor>
        </w:drawing>
      </w:r>
    </w:p>
    <w:p>
      <w:pPr>
        <w:spacing w:after="0" w:line="333" w:lineRule="exact"/>
        <w:rPr>
          <w:sz w:val="20"/>
          <w:szCs w:val="20"/>
          <w:color w:val="auto"/>
        </w:rPr>
      </w:pPr>
    </w:p>
    <w:p>
      <w:pPr>
        <w:ind w:left="400"/>
        <w:spacing w:after="0"/>
        <w:tabs>
          <w:tab w:leader="none" w:pos="900" w:val="left"/>
        </w:tabs>
        <w:rPr>
          <w:sz w:val="20"/>
          <w:szCs w:val="20"/>
          <w:color w:val="auto"/>
        </w:rPr>
      </w:pPr>
      <w:r>
        <w:rPr>
          <w:rFonts w:ascii="Times New Roman" w:cs="Times New Roman" w:eastAsia="Times New Roman" w:hAnsi="Times New Roman"/>
          <w:sz w:val="17"/>
          <w:szCs w:val="17"/>
          <w:color w:val="auto"/>
        </w:rPr>
        <w:t>Re:</w:t>
      </w:r>
      <w:r>
        <w:rPr>
          <w:sz w:val="20"/>
          <w:szCs w:val="20"/>
          <w:color w:val="auto"/>
        </w:rPr>
        <w:tab/>
      </w:r>
      <w:r>
        <w:rPr>
          <w:rFonts w:ascii="Times New Roman" w:cs="Times New Roman" w:eastAsia="Times New Roman" w:hAnsi="Times New Roman"/>
          <w:sz w:val="17"/>
          <w:szCs w:val="17"/>
          <w:u w:val="single" w:color="auto"/>
          <w:color w:val="auto"/>
        </w:rPr>
        <w:t>Registration Statement No. 333-277696; 7,187,000 shares of Common Stock, par value $0.0001 per share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addressee set forth above:</w:t>
      </w:r>
    </w:p>
    <w:p>
      <w:pPr>
        <w:spacing w:after="0" w:line="111" w:lineRule="exact"/>
        <w:rPr>
          <w:sz w:val="20"/>
          <w:szCs w:val="20"/>
          <w:color w:val="auto"/>
        </w:rPr>
      </w:pPr>
    </w:p>
    <w:p>
      <w:pPr>
        <w:ind w:right="20" w:firstLine="417"/>
        <w:spacing w:after="0" w:line="255" w:lineRule="auto"/>
        <w:rPr>
          <w:sz w:val="20"/>
          <w:szCs w:val="20"/>
          <w:color w:val="auto"/>
        </w:rPr>
      </w:pPr>
      <w:r>
        <w:rPr>
          <w:rFonts w:ascii="Times New Roman" w:cs="Times New Roman" w:eastAsia="Times New Roman" w:hAnsi="Times New Roman"/>
          <w:sz w:val="17"/>
          <w:szCs w:val="17"/>
          <w:color w:val="auto"/>
        </w:rPr>
        <w:t>We have acted as special counsel to Boundless Bio, Inc., a Delaware corporation (the “Company”), in connection with the proposed issuance of up to 7,187,000 shares (including up to 937,500 shares subject to the underwriters’ option to purchase additional shares) of common stock, $0.0001 par value per share (the “Shares”). The Shares are included in a registration statement on Form S-1 under the Securities Act of 1933, as amended (the “Act”), filed with the Securities and Exchange Commission (the “Commission”) on March 6, 2024 (File No. 333-277696) (as amended, the “Registration Statement”). The term “Shares” shall include any additional shares of common stock registered by the Company pursuant to Rule 462(b) under the Act in connection with the offering contemplated by the Registration Statement.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Shares.</w:t>
      </w:r>
    </w:p>
    <w:p>
      <w:pPr>
        <w:spacing w:after="0" w:line="178" w:lineRule="exact"/>
        <w:rPr>
          <w:sz w:val="20"/>
          <w:szCs w:val="20"/>
          <w:color w:val="auto"/>
        </w:rPr>
      </w:pPr>
    </w:p>
    <w:p>
      <w:pPr>
        <w:ind w:right="180" w:firstLine="417"/>
        <w:spacing w:after="0" w:line="261" w:lineRule="auto"/>
        <w:rPr>
          <w:sz w:val="20"/>
          <w:szCs w:val="20"/>
          <w:color w:val="auto"/>
        </w:rPr>
      </w:pPr>
      <w:r>
        <w:rPr>
          <w:rFonts w:ascii="Times New Roman" w:cs="Times New Roman" w:eastAsia="Times New Roman" w:hAnsi="Times New Roman"/>
          <w:sz w:val="17"/>
          <w:szCs w:val="17"/>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we express no opinion with respect to any other laws.</w:t>
      </w:r>
    </w:p>
    <w:p>
      <w:pPr>
        <w:spacing w:after="0" w:line="172" w:lineRule="exact"/>
        <w:rPr>
          <w:sz w:val="20"/>
          <w:szCs w:val="20"/>
          <w:color w:val="auto"/>
        </w:rPr>
      </w:pPr>
    </w:p>
    <w:p>
      <w:pPr>
        <w:ind w:right="120" w:firstLine="417"/>
        <w:spacing w:after="0" w:line="257" w:lineRule="auto"/>
        <w:rPr>
          <w:sz w:val="20"/>
          <w:szCs w:val="20"/>
          <w:color w:val="auto"/>
        </w:rPr>
      </w:pPr>
      <w:r>
        <w:rPr>
          <w:rFonts w:ascii="Times New Roman" w:cs="Times New Roman" w:eastAsia="Times New Roman" w:hAnsi="Times New Roman"/>
          <w:sz w:val="17"/>
          <w:szCs w:val="17"/>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in the circumstances contemplated by the form of underwriting agreement most recently filed as an exhibit to the Registration Statement,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ectPr>
          <w:pgSz w:w="11900" w:h="16838" w:orient="portrait"/>
          <w:cols w:equalWidth="0" w:num="1">
            <w:col w:w="10420"/>
          </w:cols>
          <w:pgMar w:left="740" w:top="119" w:right="739" w:bottom="1440" w:gutter="0" w:footer="0" w:header="0"/>
        </w:sectPr>
      </w:pPr>
    </w:p>
    <w:bookmarkStart w:id="367" w:name="page368"/>
    <w:bookmarkEnd w:id="367"/>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March 21, 2024</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379220" cy="15430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3">
                      <a:extLst>
                        <a:ext uri="{28A0092B-C50C-407E-A947-70E740481C1C}"/>
                      </a:extLst>
                    </a:blip>
                    <a:srcRect/>
                    <a:stretch>
                      <a:fillRect/>
                    </a:stretch>
                  </pic:blipFill>
                  <pic:spPr bwMode="auto">
                    <a:xfrm>
                      <a:off x="0" y="0"/>
                      <a:ext cx="1379220" cy="15430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firstLine="417"/>
        <w:spacing w:after="0" w:line="259" w:lineRule="auto"/>
        <w:rPr>
          <w:sz w:val="20"/>
          <w:szCs w:val="20"/>
          <w:color w:val="auto"/>
        </w:rPr>
      </w:pPr>
      <w:r>
        <w:rPr>
          <w:rFonts w:ascii="Times New Roman" w:cs="Times New Roman" w:eastAsia="Times New Roman" w:hAnsi="Times New Roman"/>
          <w:sz w:val="17"/>
          <w:szCs w:val="17"/>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in the Prospectus under the heading “Legal Matters.” We further consent to the incorporation by reference of this letter and consent into any registration statement filed pursuant to Rule 462(b) with respect to the Shares. In giving such consent, we do not thereby admit that we are in the category of persons whose consent is required under Section 7 of the Act or the rules and regulations of the Commission thereunder.</w:t>
      </w:r>
    </w:p>
    <w:p>
      <w:pPr>
        <w:spacing w:after="0" w:line="19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7"/>
          <w:szCs w:val="17"/>
          <w:color w:val="auto"/>
        </w:rPr>
        <w:t>Sincerely,</w:t>
      </w:r>
    </w:p>
    <w:p>
      <w:pPr>
        <w:spacing w:after="0" w:line="213"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7"/>
          <w:szCs w:val="17"/>
          <w:color w:val="auto"/>
        </w:rPr>
        <w:t>/s/ Latham &amp; Watkins LLP</w:t>
      </w:r>
    </w:p>
    <w:p>
      <w:pPr>
        <w:sectPr>
          <w:pgSz w:w="11900" w:h="16838" w:orient="portrait"/>
          <w:cols w:equalWidth="0" w:num="1">
            <w:col w:w="10340"/>
          </w:cols>
          <w:pgMar w:left="740" w:top="259" w:right="819" w:bottom="1440" w:gutter="0" w:footer="0" w:header="0"/>
        </w:sectPr>
      </w:pPr>
    </w:p>
    <w:bookmarkStart w:id="368" w:name="page369"/>
    <w:bookmarkEnd w:id="368"/>
    <w:p>
      <w:pPr>
        <w:jc w:val="right"/>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162560</wp:posOffset>
            </wp:positionV>
            <wp:extent cx="6624955" cy="3371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4">
                      <a:extLst>
                        <a:ext uri="{28A0092B-C50C-407E-A947-70E740481C1C}"/>
                      </a:extLst>
                    </a:blip>
                    <a:srcRect/>
                    <a:stretch>
                      <a:fillRect/>
                    </a:stretch>
                  </pic:blipFill>
                  <pic:spPr bwMode="auto">
                    <a:xfrm>
                      <a:off x="0" y="0"/>
                      <a:ext cx="6624955" cy="337185"/>
                    </a:xfrm>
                    <a:prstGeom prst="rect">
                      <a:avLst/>
                    </a:prstGeom>
                    <a:noFill/>
                  </pic:spPr>
                </pic:pic>
              </a:graphicData>
            </a:graphic>
          </wp:anchor>
        </w:drawing>
      </w:r>
    </w:p>
    <w:p>
      <w:pPr>
        <w:spacing w:after="0" w:line="27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BOUNDLESS BIO, INC.</w:t>
      </w:r>
    </w:p>
    <w:p>
      <w:pPr>
        <w:spacing w:after="0" w:line="3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b w:val="1"/>
          <w:bCs w:val="1"/>
          <w:color w:val="auto"/>
        </w:rPr>
        <w:t>2024 INCENTIVE AWARD PLAN</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PURPOSE</w:t>
      </w:r>
    </w:p>
    <w:p>
      <w:pPr>
        <w:spacing w:after="0" w:line="196" w:lineRule="exact"/>
        <w:rPr>
          <w:sz w:val="20"/>
          <w:szCs w:val="20"/>
          <w:color w:val="auto"/>
        </w:rPr>
      </w:pPr>
    </w:p>
    <w:p>
      <w:pPr>
        <w:jc w:val="both"/>
        <w:ind w:right="380" w:firstLine="417"/>
        <w:spacing w:after="0" w:line="267" w:lineRule="auto"/>
        <w:rPr>
          <w:sz w:val="20"/>
          <w:szCs w:val="20"/>
          <w:color w:val="auto"/>
        </w:rPr>
      </w:pPr>
      <w:r>
        <w:rPr>
          <w:rFonts w:ascii="Times New Roman" w:cs="Times New Roman" w:eastAsia="Times New Roman" w:hAnsi="Times New Roman"/>
          <w:sz w:val="17"/>
          <w:szCs w:val="17"/>
          <w:color w:val="auto"/>
        </w:rPr>
        <w:t>The Plan’s purpose is to enhance the Company’s ability to attract, retain and motivate persons who make (or are expected to make) important contributions to the Company by providing these individuals with equity ownership opportunities and/or equity-linked compensatory opportunities. Capitalized terms used in the Plan are defined in Article XI.</w:t>
      </w:r>
    </w:p>
    <w:p>
      <w:pPr>
        <w:spacing w:after="0" w:line="36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3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ELIGIBILITY</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Service Providers are eligible to be granted Awards under the Plan, subject to the limitations described herein.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ADMINISTRATION AND DELEGATION</w:t>
      </w:r>
    </w:p>
    <w:p>
      <w:pPr>
        <w:spacing w:after="0" w:line="196" w:lineRule="exact"/>
        <w:rPr>
          <w:sz w:val="20"/>
          <w:szCs w:val="20"/>
          <w:color w:val="auto"/>
        </w:rPr>
      </w:pPr>
    </w:p>
    <w:p>
      <w:pPr>
        <w:ind w:right="40" w:firstLine="417"/>
        <w:spacing w:after="0" w:line="256"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Administration</w:t>
      </w:r>
      <w:r>
        <w:rPr>
          <w:rFonts w:ascii="Times New Roman" w:cs="Times New Roman" w:eastAsia="Times New Roman" w:hAnsi="Times New Roman"/>
          <w:sz w:val="17"/>
          <w:szCs w:val="17"/>
          <w:color w:val="auto"/>
        </w:rPr>
        <w:t>.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Agreement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176" w:lineRule="exact"/>
        <w:rPr>
          <w:sz w:val="20"/>
          <w:szCs w:val="20"/>
          <w:color w:val="auto"/>
        </w:rPr>
      </w:pPr>
    </w:p>
    <w:p>
      <w:pPr>
        <w:ind w:right="60" w:firstLine="417"/>
        <w:spacing w:after="0" w:line="261"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Appointment of Committees</w:t>
      </w:r>
      <w:r>
        <w:rPr>
          <w:rFonts w:ascii="Times New Roman" w:cs="Times New Roman" w:eastAsia="Times New Roman" w:hAnsi="Times New Roman"/>
          <w:sz w:val="17"/>
          <w:szCs w:val="17"/>
          <w:color w:val="auto"/>
        </w:rPr>
        <w:t>. To the extent Applicable Laws permit, the Board or the Administrator may delegate any or all of its powers under the Plan to one or more Committees or committees of officers of the Company or any of its Subsidiaries. The Board or the Administrator, as applicable, may rescind any such delegation, abolish any such committee or Committee and/or re-vest in itself any previously delegated authority at any time.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 AVAILABLE FOR AWARDS</w:t>
      </w:r>
    </w:p>
    <w:p>
      <w:pPr>
        <w:spacing w:after="0" w:line="196" w:lineRule="exact"/>
        <w:rPr>
          <w:sz w:val="20"/>
          <w:szCs w:val="20"/>
          <w:color w:val="auto"/>
        </w:rPr>
      </w:pPr>
    </w:p>
    <w:p>
      <w:pPr>
        <w:ind w:right="40" w:firstLine="417"/>
        <w:spacing w:after="0" w:line="261"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Number of Shares</w:t>
      </w:r>
      <w:r>
        <w:rPr>
          <w:rFonts w:ascii="Times New Roman" w:cs="Times New Roman" w:eastAsia="Times New Roman" w:hAnsi="Times New Roman"/>
          <w:sz w:val="17"/>
          <w:szCs w:val="17"/>
          <w:color w:val="auto"/>
        </w:rPr>
        <w:t>. Subject to adjustment under Article VIII and the terms of this Article IV, the maximum number of Shares that may be issued pursuant to Awards under the Plan shall be equal to the Overall Share Limit. As of the Plan’s effective date, the Company will cease granting awards under the Prior Plan; however, the Prior Plan Awards will remain subject to the terms of the Prior Plan. Shares issued under the Plan may consist of authorized but unissued Shares, Shares purchased on the open market or treasury Shares.</w:t>
      </w:r>
    </w:p>
    <w:p>
      <w:pPr>
        <w:sectPr>
          <w:pgSz w:w="11900" w:h="16838" w:orient="portrait"/>
          <w:cols w:equalWidth="0" w:num="1">
            <w:col w:w="10420"/>
          </w:cols>
          <w:pgMar w:left="740" w:top="119" w:right="739" w:bottom="1440" w:gutter="0" w:footer="0" w:header="0"/>
        </w:sectPr>
      </w:pPr>
    </w:p>
    <w:bookmarkStart w:id="369" w:name="page370"/>
    <w:bookmarkEnd w:id="369"/>
    <w:p>
      <w:pPr>
        <w:ind w:firstLine="417"/>
        <w:spacing w:after="0" w:line="27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4.2 </w:t>
      </w:r>
      <w:r>
        <w:rPr>
          <w:rFonts w:ascii="Times New Roman" w:cs="Times New Roman" w:eastAsia="Times New Roman" w:hAnsi="Times New Roman"/>
          <w:sz w:val="16"/>
          <w:szCs w:val="16"/>
          <w:u w:val="single" w:color="auto"/>
          <w:color w:val="auto"/>
        </w:rPr>
        <w:t>Share Recycling</w:t>
      </w:r>
      <w:r>
        <w:rPr>
          <w:rFonts w:ascii="Times New Roman" w:cs="Times New Roman" w:eastAsia="Times New Roman" w:hAnsi="Times New Roman"/>
          <w:sz w:val="16"/>
          <w:szCs w:val="16"/>
          <w:color w:val="auto"/>
        </w:rPr>
        <w:t>. If all or any part of an Award or a Prior Plan Award expires, lapses or is terminated, exchanged for or settled in cash, surrendered, repurchased, canceled without having been fully exercised or forfeited, in any case, in a manner that results in the Company acquiring Shares covered by the Award or Prior Plan Award at a price not greater than the price (as adjusted to reflect any Equity Restructuring) paid by the Participant for such Shares or not issuing any Shares covered by the Award or Prior Plan Award, the unused Shares covered by the Award or Prior Plan Award will, as applicable, become or again be available for Award grants under the Plan. Further, Shares delivered (either by actual delivery or attestation) to the Company by a Participant to satisfy the applicable exercise or purchase price of an Award or Prior Plan Award and/or to satisfy any applicable tax withholding obligation with respect to an Award or Prior Plan Award (including Shares retained by the Company from the Award or Prior Plan Award being exercised or purchased and/or creating the tax obligation) will, as applicable, become or again be available for Award grants under the Plan. The payment of Dividend Equivalents in cash in conjunction with any outstanding Awards shall not count against the Overall Share Limit.</w:t>
      </w:r>
    </w:p>
    <w:p>
      <w:pPr>
        <w:spacing w:after="0" w:line="168" w:lineRule="exact"/>
        <w:rPr>
          <w:sz w:val="20"/>
          <w:szCs w:val="20"/>
          <w:color w:val="auto"/>
        </w:rPr>
      </w:pPr>
    </w:p>
    <w:p>
      <w:pPr>
        <w:ind w:right="560" w:firstLine="417"/>
        <w:spacing w:after="0" w:line="283" w:lineRule="auto"/>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u w:val="single" w:color="auto"/>
          <w:color w:val="auto"/>
        </w:rPr>
        <w:t>Incentive Stock Option Limitations</w:t>
      </w:r>
      <w:r>
        <w:rPr>
          <w:rFonts w:ascii="Times New Roman" w:cs="Times New Roman" w:eastAsia="Times New Roman" w:hAnsi="Times New Roman"/>
          <w:sz w:val="17"/>
          <w:szCs w:val="17"/>
          <w:color w:val="auto"/>
        </w:rPr>
        <w:t>. Notwithstanding anything to the contrary herein, no more than 200,000,000 Shares may be issued pursuant to the exercise of Incentive Stock Options.</w:t>
      </w:r>
    </w:p>
    <w:p>
      <w:pPr>
        <w:spacing w:after="0" w:line="152" w:lineRule="exact"/>
        <w:rPr>
          <w:sz w:val="20"/>
          <w:szCs w:val="20"/>
          <w:color w:val="auto"/>
        </w:rPr>
      </w:pPr>
    </w:p>
    <w:p>
      <w:pPr>
        <w:ind w:firstLine="417"/>
        <w:spacing w:after="0" w:line="253"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u w:val="single" w:color="auto"/>
          <w:color w:val="auto"/>
        </w:rPr>
        <w:t>Substitute Awards</w:t>
      </w:r>
      <w:r>
        <w:rPr>
          <w:rFonts w:ascii="Times New Roman" w:cs="Times New Roman" w:eastAsia="Times New Roman" w:hAnsi="Times New Roman"/>
          <w:sz w:val="17"/>
          <w:szCs w:val="17"/>
          <w:color w:val="auto"/>
        </w:rPr>
        <w:t>. In connection with an entity’s merger or consolidation with the Company or the Company’s acquisition of an entity’s property or stock, the Administrator may grant Awards in substitution for any options or other stock or stock-based awards granted before such merger or consolidation by such entity or its affiliate. Substitute Awards may be granted on such terms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Employees, Consultants or Directors prior to such acquisition or combination.</w:t>
      </w:r>
    </w:p>
    <w:p>
      <w:pPr>
        <w:spacing w:after="0" w:line="180" w:lineRule="exact"/>
        <w:rPr>
          <w:sz w:val="20"/>
          <w:szCs w:val="20"/>
          <w:color w:val="auto"/>
        </w:rPr>
      </w:pPr>
    </w:p>
    <w:p>
      <w:pPr>
        <w:ind w:firstLine="417"/>
        <w:spacing w:after="0" w:line="253" w:lineRule="auto"/>
        <w:rPr>
          <w:sz w:val="20"/>
          <w:szCs w:val="20"/>
          <w:color w:val="auto"/>
        </w:rPr>
      </w:pPr>
      <w:r>
        <w:rPr>
          <w:rFonts w:ascii="Times New Roman" w:cs="Times New Roman" w:eastAsia="Times New Roman" w:hAnsi="Times New Roman"/>
          <w:sz w:val="17"/>
          <w:szCs w:val="17"/>
          <w:color w:val="auto"/>
        </w:rPr>
        <w:t xml:space="preserve">4.5 </w:t>
      </w:r>
      <w:r>
        <w:rPr>
          <w:rFonts w:ascii="Times New Roman" w:cs="Times New Roman" w:eastAsia="Times New Roman" w:hAnsi="Times New Roman"/>
          <w:sz w:val="17"/>
          <w:szCs w:val="17"/>
          <w:u w:val="single" w:color="auto"/>
          <w:color w:val="auto"/>
        </w:rPr>
        <w:t>Non-Employee Director Compensation</w:t>
      </w:r>
      <w:r>
        <w:rPr>
          <w:rFonts w:ascii="Times New Roman" w:cs="Times New Roman" w:eastAsia="Times New Roman" w:hAnsi="Times New Roman"/>
          <w:sz w:val="17"/>
          <w:szCs w:val="17"/>
          <w:color w:val="auto"/>
        </w:rPr>
        <w:t>. Notwithstanding any provision to the contrary in the Plan, the Administrator may establish compensation for non-employee Directors from time to time, subject to the limitations in the Plan. The Administrator will from time to time determine the terms, conditions and amounts of all such non-employee Director compensation in its discretion and pursuant to the exercise of its business judgment, taking into account such factors, circumstances and considerations as it shall deem relevant from time to time, provided that the sum of any cash compensation, or other 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during any calendar year of the Company may not exceed $1,000,000 (increased to $1,500,000 in the calendar year of a non-employee Director’s initial service as a non-employee director or any calendar year during which a non-employee Director serves as chairman of the Board or lead independent Director), which limits shall not apply to the compensation for any non-employee Director of the Company who serves in any capacity in addition to that of a non-employee Director for which he or she receives additional compensation or any compensation paid to any non-employee Director prior to the calendar year following the calendar year in which the Plan’s effective date occurs. The Administrator may make exceptions to this limit for individual non-employee Directors, as the Administrator may determine in its discretion.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380"/>
          </w:cols>
          <w:pgMar w:left="740" w:top="264" w:right="779" w:bottom="1440" w:gutter="0" w:footer="0" w:header="0"/>
        </w:sectPr>
      </w:pPr>
    </w:p>
    <w:bookmarkStart w:id="370" w:name="page371"/>
    <w:bookmarkEnd w:id="37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ARTICLE V.</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 OPTIONS AND STOCK APPRECIATION RIGHTS</w:t>
      </w:r>
    </w:p>
    <w:p>
      <w:pPr>
        <w:spacing w:after="0" w:line="196" w:lineRule="exact"/>
        <w:rPr>
          <w:sz w:val="20"/>
          <w:szCs w:val="20"/>
          <w:color w:val="auto"/>
        </w:rPr>
      </w:pPr>
    </w:p>
    <w:p>
      <w:pPr>
        <w:ind w:right="20" w:firstLine="417"/>
        <w:spacing w:after="0" w:line="256"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The Administrator may grant Options or Stock Appreciation Rights to Service Providers subject to the limitations in the Plan, including any limitations in the Plan that apply to Incentive Stock Options.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176" w:lineRule="exact"/>
        <w:rPr>
          <w:sz w:val="20"/>
          <w:szCs w:val="20"/>
          <w:color w:val="auto"/>
        </w:rPr>
      </w:pPr>
    </w:p>
    <w:p>
      <w:pPr>
        <w:ind w:right="20" w:firstLine="417"/>
        <w:spacing w:after="0" w:line="257"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The Administrator will establish each Option’s and Stock Appreciation Right’s exercise price and specify the exercise price in the Award Agreement. The exercise price will not be less than 100% of the Fair Market Value on the grant date of the Option (subject to Section 5.6) or Stock Appreciation Right. Notwithstanding the foregoing, in the case of an Option or a Stock Appreciation Right that is a Substitute Award, the exercise price per share of the Shares subject to such Option or Stock Appreciation Right, as applicable, may be less than the Fair Market Value per share on the date of grant; provided that the exercise price of any Substitute Award shall be determined in accordance with the applicable requirements of Sections 424 and 409A of the Code.</w:t>
      </w:r>
    </w:p>
    <w:p>
      <w:pPr>
        <w:spacing w:after="0" w:line="175" w:lineRule="exact"/>
        <w:rPr>
          <w:sz w:val="20"/>
          <w:szCs w:val="20"/>
          <w:color w:val="auto"/>
        </w:rPr>
      </w:pPr>
    </w:p>
    <w:p>
      <w:pPr>
        <w:ind w:right="100" w:firstLine="417"/>
        <w:spacing w:after="0" w:line="256" w:lineRule="auto"/>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u w:val="single" w:color="auto"/>
          <w:color w:val="auto"/>
        </w:rPr>
        <w:t>Duration</w:t>
      </w:r>
      <w:r>
        <w:rPr>
          <w:rFonts w:ascii="Times New Roman" w:cs="Times New Roman" w:eastAsia="Times New Roman" w:hAnsi="Times New Roman"/>
          <w:sz w:val="17"/>
          <w:szCs w:val="17"/>
          <w:color w:val="auto"/>
        </w:rPr>
        <w:t>. Each Option or Stock Appreciation Right will be exercisable at such times and as specified in the Award Agreement, provided that, subject to Section 5.6, the term of an Option or Stock Appreciation Right will not exceed ten (10) years. Notwithstanding the foregoing and unless determined otherwise by the Company, to the extent permitted under Applicable Laws, if the Participant, prior to the end of the term of an Option or Stock Appreciation Right,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Stock Appreciation Right issued to the Participant shall terminate immediately upon such violation, unless the Company otherwise determines.</w:t>
      </w:r>
    </w:p>
    <w:p>
      <w:pPr>
        <w:spacing w:after="0" w:line="176" w:lineRule="exact"/>
        <w:rPr>
          <w:sz w:val="20"/>
          <w:szCs w:val="20"/>
          <w:color w:val="auto"/>
        </w:rPr>
      </w:pPr>
    </w:p>
    <w:p>
      <w:pPr>
        <w:ind w:firstLine="417"/>
        <w:spacing w:after="0" w:line="259" w:lineRule="auto"/>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7"/>
          <w:szCs w:val="17"/>
          <w:u w:val="single" w:color="auto"/>
          <w:color w:val="auto"/>
        </w:rPr>
        <w:t>Exercise</w:t>
      </w:r>
      <w:r>
        <w:rPr>
          <w:rFonts w:ascii="Times New Roman" w:cs="Times New Roman" w:eastAsia="Times New Roman" w:hAnsi="Times New Roman"/>
          <w:sz w:val="17"/>
          <w:szCs w:val="17"/>
          <w:color w:val="auto"/>
        </w:rPr>
        <w:t>.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(i) as specified in Section 5.5 for the number of Shares for which the Award is exercised and (ii) as specified in Section 9.5 for any applicable taxes. Unless the Administrator otherwise determines, an Option or Stock Appreciation Right may not be exercised for a fraction of a Share.</w:t>
      </w:r>
    </w:p>
    <w:p>
      <w:pPr>
        <w:spacing w:after="0" w:line="172" w:lineRule="exact"/>
        <w:rPr>
          <w:sz w:val="20"/>
          <w:szCs w:val="20"/>
          <w:color w:val="auto"/>
        </w:rPr>
      </w:pPr>
    </w:p>
    <w:p>
      <w:pPr>
        <w:ind w:right="140" w:firstLine="417"/>
        <w:spacing w:after="0" w:line="283" w:lineRule="auto"/>
        <w:rPr>
          <w:sz w:val="20"/>
          <w:szCs w:val="20"/>
          <w:color w:val="auto"/>
        </w:rPr>
      </w:pPr>
      <w:r>
        <w:rPr>
          <w:rFonts w:ascii="Times New Roman" w:cs="Times New Roman" w:eastAsia="Times New Roman" w:hAnsi="Times New Roman"/>
          <w:sz w:val="17"/>
          <w:szCs w:val="17"/>
          <w:color w:val="auto"/>
        </w:rPr>
        <w:t xml:space="preserve">5.5 </w:t>
      </w:r>
      <w:r>
        <w:rPr>
          <w:rFonts w:ascii="Times New Roman" w:cs="Times New Roman" w:eastAsia="Times New Roman" w:hAnsi="Times New Roman"/>
          <w:sz w:val="17"/>
          <w:szCs w:val="17"/>
          <w:u w:val="single" w:color="auto"/>
          <w:color w:val="auto"/>
        </w:rPr>
        <w:t>Payment Upon Exercise</w:t>
      </w:r>
      <w:r>
        <w:rPr>
          <w:rFonts w:ascii="Times New Roman" w:cs="Times New Roman" w:eastAsia="Times New Roman" w:hAnsi="Times New Roman"/>
          <w:sz w:val="17"/>
          <w:szCs w:val="17"/>
          <w:color w:val="auto"/>
        </w:rPr>
        <w:t>. Subject to Section 10.8, any Company insider trading policy (including blackout periods) and Applicable Laws, the exercise price of an Option must be paid by:</w:t>
      </w:r>
    </w:p>
    <w:p>
      <w:pPr>
        <w:spacing w:after="0" w:line="152" w:lineRule="exact"/>
        <w:rPr>
          <w:sz w:val="20"/>
          <w:szCs w:val="20"/>
          <w:color w:val="auto"/>
        </w:rPr>
      </w:pPr>
    </w:p>
    <w:p>
      <w:pPr>
        <w:ind w:right="180" w:firstLine="929"/>
        <w:spacing w:after="0" w:line="283" w:lineRule="auto"/>
        <w:tabs>
          <w:tab w:leader="none" w:pos="1170"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wire transfer of immediately available funds or by check payable to the order of the Company, provided that the Company may limit the use of one of the foregoing payment forms if one or more of the payment forms below is permitted;</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400"/>
          </w:cols>
          <w:pgMar w:left="740" w:top="260" w:right="759" w:bottom="1440" w:gutter="0" w:footer="0" w:header="0"/>
        </w:sectPr>
      </w:pPr>
    </w:p>
    <w:bookmarkStart w:id="371" w:name="page372"/>
    <w:bookmarkEnd w:id="371"/>
    <w:p>
      <w:pPr>
        <w:ind w:right="160" w:firstLine="929"/>
        <w:spacing w:after="0" w:line="259" w:lineRule="auto"/>
        <w:tabs>
          <w:tab w:leader="none" w:pos="1180"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if there is a public market for Shares at the time of exercise, unless the Company otherwise determines, (A) delivery (including electronically or telephonically to the extent permitted by the Company) of an irrevocable and unconditional undertaking by a broker acceptable to the Company to deliver promptly to the Company sufficient funds to pay the exercise price, or (B)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171" w:lineRule="exact"/>
        <w:rPr>
          <w:rFonts w:ascii="Times New Roman" w:cs="Times New Roman" w:eastAsia="Times New Roman" w:hAnsi="Times New Roman"/>
          <w:sz w:val="17"/>
          <w:szCs w:val="17"/>
          <w:color w:val="auto"/>
        </w:rPr>
      </w:pPr>
    </w:p>
    <w:p>
      <w:pPr>
        <w:ind w:right="480" w:firstLine="929"/>
        <w:spacing w:after="0" w:line="283" w:lineRule="auto"/>
        <w:tabs>
          <w:tab w:leader="none" w:pos="1170"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permitted by the Administrator, delivery (either by actual delivery or attestation) of Shares owned by the Participant valued at their fair market value;</w:t>
      </w:r>
    </w:p>
    <w:p>
      <w:pPr>
        <w:spacing w:after="0" w:line="152" w:lineRule="exact"/>
        <w:rPr>
          <w:rFonts w:ascii="Times New Roman" w:cs="Times New Roman" w:eastAsia="Times New Roman" w:hAnsi="Times New Roman"/>
          <w:sz w:val="17"/>
          <w:szCs w:val="17"/>
          <w:color w:val="auto"/>
        </w:rPr>
      </w:pPr>
    </w:p>
    <w:p>
      <w:pPr>
        <w:ind w:right="220" w:firstLine="929"/>
        <w:spacing w:after="0" w:line="283" w:lineRule="auto"/>
        <w:tabs>
          <w:tab w:leader="none" w:pos="1180"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permitted by the Administrator, surrendering Shares then issuable upon the Option’s exercise valued at their fair market value on the exercise date;</w:t>
      </w:r>
    </w:p>
    <w:p>
      <w:pPr>
        <w:spacing w:after="0" w:line="152" w:lineRule="exact"/>
        <w:rPr>
          <w:rFonts w:ascii="Times New Roman" w:cs="Times New Roman" w:eastAsia="Times New Roman" w:hAnsi="Times New Roman"/>
          <w:sz w:val="17"/>
          <w:szCs w:val="17"/>
          <w:color w:val="auto"/>
        </w:rPr>
      </w:pPr>
    </w:p>
    <w:p>
      <w:pPr>
        <w:ind w:right="200" w:firstLine="929"/>
        <w:spacing w:after="0" w:line="283" w:lineRule="auto"/>
        <w:tabs>
          <w:tab w:leader="none" w:pos="1170"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permitted by the Administrator, delivery of a promissory note or any other property that the Administrator determines is good and valuable consideration; or</w:t>
      </w:r>
    </w:p>
    <w:p>
      <w:pPr>
        <w:spacing w:after="0" w:line="152" w:lineRule="exact"/>
        <w:rPr>
          <w:rFonts w:ascii="Times New Roman" w:cs="Times New Roman" w:eastAsia="Times New Roman" w:hAnsi="Times New Roman"/>
          <w:sz w:val="17"/>
          <w:szCs w:val="17"/>
          <w:color w:val="auto"/>
        </w:rPr>
      </w:pPr>
    </w:p>
    <w:p>
      <w:pPr>
        <w:ind w:left="1140" w:hanging="211"/>
        <w:spacing w:after="0"/>
        <w:tabs>
          <w:tab w:leader="none" w:pos="1140"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permitted by the Company, any combination of the above payment forms approved by the Administrator.</w:t>
      </w:r>
    </w:p>
    <w:p>
      <w:pPr>
        <w:spacing w:after="0" w:line="213" w:lineRule="exact"/>
        <w:rPr>
          <w:sz w:val="20"/>
          <w:szCs w:val="20"/>
          <w:color w:val="auto"/>
        </w:rPr>
      </w:pPr>
    </w:p>
    <w:p>
      <w:pPr>
        <w:ind w:firstLine="417"/>
        <w:spacing w:after="0" w:line="253" w:lineRule="auto"/>
        <w:rPr>
          <w:sz w:val="20"/>
          <w:szCs w:val="20"/>
          <w:color w:val="auto"/>
        </w:rPr>
      </w:pPr>
      <w:r>
        <w:rPr>
          <w:rFonts w:ascii="Times New Roman" w:cs="Times New Roman" w:eastAsia="Times New Roman" w:hAnsi="Times New Roman"/>
          <w:sz w:val="17"/>
          <w:szCs w:val="17"/>
          <w:color w:val="auto"/>
        </w:rPr>
        <w:t xml:space="preserve">5.6 </w:t>
      </w:r>
      <w:r>
        <w:rPr>
          <w:rFonts w:ascii="Times New Roman" w:cs="Times New Roman" w:eastAsia="Times New Roman" w:hAnsi="Times New Roman"/>
          <w:sz w:val="17"/>
          <w:szCs w:val="17"/>
          <w:u w:val="single" w:color="auto"/>
          <w:color w:val="auto"/>
        </w:rPr>
        <w:t>Additional Terms of Incentive Stock Options</w:t>
      </w:r>
      <w:r>
        <w:rPr>
          <w:rFonts w:ascii="Times New Roman" w:cs="Times New Roman" w:eastAsia="Times New Roman" w:hAnsi="Times New Roman"/>
          <w:sz w:val="17"/>
          <w:szCs w:val="17"/>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(5)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(i) two (2) years from the grant date of the Option or (ii) one (1)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 The foregoing terms shall be incorporated into any Award Agreement evidencing an Option intended to be an Incentive Stock Option to the extent necessary to cause such Award to so qualify.</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420"/>
          </w:cols>
          <w:pgMar w:left="740" w:top="263" w:right="739" w:bottom="1440" w:gutter="0" w:footer="0" w:header="0"/>
        </w:sectPr>
      </w:pPr>
    </w:p>
    <w:bookmarkStart w:id="372" w:name="page373"/>
    <w:bookmarkEnd w:id="372"/>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ARTICLE VI.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RESTRICTED STOCK UNITS</w:t>
      </w:r>
    </w:p>
    <w:p>
      <w:pPr>
        <w:spacing w:after="0" w:line="196" w:lineRule="exact"/>
        <w:rPr>
          <w:sz w:val="20"/>
          <w:szCs w:val="20"/>
          <w:color w:val="auto"/>
        </w:rPr>
      </w:pPr>
    </w:p>
    <w:p>
      <w:pPr>
        <w:ind w:right="100" w:firstLine="417"/>
        <w:spacing w:after="0" w:line="278" w:lineRule="auto"/>
        <w:rPr>
          <w:sz w:val="20"/>
          <w:szCs w:val="20"/>
          <w:color w:val="auto"/>
        </w:rPr>
      </w:pPr>
      <w:r>
        <w:rPr>
          <w:rFonts w:ascii="Times New Roman" w:cs="Times New Roman" w:eastAsia="Times New Roman" w:hAnsi="Times New Roman"/>
          <w:sz w:val="16"/>
          <w:szCs w:val="16"/>
          <w:color w:val="auto"/>
        </w:rPr>
        <w:t xml:space="preserve">6.1 </w:t>
      </w:r>
      <w:r>
        <w:rPr>
          <w:rFonts w:ascii="Times New Roman" w:cs="Times New Roman" w:eastAsia="Times New Roman" w:hAnsi="Times New Roman"/>
          <w:sz w:val="16"/>
          <w:szCs w:val="16"/>
          <w:u w:val="single" w:color="auto"/>
          <w:color w:val="auto"/>
        </w:rPr>
        <w:t>General</w:t>
      </w:r>
      <w:r>
        <w:rPr>
          <w:rFonts w:ascii="Times New Roman" w:cs="Times New Roman" w:eastAsia="Times New Roman" w:hAnsi="Times New Roman"/>
          <w:sz w:val="16"/>
          <w:szCs w:val="16"/>
          <w:color w:val="auto"/>
        </w:rPr>
        <w:t>.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Stock Units, which may be subject to vesting and forfeiture conditions during the applicable restriction period or periods, as set forth in an Award Agreement.</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6.2 </w:t>
      </w:r>
      <w:r>
        <w:rPr>
          <w:rFonts w:ascii="Times New Roman" w:cs="Times New Roman" w:eastAsia="Times New Roman" w:hAnsi="Times New Roman"/>
          <w:sz w:val="17"/>
          <w:szCs w:val="17"/>
          <w:u w:val="single" w:color="auto"/>
          <w:color w:val="auto"/>
        </w:rPr>
        <w:t>Restricted Stock</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ind w:right="20" w:firstLine="929"/>
        <w:spacing w:after="0" w:line="255" w:lineRule="auto"/>
        <w:tabs>
          <w:tab w:leader="none" w:pos="1170"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 Notwithstanding anything to the contrary herein, unless otherwise determined by the Administrator, with respect to any award of Restricted Stock, dividends which are paid to holders of Common Stock prior to vesting shall only be paid out to a Participant holding such Restricted Stock to the extent that the vesting conditions are subsequently satisfied. All such dividend payments will be made no later than March 15 of the calendar year following the calendar year in which the right to the dividend payment becomes nonforfeitable.</w:t>
      </w:r>
    </w:p>
    <w:p>
      <w:pPr>
        <w:spacing w:after="0" w:line="178" w:lineRule="exact"/>
        <w:rPr>
          <w:rFonts w:ascii="Times New Roman" w:cs="Times New Roman" w:eastAsia="Times New Roman" w:hAnsi="Times New Roman"/>
          <w:sz w:val="17"/>
          <w:szCs w:val="17"/>
          <w:color w:val="auto"/>
        </w:rPr>
      </w:pPr>
    </w:p>
    <w:p>
      <w:pPr>
        <w:ind w:right="400" w:firstLine="929"/>
        <w:spacing w:after="0" w:line="283" w:lineRule="auto"/>
        <w:tabs>
          <w:tab w:leader="none" w:pos="1179"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Certificates</w:t>
      </w:r>
      <w:r>
        <w:rPr>
          <w:rFonts w:ascii="Times New Roman" w:cs="Times New Roman" w:eastAsia="Times New Roman" w:hAnsi="Times New Roman"/>
          <w:sz w:val="17"/>
          <w:szCs w:val="17"/>
          <w:color w:val="auto"/>
        </w:rPr>
        <w:t>. The Company may require that the Participant deposit in escrow with the Company (or its designee) any stock certificates issued in respect of Shares of Restricted Stock, together with a stock power endorsed in blank.</w:t>
      </w:r>
    </w:p>
    <w:p>
      <w:pPr>
        <w:spacing w:after="0" w:line="15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u w:val="single" w:color="auto"/>
          <w:color w:val="auto"/>
        </w:rPr>
        <w:t>Restricted Stock Units.</w:t>
      </w:r>
    </w:p>
    <w:p>
      <w:pPr>
        <w:spacing w:after="0" w:line="213" w:lineRule="exact"/>
        <w:rPr>
          <w:sz w:val="20"/>
          <w:szCs w:val="20"/>
          <w:color w:val="auto"/>
        </w:rPr>
      </w:pPr>
    </w:p>
    <w:p>
      <w:pPr>
        <w:ind w:right="40" w:firstLine="929"/>
        <w:spacing w:after="0" w:line="267" w:lineRule="auto"/>
        <w:tabs>
          <w:tab w:leader="none" w:pos="1170"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Settlement</w:t>
      </w:r>
      <w:r>
        <w:rPr>
          <w:rFonts w:ascii="Times New Roman" w:cs="Times New Roman" w:eastAsia="Times New Roman" w:hAnsi="Times New Roman"/>
          <w:sz w:val="17"/>
          <w:szCs w:val="17"/>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spacing w:after="0" w:line="165" w:lineRule="exact"/>
        <w:rPr>
          <w:rFonts w:ascii="Times New Roman" w:cs="Times New Roman" w:eastAsia="Times New Roman" w:hAnsi="Times New Roman"/>
          <w:sz w:val="17"/>
          <w:szCs w:val="17"/>
          <w:color w:val="auto"/>
        </w:rPr>
      </w:pPr>
    </w:p>
    <w:p>
      <w:pPr>
        <w:ind w:right="440" w:firstLine="929"/>
        <w:spacing w:after="0" w:line="283" w:lineRule="auto"/>
        <w:tabs>
          <w:tab w:leader="none" w:pos="1179"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Stockholder Rights</w:t>
      </w:r>
      <w:r>
        <w:rPr>
          <w:rFonts w:ascii="Times New Roman" w:cs="Times New Roman" w:eastAsia="Times New Roman" w:hAnsi="Times New Roman"/>
          <w:sz w:val="17"/>
          <w:szCs w:val="17"/>
          <w:color w:val="auto"/>
        </w:rPr>
        <w:t>. A Participant will have no rights of a stockholder with respect to Shares subject to any Restricted Stock Unit unless and until the Shares are delivered in settlement of the Restricted Stock Unit.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STOCK OR CASH BASED AWARDS; DIVIDEND EQUIVALENTS</w:t>
      </w:r>
    </w:p>
    <w:p>
      <w:pPr>
        <w:spacing w:after="0" w:line="196" w:lineRule="exact"/>
        <w:rPr>
          <w:sz w:val="20"/>
          <w:szCs w:val="20"/>
          <w:color w:val="auto"/>
        </w:rPr>
      </w:pPr>
    </w:p>
    <w:p>
      <w:pPr>
        <w:ind w:firstLine="417"/>
        <w:spacing w:after="0" w:line="259"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u w:val="single" w:color="auto"/>
          <w:color w:val="auto"/>
        </w:rPr>
        <w:t>Other Stock or Cash Based Awards</w:t>
      </w:r>
      <w:r>
        <w:rPr>
          <w:rFonts w:ascii="Times New Roman" w:cs="Times New Roman" w:eastAsia="Times New Roman" w:hAnsi="Times New Roman"/>
          <w:sz w:val="17"/>
          <w:szCs w:val="17"/>
          <w:color w:val="auto"/>
        </w:rPr>
        <w:t>. 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400"/>
          </w:cols>
          <w:pgMar w:left="740" w:top="260" w:right="759" w:bottom="1440" w:gutter="0" w:footer="0" w:header="0"/>
        </w:sectPr>
      </w:pPr>
    </w:p>
    <w:bookmarkStart w:id="373" w:name="page374"/>
    <w:bookmarkEnd w:id="373"/>
    <w:p>
      <w:pPr>
        <w:ind w:right="140" w:firstLine="417"/>
        <w:spacing w:after="0" w:line="27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7.2 </w:t>
      </w:r>
      <w:r>
        <w:rPr>
          <w:rFonts w:ascii="Times New Roman" w:cs="Times New Roman" w:eastAsia="Times New Roman" w:hAnsi="Times New Roman"/>
          <w:sz w:val="16"/>
          <w:szCs w:val="16"/>
          <w:u w:val="single" w:color="auto"/>
          <w:color w:val="auto"/>
        </w:rPr>
        <w:t>Dividend Equivalents</w:t>
      </w:r>
      <w:r>
        <w:rPr>
          <w:rFonts w:ascii="Times New Roman" w:cs="Times New Roman" w:eastAsia="Times New Roman" w:hAnsi="Times New Roman"/>
          <w:sz w:val="16"/>
          <w:szCs w:val="16"/>
          <w:color w:val="auto"/>
        </w:rPr>
        <w:t>. A grant of Restricted Stock Units or Other Stock or Cash Based Award may provide a Participant with the right to receive Dividend Equivalents, and no Dividend Equivalents shall be payable with respect to Options or Stock Appreciation Rights. Dividend Equivalents may be paid currently or credited to an account for the Participant, settled in cash or Shares and subject to the same restrictions on transferability and forfeitability as the Award with to which the Dividend Equivalents are paid and subject to other terms and conditions as set forth in the Award Agreement. Notwithstanding anything to the contrary herein, unless otherwise determined by the Administrator, Dividend Equivalents with respect to an Award shall only be paid to a Participant to the extent that the vesting conditions are subsequently satisfied. All such Dividend Equivalent payments will be made no later than March 15 of the calendar year following the calendar year in which the right to the Dividend Equivalent payment becomes nonforfeitable, unless determined otherwise by the Administrator or unless deferred in a manner intended to comply with Section 409A.</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ADJUSTMENTS FOR CHANGES IN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AND CERTAIN OTHER EVENTS</w:t>
      </w:r>
    </w:p>
    <w:p>
      <w:pPr>
        <w:spacing w:after="0" w:line="196" w:lineRule="exact"/>
        <w:rPr>
          <w:sz w:val="20"/>
          <w:szCs w:val="20"/>
          <w:color w:val="auto"/>
        </w:rPr>
      </w:pPr>
    </w:p>
    <w:p>
      <w:pPr>
        <w:ind w:right="60" w:firstLine="417"/>
        <w:spacing w:after="0" w:line="259" w:lineRule="auto"/>
        <w:rPr>
          <w:sz w:val="20"/>
          <w:szCs w:val="20"/>
          <w:color w:val="auto"/>
        </w:rPr>
      </w:pPr>
      <w:r>
        <w:rPr>
          <w:rFonts w:ascii="Times New Roman" w:cs="Times New Roman" w:eastAsia="Times New Roman" w:hAnsi="Times New Roman"/>
          <w:sz w:val="17"/>
          <w:szCs w:val="17"/>
          <w:color w:val="auto"/>
        </w:rPr>
        <w:t xml:space="preserve">8.1 </w:t>
      </w:r>
      <w:r>
        <w:rPr>
          <w:rFonts w:ascii="Times New Roman" w:cs="Times New Roman" w:eastAsia="Times New Roman" w:hAnsi="Times New Roman"/>
          <w:sz w:val="17"/>
          <w:szCs w:val="17"/>
          <w:u w:val="single" w:color="auto"/>
          <w:color w:val="auto"/>
        </w:rPr>
        <w:t>Equity Restructuring(a)</w:t>
      </w:r>
      <w:r>
        <w:rPr>
          <w:rFonts w:ascii="Times New Roman" w:cs="Times New Roman" w:eastAsia="Times New Roman" w:hAnsi="Times New Roman"/>
          <w:sz w:val="17"/>
          <w:szCs w:val="17"/>
          <w:color w:val="auto"/>
        </w:rPr>
        <w:t xml:space="preserve"> .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and/or making a cash payment to Participants. The adjustments provided under this Section 8.1 will be nondiscretionary and final and binding on the affected Participant and the Company; provided that the Administrator will determine whether an adjustment is equitable.</w:t>
      </w:r>
    </w:p>
    <w:p>
      <w:pPr>
        <w:spacing w:after="0" w:line="172" w:lineRule="exact"/>
        <w:rPr>
          <w:sz w:val="20"/>
          <w:szCs w:val="20"/>
          <w:color w:val="auto"/>
        </w:rPr>
      </w:pPr>
    </w:p>
    <w:p>
      <w:pPr>
        <w:ind w:firstLine="417"/>
        <w:spacing w:after="0" w:line="254" w:lineRule="auto"/>
        <w:rPr>
          <w:sz w:val="20"/>
          <w:szCs w:val="20"/>
          <w:color w:val="auto"/>
        </w:rPr>
      </w:pPr>
      <w:r>
        <w:rPr>
          <w:rFonts w:ascii="Times New Roman" w:cs="Times New Roman" w:eastAsia="Times New Roman" w:hAnsi="Times New Roman"/>
          <w:sz w:val="17"/>
          <w:szCs w:val="17"/>
          <w:color w:val="auto"/>
        </w:rPr>
        <w:t xml:space="preserve">8.2 </w:t>
      </w:r>
      <w:r>
        <w:rPr>
          <w:rFonts w:ascii="Times New Roman" w:cs="Times New Roman" w:eastAsia="Times New Roman" w:hAnsi="Times New Roman"/>
          <w:sz w:val="17"/>
          <w:szCs w:val="17"/>
          <w:u w:val="single" w:color="auto"/>
          <w:color w:val="auto"/>
        </w:rPr>
        <w:t>Corporate Transactions</w:t>
      </w:r>
      <w:r>
        <w:rPr>
          <w:rFonts w:ascii="Times New Roman" w:cs="Times New Roman" w:eastAsia="Times New Roman" w:hAnsi="Times New Roman"/>
          <w:sz w:val="17"/>
          <w:szCs w:val="17"/>
          <w:color w:val="auto"/>
        </w:rPr>
        <w:t>.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spacing w:after="0" w:line="177" w:lineRule="exact"/>
        <w:rPr>
          <w:sz w:val="20"/>
          <w:szCs w:val="20"/>
          <w:color w:val="auto"/>
        </w:rPr>
      </w:pPr>
    </w:p>
    <w:p>
      <w:pPr>
        <w:ind w:right="60" w:firstLine="929"/>
        <w:spacing w:after="0" w:line="257" w:lineRule="auto"/>
        <w:tabs>
          <w:tab w:leader="none" w:pos="1170" w:val="left"/>
        </w:tabs>
        <w:numPr>
          <w:ilvl w:val="0"/>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 provided, further, that Awards held by members of the Board will be settled in Shares on or immediately prior to the applicable event if the Administrator takes action under this clause (a);</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420"/>
          </w:cols>
          <w:pgMar w:left="740" w:top="264" w:right="739" w:bottom="1440" w:gutter="0" w:footer="0" w:header="0"/>
        </w:sectPr>
      </w:pPr>
    </w:p>
    <w:bookmarkStart w:id="374" w:name="page375"/>
    <w:bookmarkEnd w:id="374"/>
    <w:p>
      <w:pPr>
        <w:ind w:right="280" w:firstLine="929"/>
        <w:spacing w:after="0" w:line="283" w:lineRule="auto"/>
        <w:tabs>
          <w:tab w:leader="none" w:pos="1180"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To provide that such Award shall vest and, to the extent applicable, be exercisable as to all Shares covered thereby, notwithstanding anything to the contrary in the Plan or the provisions of such Award;</w:t>
      </w:r>
    </w:p>
    <w:p>
      <w:pPr>
        <w:spacing w:after="0" w:line="152" w:lineRule="exact"/>
        <w:rPr>
          <w:rFonts w:ascii="Times New Roman" w:cs="Times New Roman" w:eastAsia="Times New Roman" w:hAnsi="Times New Roman"/>
          <w:sz w:val="17"/>
          <w:szCs w:val="17"/>
          <w:color w:val="auto"/>
        </w:rPr>
      </w:pPr>
    </w:p>
    <w:p>
      <w:pPr>
        <w:ind w:right="220" w:firstLine="929"/>
        <w:spacing w:after="0" w:line="261" w:lineRule="auto"/>
        <w:tabs>
          <w:tab w:leader="none" w:pos="1170"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that such Award be assumed by the successor or survivor corporation, or a parent or subsidiary thereof, or shall be substituted for by awards covering the stock of the successor or survivor corporation, or a parent or subsidiary thereof, or equivalent value thereof in cash, with appropriate adjustments as to the number and kind of shares and/or applicable exercise or purchase price, in all cases, as determined by the Administrator;</w:t>
      </w:r>
    </w:p>
    <w:p>
      <w:pPr>
        <w:spacing w:after="0" w:line="171" w:lineRule="exact"/>
        <w:rPr>
          <w:rFonts w:ascii="Times New Roman" w:cs="Times New Roman" w:eastAsia="Times New Roman" w:hAnsi="Times New Roman"/>
          <w:sz w:val="17"/>
          <w:szCs w:val="17"/>
          <w:color w:val="auto"/>
        </w:rPr>
      </w:pPr>
    </w:p>
    <w:p>
      <w:pPr>
        <w:jc w:val="both"/>
        <w:ind w:right="140" w:firstLine="929"/>
        <w:spacing w:after="0" w:line="261" w:lineRule="auto"/>
        <w:tabs>
          <w:tab w:leader="none" w:pos="1180"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adjustments in the number and type of Shares (or other securities or property) subject to outstanding Awards and/or with respect to which Awards may be granted under the Plan (including, but not limited to, adjustments of the limitations in Article IV on the maximum number and kind of shares which may be issued) and/or in the terms and conditions of (including the grant or exercise price or applicable performance goals), and the criteria included in, outstanding Awards;</w:t>
      </w:r>
    </w:p>
    <w:p>
      <w:pPr>
        <w:spacing w:after="0" w:line="171" w:lineRule="exact"/>
        <w:rPr>
          <w:rFonts w:ascii="Times New Roman" w:cs="Times New Roman" w:eastAsia="Times New Roman" w:hAnsi="Times New Roman"/>
          <w:sz w:val="17"/>
          <w:szCs w:val="17"/>
          <w:color w:val="auto"/>
        </w:rPr>
      </w:pPr>
    </w:p>
    <w:p>
      <w:pPr>
        <w:ind w:left="1160" w:hanging="231"/>
        <w:spacing w:after="0"/>
        <w:tabs>
          <w:tab w:leader="none" w:pos="1160"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replace such Award with other rights or property selected by the Administrator; and/or</w:t>
      </w:r>
    </w:p>
    <w:p>
      <w:pPr>
        <w:spacing w:after="0" w:line="213" w:lineRule="exact"/>
        <w:rPr>
          <w:rFonts w:ascii="Times New Roman" w:cs="Times New Roman" w:eastAsia="Times New Roman" w:hAnsi="Times New Roman"/>
          <w:sz w:val="17"/>
          <w:szCs w:val="17"/>
          <w:color w:val="auto"/>
        </w:rPr>
      </w:pPr>
    </w:p>
    <w:p>
      <w:pPr>
        <w:ind w:left="1140" w:hanging="211"/>
        <w:spacing w:after="0"/>
        <w:tabs>
          <w:tab w:leader="none" w:pos="1140"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that the Award will terminate and cannot vest, be exercised or become payable after the applicable event.</w:t>
      </w:r>
    </w:p>
    <w:p>
      <w:pPr>
        <w:spacing w:after="0" w:line="213" w:lineRule="exact"/>
        <w:rPr>
          <w:sz w:val="20"/>
          <w:szCs w:val="20"/>
          <w:color w:val="auto"/>
        </w:rPr>
      </w:pPr>
    </w:p>
    <w:p>
      <w:pPr>
        <w:ind w:firstLine="417"/>
        <w:spacing w:after="0" w:line="252" w:lineRule="auto"/>
        <w:rPr>
          <w:sz w:val="20"/>
          <w:szCs w:val="20"/>
          <w:color w:val="auto"/>
        </w:rPr>
      </w:pPr>
      <w:r>
        <w:rPr>
          <w:rFonts w:ascii="Times New Roman" w:cs="Times New Roman" w:eastAsia="Times New Roman" w:hAnsi="Times New Roman"/>
          <w:sz w:val="17"/>
          <w:szCs w:val="17"/>
          <w:color w:val="auto"/>
        </w:rPr>
        <w:t xml:space="preserve">8.3 </w:t>
      </w:r>
      <w:r>
        <w:rPr>
          <w:rFonts w:ascii="Times New Roman" w:cs="Times New Roman" w:eastAsia="Times New Roman" w:hAnsi="Times New Roman"/>
          <w:sz w:val="17"/>
          <w:szCs w:val="17"/>
          <w:u w:val="single" w:color="auto"/>
          <w:color w:val="auto"/>
        </w:rPr>
        <w:t>Effect of Non-Assumption in a Change in Control</w:t>
      </w:r>
      <w:r>
        <w:rPr>
          <w:rFonts w:ascii="Times New Roman" w:cs="Times New Roman" w:eastAsia="Times New Roman" w:hAnsi="Times New Roman"/>
          <w:sz w:val="17"/>
          <w:szCs w:val="17"/>
          <w:color w:val="auto"/>
        </w:rPr>
        <w:t>. Notwithstanding the provisions of Section 8.2, if a Change in Control occurs and a Participant’s Awards are not continued, converted, assumed, or replaced with a substantially similar award by (a) the Company, or (b) a successor entity or its parent or subsidiary (an “</w:t>
      </w:r>
      <w:r>
        <w:rPr>
          <w:rFonts w:ascii="Times New Roman" w:cs="Times New Roman" w:eastAsia="Times New Roman" w:hAnsi="Times New Roman"/>
          <w:sz w:val="17"/>
          <w:szCs w:val="17"/>
          <w:b w:val="1"/>
          <w:bCs w:val="1"/>
          <w:i w:val="1"/>
          <w:iCs w:val="1"/>
          <w:color w:val="auto"/>
        </w:rPr>
        <w:t>Assumption</w:t>
      </w:r>
      <w:r>
        <w:rPr>
          <w:rFonts w:ascii="Times New Roman" w:cs="Times New Roman" w:eastAsia="Times New Roman" w:hAnsi="Times New Roman"/>
          <w:sz w:val="17"/>
          <w:szCs w:val="17"/>
          <w:color w:val="auto"/>
        </w:rPr>
        <w:t xml:space="preserve">”), and provided that the Participant has not had a Termination of Service, then, immediately prior to the Change in Control, such Awards shall become fully vested, exercisable and/or payable, as applicable, and all forfeiture, repurchase and other restrictions on such Awards shall lapse, in which case, such Awards shall be canceled upon the consummation of the Change in Control in exchange for the right to receive the Change in Control consideration payable to other holders of Common Stock (i) which may be on such terms and conditions as apply generally to holders of Common Stock under the Change in Control documents (including, without limitation, any escrow, earn-out or other deferred consideration provisions) or such other terms and conditions as the Administrator may provide, and (ii) determined by reference to the number of Shares subject to such Awards and net of any applicable exercise price;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to the extent that any Awards constitute “nonqualified deferred compensation” that may not be paid upon the Change in Control under Section 409A without the imposition of taxes thereon under Section 409A, the timing of such payments shall be governed by the applicable Award Agreement (subject to any deferred consideration provisions applicable under the Change in Control documents); and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if the amount to which a Participant would be entitled upon the settlement or exercise of such Award at the time of the Change in Control is equal to or less than zero, then such Award may be terminated without payment. An Award will be considered replaced with a comparable award if the Award is exchanged for an amount of cash or other property with a value equal to the amount that could have been obtained upon the settlement of such Award in such Change in Control (as determined by the Administrator), even if such cash or other property payable with respect to the unvested portion of such Award remains subject to similar vesting provisions following such Change in Control. Notwithstanding the foregoing, the Administrator will have full and final authority to determine whether an Assumption of an Award has occurred in connection with a Change in Control.</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400"/>
          </w:cols>
          <w:pgMar w:left="740" w:top="263" w:right="759" w:bottom="1440" w:gutter="0" w:footer="0" w:header="0"/>
        </w:sectPr>
      </w:pPr>
    </w:p>
    <w:bookmarkStart w:id="375" w:name="page376"/>
    <w:bookmarkEnd w:id="375"/>
    <w:p>
      <w:pPr>
        <w:ind w:right="120" w:firstLine="417"/>
        <w:spacing w:after="0" w:line="26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8.4 </w:t>
      </w:r>
      <w:r>
        <w:rPr>
          <w:rFonts w:ascii="Times New Roman" w:cs="Times New Roman" w:eastAsia="Times New Roman" w:hAnsi="Times New Roman"/>
          <w:sz w:val="17"/>
          <w:szCs w:val="17"/>
          <w:u w:val="single" w:color="auto"/>
          <w:color w:val="auto"/>
        </w:rPr>
        <w:t>Administrative Stand Still</w:t>
      </w:r>
      <w:r>
        <w:rPr>
          <w:rFonts w:ascii="Times New Roman" w:cs="Times New Roman" w:eastAsia="Times New Roman" w:hAnsi="Times New Roman"/>
          <w:sz w:val="17"/>
          <w:szCs w:val="17"/>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including any Equity Restructuring or any securities offering or other similar transaction, for administrative convenience, the Administrator may refuse to permit the exercise of any Award for up to sixty (60) days before or after such transaction.</w:t>
      </w:r>
    </w:p>
    <w:p>
      <w:pPr>
        <w:spacing w:after="0" w:line="172" w:lineRule="exact"/>
        <w:rPr>
          <w:sz w:val="20"/>
          <w:szCs w:val="20"/>
          <w:color w:val="auto"/>
        </w:rPr>
      </w:pPr>
    </w:p>
    <w:p>
      <w:pPr>
        <w:ind w:right="60" w:firstLine="417"/>
        <w:spacing w:after="0" w:line="254" w:lineRule="auto"/>
        <w:rPr>
          <w:sz w:val="20"/>
          <w:szCs w:val="20"/>
          <w:color w:val="auto"/>
        </w:rPr>
      </w:pPr>
      <w:r>
        <w:rPr>
          <w:rFonts w:ascii="Times New Roman" w:cs="Times New Roman" w:eastAsia="Times New Roman" w:hAnsi="Times New Roman"/>
          <w:sz w:val="17"/>
          <w:szCs w:val="17"/>
          <w:color w:val="auto"/>
        </w:rPr>
        <w:t xml:space="preserve">8.5 </w:t>
      </w: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IX.</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 PROVISIONS APPLICABLE TO AWARDS</w:t>
      </w:r>
    </w:p>
    <w:p>
      <w:pPr>
        <w:spacing w:after="0" w:line="196" w:lineRule="exact"/>
        <w:rPr>
          <w:sz w:val="20"/>
          <w:szCs w:val="20"/>
          <w:color w:val="auto"/>
        </w:rPr>
      </w:pPr>
    </w:p>
    <w:p>
      <w:pPr>
        <w:ind w:firstLine="417"/>
        <w:spacing w:after="0" w:line="257" w:lineRule="auto"/>
        <w:rPr>
          <w:sz w:val="20"/>
          <w:szCs w:val="20"/>
          <w:color w:val="auto"/>
        </w:rPr>
      </w:pPr>
      <w:r>
        <w:rPr>
          <w:rFonts w:ascii="Times New Roman" w:cs="Times New Roman" w:eastAsia="Times New Roman" w:hAnsi="Times New Roman"/>
          <w:sz w:val="17"/>
          <w:szCs w:val="17"/>
          <w:color w:val="auto"/>
        </w:rPr>
        <w:t xml:space="preserve">9.1 </w:t>
      </w:r>
      <w:r>
        <w:rPr>
          <w:rFonts w:ascii="Times New Roman" w:cs="Times New Roman" w:eastAsia="Times New Roman" w:hAnsi="Times New Roman"/>
          <w:sz w:val="17"/>
          <w:szCs w:val="17"/>
          <w:u w:val="single" w:color="auto"/>
          <w:color w:val="auto"/>
        </w:rPr>
        <w:t>Transferability</w:t>
      </w:r>
      <w:r>
        <w:rPr>
          <w:rFonts w:ascii="Times New Roman" w:cs="Times New Roman" w:eastAsia="Times New Roman" w:hAnsi="Times New Roman"/>
          <w:sz w:val="17"/>
          <w:szCs w:val="17"/>
          <w:color w:val="auto"/>
        </w:rPr>
        <w:t>. Except as the Administrator may determine or provide in an Award Agreement or otherwise for Awards other than Incentive Stock Options, Awards may not be sold, assigned, transferred, pledged or otherwise encumbered, either voluntarily or by operation of law, except for certain Designated Beneficiary designations, by will or the laws of descent and distribution, or, subject to the Administrator’s consent, pursuant to a domestic relations order, and, during the life of the Participant, will be exercisable only by the Participant. Any permitted transfer of an Award hereunder shall be without consideration, except as required by Applicable Law. References to a Participant, to the extent relevant in the context, will include references to a Participant’s authorized transferee that the Administrator specifically approves.</w:t>
      </w:r>
    </w:p>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9.2 </w:t>
      </w:r>
      <w:r>
        <w:rPr>
          <w:rFonts w:ascii="Times New Roman" w:cs="Times New Roman" w:eastAsia="Times New Roman" w:hAnsi="Times New Roman"/>
          <w:sz w:val="17"/>
          <w:szCs w:val="17"/>
          <w:u w:val="single" w:color="auto"/>
          <w:color w:val="auto"/>
        </w:rPr>
        <w:t>Documentation</w:t>
      </w:r>
      <w:r>
        <w:rPr>
          <w:rFonts w:ascii="Times New Roman" w:cs="Times New Roman" w:eastAsia="Times New Roman" w:hAnsi="Times New Roman"/>
          <w:sz w:val="17"/>
          <w:szCs w:val="17"/>
          <w:color w:val="auto"/>
        </w:rPr>
        <w:t>. Each Award will be evidenced in an Award Agreement, which may be written or electronic, as the Administrator determines.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Award may contain terms and conditions in addition to those set forth in the Plan.</w:t>
      </w:r>
    </w:p>
    <w:p>
      <w:pPr>
        <w:spacing w:after="0" w:line="196" w:lineRule="exact"/>
        <w:rPr>
          <w:sz w:val="20"/>
          <w:szCs w:val="20"/>
          <w:color w:val="auto"/>
        </w:rPr>
      </w:pPr>
    </w:p>
    <w:p>
      <w:pPr>
        <w:ind w:right="120" w:firstLine="417"/>
        <w:spacing w:after="0" w:line="283" w:lineRule="auto"/>
        <w:rPr>
          <w:sz w:val="20"/>
          <w:szCs w:val="20"/>
          <w:color w:val="auto"/>
        </w:rPr>
      </w:pPr>
      <w:r>
        <w:rPr>
          <w:rFonts w:ascii="Times New Roman" w:cs="Times New Roman" w:eastAsia="Times New Roman" w:hAnsi="Times New Roman"/>
          <w:sz w:val="17"/>
          <w:szCs w:val="17"/>
          <w:color w:val="auto"/>
        </w:rPr>
        <w:t xml:space="preserve">9.3 </w:t>
      </w:r>
      <w:r>
        <w:rPr>
          <w:rFonts w:ascii="Times New Roman" w:cs="Times New Roman" w:eastAsia="Times New Roman" w:hAnsi="Times New Roman"/>
          <w:sz w:val="17"/>
          <w:szCs w:val="17"/>
          <w:u w:val="single" w:color="auto"/>
          <w:color w:val="auto"/>
        </w:rPr>
        <w:t>Discretion</w:t>
      </w:r>
      <w:r>
        <w:rPr>
          <w:rFonts w:ascii="Times New Roman" w:cs="Times New Roman" w:eastAsia="Times New Roman" w:hAnsi="Times New Roman"/>
          <w:sz w:val="17"/>
          <w:szCs w:val="17"/>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52" w:lineRule="exact"/>
        <w:rPr>
          <w:sz w:val="20"/>
          <w:szCs w:val="20"/>
          <w:color w:val="auto"/>
        </w:rPr>
      </w:pPr>
    </w:p>
    <w:p>
      <w:pPr>
        <w:ind w:right="240" w:firstLine="417"/>
        <w:spacing w:after="0" w:line="291" w:lineRule="auto"/>
        <w:rPr>
          <w:sz w:val="20"/>
          <w:szCs w:val="20"/>
          <w:color w:val="auto"/>
        </w:rPr>
      </w:pPr>
      <w:r>
        <w:rPr>
          <w:rFonts w:ascii="Times New Roman" w:cs="Times New Roman" w:eastAsia="Times New Roman" w:hAnsi="Times New Roman"/>
          <w:sz w:val="16"/>
          <w:szCs w:val="16"/>
          <w:color w:val="auto"/>
        </w:rPr>
        <w:t xml:space="preserve">9.4 </w:t>
      </w:r>
      <w:r>
        <w:rPr>
          <w:rFonts w:ascii="Times New Roman" w:cs="Times New Roman" w:eastAsia="Times New Roman" w:hAnsi="Times New Roman"/>
          <w:sz w:val="16"/>
          <w:szCs w:val="16"/>
          <w:u w:val="single" w:color="auto"/>
          <w:color w:val="auto"/>
        </w:rPr>
        <w:t>Termination of Status</w:t>
      </w:r>
      <w:r>
        <w:rPr>
          <w:rFonts w:ascii="Times New Roman" w:cs="Times New Roman" w:eastAsia="Times New Roman" w:hAnsi="Times New Roman"/>
          <w:sz w:val="16"/>
          <w:szCs w:val="16"/>
          <w:color w:val="auto"/>
        </w:rPr>
        <w:t>. The Administrator will determine how the disability, death, retirement, an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420"/>
          </w:cols>
          <w:pgMar w:left="740" w:top="264" w:right="739" w:bottom="1440" w:gutter="0" w:footer="0" w:header="0"/>
        </w:sectPr>
      </w:pPr>
    </w:p>
    <w:bookmarkStart w:id="376" w:name="page377"/>
    <w:bookmarkEnd w:id="376"/>
    <w:p>
      <w:pPr>
        <w:ind w:left="9" w:firstLine="417"/>
        <w:spacing w:after="0" w:line="25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9.5 </w:t>
      </w:r>
      <w:r>
        <w:rPr>
          <w:rFonts w:ascii="Times New Roman" w:cs="Times New Roman" w:eastAsia="Times New Roman" w:hAnsi="Times New Roman"/>
          <w:sz w:val="17"/>
          <w:szCs w:val="17"/>
          <w:u w:val="single" w:color="auto"/>
          <w:color w:val="auto"/>
        </w:rPr>
        <w:t>Withholding</w:t>
      </w:r>
      <w:r>
        <w:rPr>
          <w:rFonts w:ascii="Times New Roman" w:cs="Times New Roman" w:eastAsia="Times New Roman" w:hAnsi="Times New Roman"/>
          <w:sz w:val="17"/>
          <w:szCs w:val="17"/>
          <w:color w:val="auto"/>
        </w:rPr>
        <w:t>. Each Participant must pay the Company, or make provision satisfactory to the Administrator for payment of, any taxes required by Applicable Law to be withheld in connection with such Participant’s Awards by the date of the event creating the tax liability. The Company may deduct an amount sufficient to satisfy such tax obligations based on the applicable statutory withholding rates (or such other rate as may be determined by the Company after considering any accounting consequences or costs) from any payment of any kind otherwise due to a Participant. In the absence of a contrary determination by the Company (or, with respect to withholding pursuant to clause (ii) below with respect to Awards held by individuals subject to Section 16 of the Exchange Act, a contrary determination by the Administrator), all tax withholding obligations will be calculated based on the minimum applicable statutory withholding rates. Subject to Section 10.8 and any Company insider trading policy (including blackout periods), Participants may satisfy such tax obligations (i) in cash, by wire transfer of immediately available funds, by check made payable to the order of the Company, provided that the Company may limit the use of the foregoing payment forms if one or more of the payment forms below is permitted, (ii) to the extent permitted by the Administrator, in whole or in part by delivery of Shares, including Shares delivered by attestation and Shares retained from the Award creating the tax obligation, valued at their fair market value on the date of delivery, (iii) if there is a public market for Shares at the time the tax obligations are satisfied, unless the Company otherwise determines, (A) delivery (including electronically or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(iv) to the extent permitted by the Company, any combination of the foregoing payment forms approved by the Administrator. Notwithstanding any other provision of the Plan, the number of Shares which may be so delivered or retained pursuant to clause (ii) of the immediately preceding sentence shall be limited to the number of Shares which have a fair market value on the date of delivery or retention no greater than the aggregate amount of such liabilities based on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provided, however, to the extent such Shares were acquired by Participant from the Company as compensation, the Shares must have been held for the minimum period required by applicable accounting rules to avoid a charge to the Company’s earnings for financial reporting purposes; provided, further, that, any such Shares delivered or retained shall be rounded up to the nearest whole Share to the extent rounding up to the nearest whole Share does not result in the liability classification of the applicable Award under generally accepted accounting principles in the United States of America. If any tax withholding obligation will be satisfied under clause</w:t>
      </w:r>
    </w:p>
    <w:p>
      <w:pPr>
        <w:spacing w:after="0" w:line="17" w:lineRule="exact"/>
        <w:rPr>
          <w:sz w:val="20"/>
          <w:szCs w:val="20"/>
          <w:color w:val="auto"/>
        </w:rPr>
      </w:pPr>
    </w:p>
    <w:p>
      <w:pPr>
        <w:ind w:left="9" w:right="180" w:hanging="9"/>
        <w:spacing w:after="0" w:line="253" w:lineRule="auto"/>
        <w:tabs>
          <w:tab w:leader="none" w:pos="260" w:val="left"/>
        </w:tabs>
        <w:numPr>
          <w:ilvl w:val="0"/>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79" w:lineRule="exact"/>
        <w:rPr>
          <w:sz w:val="20"/>
          <w:szCs w:val="20"/>
          <w:color w:val="auto"/>
        </w:rPr>
      </w:pPr>
    </w:p>
    <w:p>
      <w:pPr>
        <w:ind w:left="9" w:right="40" w:firstLine="417"/>
        <w:spacing w:after="0" w:line="255" w:lineRule="auto"/>
        <w:rPr>
          <w:sz w:val="20"/>
          <w:szCs w:val="20"/>
          <w:color w:val="auto"/>
        </w:rPr>
      </w:pPr>
      <w:r>
        <w:rPr>
          <w:rFonts w:ascii="Times New Roman" w:cs="Times New Roman" w:eastAsia="Times New Roman" w:hAnsi="Times New Roman"/>
          <w:sz w:val="17"/>
          <w:szCs w:val="17"/>
          <w:color w:val="auto"/>
        </w:rPr>
        <w:t xml:space="preserve">9.6 </w:t>
      </w:r>
      <w:r>
        <w:rPr>
          <w:rFonts w:ascii="Times New Roman" w:cs="Times New Roman" w:eastAsia="Times New Roman" w:hAnsi="Times New Roman"/>
          <w:sz w:val="17"/>
          <w:szCs w:val="17"/>
          <w:u w:val="single" w:color="auto"/>
          <w:color w:val="auto"/>
        </w:rPr>
        <w:t>Amendment of Award; Repricing</w:t>
      </w:r>
      <w:r>
        <w:rPr>
          <w:rFonts w:ascii="Times New Roman" w:cs="Times New Roman" w:eastAsia="Times New Roman" w:hAnsi="Times New Roman"/>
          <w:sz w:val="17"/>
          <w:szCs w:val="17"/>
          <w:color w:val="auto"/>
        </w:rPr>
        <w:t>.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(i) the action, taking into account any related action, does not materially and adversely affect the Participant’s rights under the Award, or (ii) the change is permitted under Article VIII or pursuant to Section 10.6. Notwithstanding the foregoing or anything in the Plan to the contrary, the Administrator may, without the approval of the stockholders of the Company, reduce the exercise price per share of outstanding Options or Stock Appreciation Rights or cancel outstanding Options or Stock Appreciation Rights (including those that have an exercise price in excess of Fair Market Value) in exchange for cash, other Awards or Options or Stock Appreciation Rights with an exercise price per share that is less than the exercise price per share of the original Options or Stock Appreciation Rights.</w:t>
      </w:r>
    </w:p>
    <w:p>
      <w:pPr>
        <w:spacing w:after="0" w:line="11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409"/>
          </w:cols>
          <w:pgMar w:left="731" w:top="264" w:right="759" w:bottom="1440" w:gutter="0" w:footer="0" w:header="0"/>
        </w:sectPr>
      </w:pPr>
    </w:p>
    <w:bookmarkStart w:id="377" w:name="page378"/>
    <w:bookmarkEnd w:id="377"/>
    <w:p>
      <w:pPr>
        <w:ind w:right="100" w:firstLine="417"/>
        <w:spacing w:after="0" w:line="25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9.7 </w:t>
      </w:r>
      <w:r>
        <w:rPr>
          <w:rFonts w:ascii="Times New Roman" w:cs="Times New Roman" w:eastAsia="Times New Roman" w:hAnsi="Times New Roman"/>
          <w:sz w:val="17"/>
          <w:szCs w:val="17"/>
          <w:u w:val="single" w:color="auto"/>
          <w:color w:val="auto"/>
        </w:rPr>
        <w:t>Conditions on Delivery of Stock</w:t>
      </w:r>
      <w:r>
        <w:rPr>
          <w:rFonts w:ascii="Times New Roman" w:cs="Times New Roman" w:eastAsia="Times New Roman" w:hAnsi="Times New Roman"/>
          <w:sz w:val="17"/>
          <w:szCs w:val="17"/>
          <w:color w:val="auto"/>
        </w:rPr>
        <w:t>.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76" w:lineRule="exact"/>
        <w:rPr>
          <w:sz w:val="20"/>
          <w:szCs w:val="20"/>
          <w:color w:val="auto"/>
        </w:rPr>
      </w:pPr>
    </w:p>
    <w:p>
      <w:pPr>
        <w:ind w:right="180" w:firstLine="417"/>
        <w:spacing w:after="0" w:line="283" w:lineRule="auto"/>
        <w:rPr>
          <w:sz w:val="20"/>
          <w:szCs w:val="20"/>
          <w:color w:val="auto"/>
        </w:rPr>
      </w:pPr>
      <w:r>
        <w:rPr>
          <w:rFonts w:ascii="Times New Roman" w:cs="Times New Roman" w:eastAsia="Times New Roman" w:hAnsi="Times New Roman"/>
          <w:sz w:val="17"/>
          <w:szCs w:val="17"/>
          <w:color w:val="auto"/>
        </w:rPr>
        <w:t xml:space="preserve">9.8 </w:t>
      </w:r>
      <w:r>
        <w:rPr>
          <w:rFonts w:ascii="Times New Roman" w:cs="Times New Roman" w:eastAsia="Times New Roman" w:hAnsi="Times New Roman"/>
          <w:sz w:val="17"/>
          <w:szCs w:val="17"/>
          <w:u w:val="single" w:color="auto"/>
          <w:color w:val="auto"/>
        </w:rPr>
        <w:t>Acceleration</w:t>
      </w:r>
      <w:r>
        <w:rPr>
          <w:rFonts w:ascii="Times New Roman" w:cs="Times New Roman" w:eastAsia="Times New Roman" w:hAnsi="Times New Roman"/>
          <w:sz w:val="17"/>
          <w:szCs w:val="17"/>
          <w:color w:val="auto"/>
        </w:rPr>
        <w:t>. The Administrator may at any time provide that any Award will become immediately vested and fully or partially exercisable, free of some or all restrictions or conditions, or otherwise fully or partially realizable.</w:t>
      </w:r>
    </w:p>
    <w:p>
      <w:pPr>
        <w:spacing w:after="0" w:line="152" w:lineRule="exact"/>
        <w:rPr>
          <w:sz w:val="20"/>
          <w:szCs w:val="20"/>
          <w:color w:val="auto"/>
        </w:rPr>
      </w:pPr>
    </w:p>
    <w:p>
      <w:pPr>
        <w:ind w:firstLine="417"/>
        <w:spacing w:after="0" w:line="283" w:lineRule="auto"/>
        <w:rPr>
          <w:sz w:val="20"/>
          <w:szCs w:val="20"/>
          <w:color w:val="auto"/>
        </w:rPr>
      </w:pPr>
      <w:r>
        <w:rPr>
          <w:rFonts w:ascii="Times New Roman" w:cs="Times New Roman" w:eastAsia="Times New Roman" w:hAnsi="Times New Roman"/>
          <w:sz w:val="17"/>
          <w:szCs w:val="17"/>
          <w:color w:val="auto"/>
        </w:rPr>
        <w:t xml:space="preserve">9.9 </w:t>
      </w:r>
      <w:r>
        <w:rPr>
          <w:rFonts w:ascii="Times New Roman" w:cs="Times New Roman" w:eastAsia="Times New Roman" w:hAnsi="Times New Roman"/>
          <w:sz w:val="17"/>
          <w:szCs w:val="17"/>
          <w:u w:val="single" w:color="auto"/>
          <w:color w:val="auto"/>
        </w:rPr>
        <w:t>Cash Settlement</w:t>
      </w:r>
      <w:r>
        <w:rPr>
          <w:rFonts w:ascii="Times New Roman" w:cs="Times New Roman" w:eastAsia="Times New Roman" w:hAnsi="Times New Roman"/>
          <w:sz w:val="17"/>
          <w:szCs w:val="17"/>
          <w:color w:val="auto"/>
        </w:rPr>
        <w:t>. Without limiting the generality of any other provision of the Plan, the Administrator may provide, in an Award Agreement or subsequent to the grant of an Award, at its discretion, that any Award may be settled in cash, Shares or a combination thereof.</w:t>
      </w:r>
    </w:p>
    <w:p>
      <w:pPr>
        <w:spacing w:after="0" w:line="152" w:lineRule="exact"/>
        <w:rPr>
          <w:sz w:val="20"/>
          <w:szCs w:val="20"/>
          <w:color w:val="auto"/>
        </w:rPr>
      </w:pPr>
    </w:p>
    <w:p>
      <w:pPr>
        <w:ind w:right="60" w:firstLine="417"/>
        <w:spacing w:after="0" w:line="254" w:lineRule="auto"/>
        <w:rPr>
          <w:sz w:val="20"/>
          <w:szCs w:val="20"/>
          <w:color w:val="auto"/>
        </w:rPr>
      </w:pPr>
      <w:r>
        <w:rPr>
          <w:rFonts w:ascii="Times New Roman" w:cs="Times New Roman" w:eastAsia="Times New Roman" w:hAnsi="Times New Roman"/>
          <w:sz w:val="17"/>
          <w:szCs w:val="17"/>
          <w:color w:val="auto"/>
        </w:rPr>
        <w:t xml:space="preserve">9.10 </w:t>
      </w:r>
      <w:r>
        <w:rPr>
          <w:rFonts w:ascii="Times New Roman" w:cs="Times New Roman" w:eastAsia="Times New Roman" w:hAnsi="Times New Roman"/>
          <w:sz w:val="17"/>
          <w:szCs w:val="17"/>
          <w:u w:val="single" w:color="auto"/>
          <w:color w:val="auto"/>
        </w:rPr>
        <w:t>Broker-Assisted Sales</w:t>
      </w:r>
      <w:r>
        <w:rPr>
          <w:rFonts w:ascii="Times New Roman" w:cs="Times New Roman" w:eastAsia="Times New Roman" w:hAnsi="Times New Roman"/>
          <w:sz w:val="17"/>
          <w:szCs w:val="17"/>
          <w:color w:val="auto"/>
        </w:rPr>
        <w:t>. In the event of a broker-assisted sale of Shares in connection with the payment of amounts owed by a Participant under or with respect to the Plan or Awards, including amounts to be paid under the final sentence of Section 9.5: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X.</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MISCELLANEOUS</w:t>
      </w:r>
    </w:p>
    <w:p>
      <w:pPr>
        <w:spacing w:after="0" w:line="196" w:lineRule="exact"/>
        <w:rPr>
          <w:sz w:val="20"/>
          <w:szCs w:val="20"/>
          <w:color w:val="auto"/>
        </w:rPr>
      </w:pPr>
    </w:p>
    <w:p>
      <w:pPr>
        <w:ind w:right="60" w:firstLine="417"/>
        <w:spacing w:after="0" w:line="261" w:lineRule="auto"/>
        <w:rPr>
          <w:sz w:val="20"/>
          <w:szCs w:val="20"/>
          <w:color w:val="auto"/>
        </w:rPr>
      </w:pPr>
      <w:r>
        <w:rPr>
          <w:rFonts w:ascii="Times New Roman" w:cs="Times New Roman" w:eastAsia="Times New Roman" w:hAnsi="Times New Roman"/>
          <w:sz w:val="17"/>
          <w:szCs w:val="17"/>
          <w:color w:val="auto"/>
        </w:rPr>
        <w:t xml:space="preserve">10.1 </w:t>
      </w:r>
      <w:r>
        <w:rPr>
          <w:rFonts w:ascii="Times New Roman" w:cs="Times New Roman" w:eastAsia="Times New Roman" w:hAnsi="Times New Roman"/>
          <w:sz w:val="17"/>
          <w:szCs w:val="17"/>
          <w:u w:val="single" w:color="auto"/>
          <w:color w:val="auto"/>
        </w:rPr>
        <w:t>No Right to Employment or Other Status</w:t>
      </w:r>
      <w:r>
        <w:rPr>
          <w:rFonts w:ascii="Times New Roman" w:cs="Times New Roman" w:eastAsia="Times New Roman" w:hAnsi="Times New Roman"/>
          <w:sz w:val="17"/>
          <w:szCs w:val="17"/>
          <w:color w:val="auto"/>
        </w:rPr>
        <w:t>. No person will have any claim or right to be granted an Award, and the grant of an Award will not be construed as giving a Participant the right to continued employment or any other relationship with the Company or any of its Subsidiaries. The Company and its Subsidiaries expressly reserves the right at any time to dismiss or otherwise terminate its relationship with a Participant free from any liability or claim under the Plan or any Award, except as expressly provided in an Award Agreement or in the Plan.</w:t>
      </w:r>
    </w:p>
    <w:p>
      <w:pPr>
        <w:spacing w:after="0" w:line="172" w:lineRule="exact"/>
        <w:rPr>
          <w:sz w:val="20"/>
          <w:szCs w:val="20"/>
          <w:color w:val="auto"/>
        </w:rPr>
      </w:pPr>
    </w:p>
    <w:p>
      <w:pPr>
        <w:ind w:right="160" w:firstLine="417"/>
        <w:spacing w:after="0" w:line="267" w:lineRule="auto"/>
        <w:rPr>
          <w:sz w:val="20"/>
          <w:szCs w:val="20"/>
          <w:color w:val="auto"/>
        </w:rPr>
      </w:pPr>
      <w:r>
        <w:rPr>
          <w:rFonts w:ascii="Times New Roman" w:cs="Times New Roman" w:eastAsia="Times New Roman" w:hAnsi="Times New Roman"/>
          <w:sz w:val="17"/>
          <w:szCs w:val="17"/>
          <w:color w:val="auto"/>
        </w:rPr>
        <w:t xml:space="preserve">10.2 </w:t>
      </w:r>
      <w:r>
        <w:rPr>
          <w:rFonts w:ascii="Times New Roman" w:cs="Times New Roman" w:eastAsia="Times New Roman" w:hAnsi="Times New Roman"/>
          <w:sz w:val="17"/>
          <w:szCs w:val="17"/>
          <w:u w:val="single" w:color="auto"/>
          <w:color w:val="auto"/>
        </w:rPr>
        <w:t>No Rights as Stockholder; Certificates</w:t>
      </w:r>
      <w:r>
        <w:rPr>
          <w:rFonts w:ascii="Times New Roman" w:cs="Times New Roman" w:eastAsia="Times New Roman" w:hAnsi="Times New Roman"/>
          <w:sz w:val="17"/>
          <w:szCs w:val="17"/>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380"/>
          </w:cols>
          <w:pgMar w:left="740" w:top="264" w:right="779" w:bottom="1440" w:gutter="0" w:footer="0" w:header="0"/>
        </w:sectPr>
      </w:pPr>
    </w:p>
    <w:bookmarkStart w:id="378" w:name="page379"/>
    <w:bookmarkEnd w:id="378"/>
    <w:p>
      <w:pPr>
        <w:jc w:val="both"/>
        <w:ind w:right="4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165" w:lineRule="exact"/>
        <w:rPr>
          <w:sz w:val="20"/>
          <w:szCs w:val="20"/>
          <w:color w:val="auto"/>
        </w:rPr>
      </w:pPr>
    </w:p>
    <w:p>
      <w:pPr>
        <w:ind w:right="100" w:firstLine="417"/>
        <w:spacing w:after="0" w:line="261" w:lineRule="auto"/>
        <w:rPr>
          <w:sz w:val="20"/>
          <w:szCs w:val="20"/>
          <w:color w:val="auto"/>
        </w:rPr>
      </w:pPr>
      <w:r>
        <w:rPr>
          <w:rFonts w:ascii="Times New Roman" w:cs="Times New Roman" w:eastAsia="Times New Roman" w:hAnsi="Times New Roman"/>
          <w:sz w:val="17"/>
          <w:szCs w:val="17"/>
          <w:color w:val="auto"/>
        </w:rPr>
        <w:t xml:space="preserve">10.3 </w:t>
      </w:r>
      <w:r>
        <w:rPr>
          <w:rFonts w:ascii="Times New Roman" w:cs="Times New Roman" w:eastAsia="Times New Roman" w:hAnsi="Times New Roman"/>
          <w:sz w:val="17"/>
          <w:szCs w:val="17"/>
          <w:u w:val="single" w:color="auto"/>
          <w:color w:val="auto"/>
        </w:rPr>
        <w:t>Effective Date and Term of Plan</w:t>
      </w:r>
      <w:r>
        <w:rPr>
          <w:rFonts w:ascii="Times New Roman" w:cs="Times New Roman" w:eastAsia="Times New Roman" w:hAnsi="Times New Roman"/>
          <w:sz w:val="17"/>
          <w:szCs w:val="17"/>
          <w:color w:val="auto"/>
        </w:rPr>
        <w:t>. Unless earlier terminated by the Board, the Plan will become effective on the Pricing Date and will remain in effect until the tenth anniversary of the earlier of (i) the date the Board adopted the Plan or (ii) the date the Company’s stockholders approved the Plan, but Awards previously granted may extend beyond that date in accordance with the Plan. The Plan will be submitted for the approval of the Company’s stockholders within twelve (12) months after the date of the Board’s adoption of the Plan.</w:t>
      </w:r>
    </w:p>
    <w:p>
      <w:pPr>
        <w:spacing w:after="0" w:line="172" w:lineRule="exact"/>
        <w:rPr>
          <w:sz w:val="20"/>
          <w:szCs w:val="20"/>
          <w:color w:val="auto"/>
        </w:rPr>
      </w:pPr>
    </w:p>
    <w:p>
      <w:pPr>
        <w:ind w:firstLine="417"/>
        <w:spacing w:after="0" w:line="257" w:lineRule="auto"/>
        <w:rPr>
          <w:sz w:val="20"/>
          <w:szCs w:val="20"/>
          <w:color w:val="auto"/>
        </w:rPr>
      </w:pPr>
      <w:r>
        <w:rPr>
          <w:rFonts w:ascii="Times New Roman" w:cs="Times New Roman" w:eastAsia="Times New Roman" w:hAnsi="Times New Roman"/>
          <w:sz w:val="17"/>
          <w:szCs w:val="17"/>
          <w:color w:val="auto"/>
        </w:rPr>
        <w:t xml:space="preserve">10.4 </w:t>
      </w:r>
      <w:r>
        <w:rPr>
          <w:rFonts w:ascii="Times New Roman" w:cs="Times New Roman" w:eastAsia="Times New Roman" w:hAnsi="Times New Roman"/>
          <w:sz w:val="17"/>
          <w:szCs w:val="17"/>
          <w:u w:val="single" w:color="auto"/>
          <w:color w:val="auto"/>
        </w:rPr>
        <w:t>Amendment and Termination of Plan</w:t>
      </w:r>
      <w:r>
        <w:rPr>
          <w:rFonts w:ascii="Times New Roman" w:cs="Times New Roman" w:eastAsia="Times New Roman" w:hAnsi="Times New Roman"/>
          <w:sz w:val="17"/>
          <w:szCs w:val="17"/>
          <w:color w:val="auto"/>
        </w:rPr>
        <w:t>. The Administrator may amend, suspend or terminate the Plan at any time; provided that no amendment, other than an increase to the Overall Share Limit, may materially and adversely affect any Award outstanding at the time of such amendment without the affected Participant’s consent. No Awards may be granted under the Plan during any suspension period or after the Plan’s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175" w:lineRule="exact"/>
        <w:rPr>
          <w:sz w:val="20"/>
          <w:szCs w:val="20"/>
          <w:color w:val="auto"/>
        </w:rPr>
      </w:pPr>
    </w:p>
    <w:p>
      <w:pPr>
        <w:ind w:right="80" w:firstLine="417"/>
        <w:spacing w:after="0" w:line="267" w:lineRule="auto"/>
        <w:rPr>
          <w:sz w:val="20"/>
          <w:szCs w:val="20"/>
          <w:color w:val="auto"/>
        </w:rPr>
      </w:pPr>
      <w:r>
        <w:rPr>
          <w:rFonts w:ascii="Times New Roman" w:cs="Times New Roman" w:eastAsia="Times New Roman" w:hAnsi="Times New Roman"/>
          <w:sz w:val="17"/>
          <w:szCs w:val="17"/>
          <w:color w:val="auto"/>
        </w:rPr>
        <w:t xml:space="preserve">10.5 </w:t>
      </w:r>
      <w:r>
        <w:rPr>
          <w:rFonts w:ascii="Times New Roman" w:cs="Times New Roman" w:eastAsia="Times New Roman" w:hAnsi="Times New Roman"/>
          <w:sz w:val="17"/>
          <w:szCs w:val="17"/>
          <w:u w:val="single" w:color="auto"/>
          <w:color w:val="auto"/>
        </w:rPr>
        <w:t>Provisions for Foreign Participants</w:t>
      </w:r>
      <w:r>
        <w:rPr>
          <w:rFonts w:ascii="Times New Roman" w:cs="Times New Roman" w:eastAsia="Times New Roman" w:hAnsi="Times New Roman"/>
          <w:sz w:val="17"/>
          <w:szCs w:val="17"/>
          <w:color w:val="auto"/>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10.6 </w:t>
      </w: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ind w:right="60" w:firstLine="929"/>
        <w:spacing w:after="0" w:line="254" w:lineRule="auto"/>
        <w:tabs>
          <w:tab w:leader="none" w:pos="1170" w:val="left"/>
        </w:tabs>
        <w:numPr>
          <w:ilvl w:val="0"/>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179" w:lineRule="exact"/>
        <w:rPr>
          <w:rFonts w:ascii="Times New Roman" w:cs="Times New Roman" w:eastAsia="Times New Roman" w:hAnsi="Times New Roman"/>
          <w:sz w:val="17"/>
          <w:szCs w:val="17"/>
          <w:color w:val="auto"/>
        </w:rPr>
      </w:pPr>
    </w:p>
    <w:p>
      <w:pPr>
        <w:ind w:right="120" w:firstLine="929"/>
        <w:spacing w:after="0" w:line="259" w:lineRule="auto"/>
        <w:tabs>
          <w:tab w:leader="none" w:pos="1179" w:val="left"/>
        </w:tabs>
        <w:numPr>
          <w:ilvl w:val="0"/>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Separation from Service</w:t>
      </w:r>
      <w:r>
        <w:rPr>
          <w:rFonts w:ascii="Times New Roman" w:cs="Times New Roman" w:eastAsia="Times New Roman" w:hAnsi="Times New Roman"/>
          <w:sz w:val="17"/>
          <w:szCs w:val="17"/>
          <w:color w:val="auto"/>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400"/>
          </w:cols>
          <w:pgMar w:left="740" w:top="263" w:right="759" w:bottom="1440" w:gutter="0" w:footer="0" w:header="0"/>
        </w:sectPr>
      </w:pPr>
    </w:p>
    <w:bookmarkStart w:id="379" w:name="page380"/>
    <w:bookmarkEnd w:id="379"/>
    <w:p>
      <w:pPr>
        <w:ind w:right="20" w:firstLine="929"/>
        <w:spacing w:after="0" w:line="255" w:lineRule="auto"/>
        <w:tabs>
          <w:tab w:leader="none" w:pos="1170"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Payments to Specified Employees</w:t>
      </w:r>
      <w:r>
        <w:rPr>
          <w:rFonts w:ascii="Times New Roman" w:cs="Times New Roman" w:eastAsia="Times New Roman" w:hAnsi="Times New Roman"/>
          <w:sz w:val="17"/>
          <w:szCs w:val="17"/>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 (6)-month period immediately following such “separation from service” (or, if earlier, until the specified employee’s death) and will instead be paid (as set forth in the Award Agreement) on the day immediately following such six (6)-month period or as soon as administratively practicable thereafter (without interest). Any payments of “nonqualified deferred compensation” under such Award payable more than six (6) months following the Participant’s “separation from service” will be paid at the time or times the payments are otherwise scheduled to be made. Furthermore, notwithstanding any contrary provision of the Plan or any Award Agreement, any payment of “nonqualified deferred compensation” under the Plan that may be made in installments shall be treated as a right to receive a series of separate and distinct payments.</w:t>
      </w:r>
    </w:p>
    <w:p>
      <w:pPr>
        <w:spacing w:after="0" w:line="175" w:lineRule="exact"/>
        <w:rPr>
          <w:sz w:val="20"/>
          <w:szCs w:val="20"/>
          <w:color w:val="auto"/>
        </w:rPr>
      </w:pPr>
    </w:p>
    <w:p>
      <w:pPr>
        <w:ind w:firstLine="417"/>
        <w:spacing w:after="0" w:line="255" w:lineRule="auto"/>
        <w:rPr>
          <w:sz w:val="20"/>
          <w:szCs w:val="20"/>
          <w:color w:val="auto"/>
        </w:rPr>
      </w:pPr>
      <w:r>
        <w:rPr>
          <w:rFonts w:ascii="Times New Roman" w:cs="Times New Roman" w:eastAsia="Times New Roman" w:hAnsi="Times New Roman"/>
          <w:sz w:val="17"/>
          <w:szCs w:val="17"/>
          <w:color w:val="auto"/>
        </w:rPr>
        <w:t xml:space="preserve">10.7 </w:t>
      </w:r>
      <w:r>
        <w:rPr>
          <w:rFonts w:ascii="Times New Roman" w:cs="Times New Roman" w:eastAsia="Times New Roman" w:hAnsi="Times New Roman"/>
          <w:sz w:val="17"/>
          <w:szCs w:val="17"/>
          <w:u w:val="single" w:color="auto"/>
          <w:color w:val="auto"/>
        </w:rPr>
        <w:t>Limitations on Liability</w:t>
      </w:r>
      <w:r>
        <w:rPr>
          <w:rFonts w:ascii="Times New Roman" w:cs="Times New Roman" w:eastAsia="Times New Roman" w:hAnsi="Times New Roman"/>
          <w:sz w:val="17"/>
          <w:szCs w:val="17"/>
          <w:color w:val="auto"/>
        </w:rPr>
        <w:t>.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78" w:lineRule="exact"/>
        <w:rPr>
          <w:sz w:val="20"/>
          <w:szCs w:val="20"/>
          <w:color w:val="auto"/>
        </w:rPr>
      </w:pPr>
    </w:p>
    <w:p>
      <w:pPr>
        <w:ind w:right="20" w:firstLine="417"/>
        <w:spacing w:after="0" w:line="261" w:lineRule="auto"/>
        <w:rPr>
          <w:sz w:val="20"/>
          <w:szCs w:val="20"/>
          <w:color w:val="auto"/>
        </w:rPr>
      </w:pPr>
      <w:r>
        <w:rPr>
          <w:rFonts w:ascii="Times New Roman" w:cs="Times New Roman" w:eastAsia="Times New Roman" w:hAnsi="Times New Roman"/>
          <w:sz w:val="17"/>
          <w:szCs w:val="17"/>
          <w:color w:val="auto"/>
        </w:rPr>
        <w:t xml:space="preserve">10.8 </w:t>
      </w:r>
      <w:r>
        <w:rPr>
          <w:rFonts w:ascii="Times New Roman" w:cs="Times New Roman" w:eastAsia="Times New Roman" w:hAnsi="Times New Roman"/>
          <w:sz w:val="17"/>
          <w:szCs w:val="17"/>
          <w:u w:val="single" w:color="auto"/>
          <w:color w:val="auto"/>
        </w:rPr>
        <w:t>Lock-Up Period</w:t>
      </w:r>
      <w:r>
        <w:rPr>
          <w:rFonts w:ascii="Times New Roman" w:cs="Times New Roman" w:eastAsia="Times New Roman" w:hAnsi="Times New Roman"/>
          <w:sz w:val="17"/>
          <w:szCs w:val="17"/>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one hundred eighty (180) days following the effective date of a Company registration statement filed under the Securities Act, or such longer period as determined by the underwriter.</w:t>
      </w:r>
    </w:p>
    <w:p>
      <w:pPr>
        <w:spacing w:after="0" w:line="172" w:lineRule="exact"/>
        <w:rPr>
          <w:sz w:val="20"/>
          <w:szCs w:val="20"/>
          <w:color w:val="auto"/>
        </w:rPr>
      </w:pPr>
    </w:p>
    <w:p>
      <w:pPr>
        <w:ind w:right="40" w:firstLine="417"/>
        <w:spacing w:after="0" w:line="253" w:lineRule="auto"/>
        <w:rPr>
          <w:sz w:val="20"/>
          <w:szCs w:val="20"/>
          <w:color w:val="auto"/>
        </w:rPr>
      </w:pPr>
      <w:r>
        <w:rPr>
          <w:rFonts w:ascii="Times New Roman" w:cs="Times New Roman" w:eastAsia="Times New Roman" w:hAnsi="Times New Roman"/>
          <w:sz w:val="17"/>
          <w:szCs w:val="17"/>
          <w:color w:val="auto"/>
        </w:rPr>
        <w:t xml:space="preserve">10.9 </w:t>
      </w:r>
      <w:r>
        <w:rPr>
          <w:rFonts w:ascii="Times New Roman" w:cs="Times New Roman" w:eastAsia="Times New Roman" w:hAnsi="Times New Roman"/>
          <w:sz w:val="17"/>
          <w:szCs w:val="17"/>
          <w:u w:val="single" w:color="auto"/>
          <w:color w:val="auto"/>
        </w:rPr>
        <w:t>Data Privacy</w:t>
      </w:r>
      <w:r>
        <w:rPr>
          <w:rFonts w:ascii="Times New Roman" w:cs="Times New Roman" w:eastAsia="Times New Roman" w:hAnsi="Times New Roman"/>
          <w:sz w:val="17"/>
          <w:szCs w:val="17"/>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number, insurance number or other identification number; salary; nationality; job title(s); any Shares held in the Company or its Subsidiaries and affiliates; and Award details, to implement, manage and administer the Plan and Awards (the “</w:t>
      </w:r>
      <w:r>
        <w:rPr>
          <w:rFonts w:ascii="Times New Roman" w:cs="Times New Roman" w:eastAsia="Times New Roman" w:hAnsi="Times New Roman"/>
          <w:sz w:val="17"/>
          <w:szCs w:val="17"/>
          <w:b w:val="1"/>
          <w:bCs w:val="1"/>
          <w:i w:val="1"/>
          <w:iCs w:val="1"/>
          <w:color w:val="auto"/>
        </w:rPr>
        <w:t>Data</w:t>
      </w:r>
      <w:r>
        <w:rPr>
          <w:rFonts w:ascii="Times New Roman" w:cs="Times New Roman" w:eastAsia="Times New Roman" w:hAnsi="Times New Roman"/>
          <w:sz w:val="17"/>
          <w:szCs w:val="17"/>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400"/>
          </w:cols>
          <w:pgMar w:left="740" w:top="264" w:right="759" w:bottom="1440" w:gutter="0" w:footer="0" w:header="0"/>
        </w:sectPr>
      </w:pPr>
    </w:p>
    <w:bookmarkStart w:id="380" w:name="page381"/>
    <w:bookmarkEnd w:id="380"/>
    <w:p>
      <w:pPr>
        <w:ind w:left="9" w:right="260"/>
        <w:spacing w:after="0" w:line="25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10.9 in writing, without cost, by contacting the local human resources representative. If the Participant refuses or withdraws the consents in this Section 10.9, the Company may cancel Participant’s ability to participate in the Plan and, in the Administrator’s discretion, the Participant may forfeit any outstanding Awards. For more information on the consequences of refusing or withdrawing consent, Participants may contact their local human resources representative.</w:t>
      </w:r>
    </w:p>
    <w:p>
      <w:pPr>
        <w:spacing w:after="0" w:line="175" w:lineRule="exact"/>
        <w:rPr>
          <w:sz w:val="20"/>
          <w:szCs w:val="20"/>
          <w:color w:val="auto"/>
        </w:rPr>
      </w:pPr>
    </w:p>
    <w:p>
      <w:pPr>
        <w:jc w:val="both"/>
        <w:ind w:left="9" w:right="180" w:firstLine="417"/>
        <w:spacing w:after="0" w:line="267" w:lineRule="auto"/>
        <w:rPr>
          <w:sz w:val="20"/>
          <w:szCs w:val="20"/>
          <w:color w:val="auto"/>
        </w:rPr>
      </w:pPr>
      <w:r>
        <w:rPr>
          <w:rFonts w:ascii="Times New Roman" w:cs="Times New Roman" w:eastAsia="Times New Roman" w:hAnsi="Times New Roman"/>
          <w:sz w:val="17"/>
          <w:szCs w:val="17"/>
          <w:color w:val="auto"/>
        </w:rPr>
        <w:t xml:space="preserve">10.10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65" w:lineRule="exact"/>
        <w:rPr>
          <w:sz w:val="20"/>
          <w:szCs w:val="20"/>
          <w:color w:val="auto"/>
        </w:rPr>
      </w:pPr>
    </w:p>
    <w:p>
      <w:pPr>
        <w:jc w:val="both"/>
        <w:ind w:left="9" w:right="460" w:firstLine="417"/>
        <w:spacing w:after="0" w:line="267" w:lineRule="auto"/>
        <w:rPr>
          <w:sz w:val="20"/>
          <w:szCs w:val="20"/>
          <w:color w:val="auto"/>
        </w:rPr>
      </w:pPr>
      <w:r>
        <w:rPr>
          <w:rFonts w:ascii="Times New Roman" w:cs="Times New Roman" w:eastAsia="Times New Roman" w:hAnsi="Times New Roman"/>
          <w:sz w:val="17"/>
          <w:szCs w:val="17"/>
          <w:color w:val="auto"/>
        </w:rPr>
        <w:t xml:space="preserve">10.11 </w:t>
      </w:r>
      <w:r>
        <w:rPr>
          <w:rFonts w:ascii="Times New Roman" w:cs="Times New Roman" w:eastAsia="Times New Roman" w:hAnsi="Times New Roman"/>
          <w:sz w:val="17"/>
          <w:szCs w:val="17"/>
          <w:u w:val="single" w:color="auto"/>
          <w:color w:val="auto"/>
        </w:rPr>
        <w:t>Governing Documents</w:t>
      </w:r>
      <w:r>
        <w:rPr>
          <w:rFonts w:ascii="Times New Roman" w:cs="Times New Roman" w:eastAsia="Times New Roman" w:hAnsi="Times New Roman"/>
          <w:sz w:val="17"/>
          <w:szCs w:val="17"/>
          <w:color w:val="auto"/>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spacing w:after="0" w:line="165" w:lineRule="exact"/>
        <w:rPr>
          <w:sz w:val="20"/>
          <w:szCs w:val="20"/>
          <w:color w:val="auto"/>
        </w:rPr>
      </w:pPr>
    </w:p>
    <w:p>
      <w:pPr>
        <w:ind w:left="9" w:right="620" w:firstLine="417"/>
        <w:spacing w:after="0" w:line="283" w:lineRule="auto"/>
        <w:rPr>
          <w:sz w:val="20"/>
          <w:szCs w:val="20"/>
          <w:color w:val="auto"/>
        </w:rPr>
      </w:pPr>
      <w:r>
        <w:rPr>
          <w:rFonts w:ascii="Times New Roman" w:cs="Times New Roman" w:eastAsia="Times New Roman" w:hAnsi="Times New Roman"/>
          <w:sz w:val="17"/>
          <w:szCs w:val="17"/>
          <w:color w:val="auto"/>
        </w:rPr>
        <w:t xml:space="preserve">10.12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152" w:lineRule="exact"/>
        <w:rPr>
          <w:sz w:val="20"/>
          <w:szCs w:val="20"/>
          <w:color w:val="auto"/>
        </w:rPr>
      </w:pPr>
    </w:p>
    <w:p>
      <w:pPr>
        <w:jc w:val="both"/>
        <w:ind w:left="9" w:right="20" w:firstLine="417"/>
        <w:spacing w:after="0" w:line="274" w:lineRule="auto"/>
        <w:rPr>
          <w:sz w:val="20"/>
          <w:szCs w:val="20"/>
          <w:color w:val="auto"/>
        </w:rPr>
      </w:pPr>
      <w:r>
        <w:rPr>
          <w:rFonts w:ascii="Times New Roman" w:cs="Times New Roman" w:eastAsia="Times New Roman" w:hAnsi="Times New Roman"/>
          <w:sz w:val="16"/>
          <w:szCs w:val="16"/>
          <w:color w:val="auto"/>
        </w:rPr>
        <w:t xml:space="preserve">10.13 </w:t>
      </w:r>
      <w:r>
        <w:rPr>
          <w:rFonts w:ascii="Times New Roman" w:cs="Times New Roman" w:eastAsia="Times New Roman" w:hAnsi="Times New Roman"/>
          <w:sz w:val="16"/>
          <w:szCs w:val="16"/>
          <w:u w:val="single" w:color="auto"/>
          <w:color w:val="auto"/>
        </w:rPr>
        <w:t>Clawback Provisions</w:t>
      </w:r>
      <w:r>
        <w:rPr>
          <w:rFonts w:ascii="Times New Roman" w:cs="Times New Roman" w:eastAsia="Times New Roman" w:hAnsi="Times New Roman"/>
          <w:sz w:val="16"/>
          <w:szCs w:val="16"/>
          <w:color w:val="auto"/>
        </w:rPr>
        <w:t>. All compensation received by Participants, including pursuant to Awards (including, without limitation, any proceeds, gains or other economic benefit actually or constructively received by Participant upon any receipt or exercise of any Award or upon the receipt or resale of any Shares underlying the Award) shall be subject to reduction, cancellation, forfeiture and/or recoupment to the extent necessary to comply with</w:t>
      </w:r>
    </w:p>
    <w:p>
      <w:pPr>
        <w:ind w:left="229" w:hanging="229"/>
        <w:spacing w:after="0"/>
        <w:tabs>
          <w:tab w:leader="none" w:pos="229"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clawback, forfeiture or other similar policy adopted by the Company, including, without limitation, the Policy for Recovery of Erroneously</w:t>
      </w:r>
    </w:p>
    <w:p>
      <w:pPr>
        <w:spacing w:after="0" w:line="8" w:lineRule="exact"/>
        <w:rPr>
          <w:rFonts w:ascii="Times New Roman" w:cs="Times New Roman" w:eastAsia="Times New Roman" w:hAnsi="Times New Roman"/>
          <w:sz w:val="17"/>
          <w:szCs w:val="17"/>
          <w:color w:val="auto"/>
        </w:rPr>
      </w:pPr>
    </w:p>
    <w:p>
      <w:pPr>
        <w:ind w:left="9" w:right="16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Awarded Compensation (as amended from time to time, the “</w:t>
      </w:r>
      <w:r>
        <w:rPr>
          <w:rFonts w:ascii="Times New Roman" w:cs="Times New Roman" w:eastAsia="Times New Roman" w:hAnsi="Times New Roman"/>
          <w:sz w:val="17"/>
          <w:szCs w:val="17"/>
          <w:b w:val="1"/>
          <w:bCs w:val="1"/>
          <w:i w:val="1"/>
          <w:iCs w:val="1"/>
          <w:color w:val="auto"/>
        </w:rPr>
        <w:t>Policy</w:t>
      </w:r>
      <w:r>
        <w:rPr>
          <w:rFonts w:ascii="Times New Roman" w:cs="Times New Roman" w:eastAsia="Times New Roman" w:hAnsi="Times New Roman"/>
          <w:sz w:val="17"/>
          <w:szCs w:val="17"/>
          <w:color w:val="auto"/>
        </w:rPr>
        <w:t>”) adopted by the Company, and (b) any other clawback, recoupment, forfeiture or similar policies or provisions applicable to a Participant or required under Applicable Law (collectively, the “</w:t>
      </w:r>
      <w:r>
        <w:rPr>
          <w:rFonts w:ascii="Times New Roman" w:cs="Times New Roman" w:eastAsia="Times New Roman" w:hAnsi="Times New Roman"/>
          <w:sz w:val="17"/>
          <w:szCs w:val="17"/>
          <w:b w:val="1"/>
          <w:bCs w:val="1"/>
          <w:i w:val="1"/>
          <w:iCs w:val="1"/>
          <w:color w:val="auto"/>
        </w:rPr>
        <w:t>Recovery Arrangements</w:t>
      </w:r>
      <w:r>
        <w:rPr>
          <w:rFonts w:ascii="Times New Roman" w:cs="Times New Roman" w:eastAsia="Times New Roman" w:hAnsi="Times New Roman"/>
          <w:sz w:val="17"/>
          <w:szCs w:val="17"/>
          <w:color w:val="auto"/>
        </w:rPr>
        <w:t>”), notwithstanding any other agreement to the contrary. No recovery of compensation under any Recovery Arrangements will be an event that triggers or contributes to any right of a Participant to resign for “good reason” (or similar term) under the Plan or any Award Agreement or any other agreement with the Company or a Subsidiary or affiliate. By accepting an Award, each Participant will be deemed to have agreed that he or she is not entitled to indemnification in connection with any enforcement of the Recovery Arrangements and to have waived any rights to such indemnification under the Company’s organizational documents or otherwise. By accepting an Award, each Participant agrees to take all required action in a reasonably prompt manner, as applicable, to enable the enforcement of the Recovery Arrangements. The Administrator may condition a Participant’s receipt of an Award on such Participant’s execution of an acknowledgment pursuant to which such Participant will agree to be bound by the terms of, and comply with, the Recovery Arrangements and this Section 10.13.</w:t>
      </w:r>
    </w:p>
    <w:p>
      <w:pPr>
        <w:spacing w:after="0" w:line="179" w:lineRule="exact"/>
        <w:rPr>
          <w:sz w:val="20"/>
          <w:szCs w:val="20"/>
          <w:color w:val="auto"/>
        </w:rPr>
      </w:pPr>
    </w:p>
    <w:p>
      <w:pPr>
        <w:ind w:left="9" w:right="240" w:firstLine="417"/>
        <w:spacing w:after="0" w:line="283" w:lineRule="auto"/>
        <w:rPr>
          <w:sz w:val="20"/>
          <w:szCs w:val="20"/>
          <w:color w:val="auto"/>
        </w:rPr>
      </w:pPr>
      <w:r>
        <w:rPr>
          <w:rFonts w:ascii="Times New Roman" w:cs="Times New Roman" w:eastAsia="Times New Roman" w:hAnsi="Times New Roman"/>
          <w:sz w:val="17"/>
          <w:szCs w:val="17"/>
          <w:color w:val="auto"/>
        </w:rPr>
        <w:t xml:space="preserve">10.14 </w:t>
      </w:r>
      <w:r>
        <w:rPr>
          <w:rFonts w:ascii="Times New Roman" w:cs="Times New Roman" w:eastAsia="Times New Roman" w:hAnsi="Times New Roman"/>
          <w:sz w:val="17"/>
          <w:szCs w:val="17"/>
          <w:u w:val="single" w:color="auto"/>
          <w:color w:val="auto"/>
        </w:rPr>
        <w:t>Titles and Headings</w:t>
      </w:r>
      <w:r>
        <w:rPr>
          <w:rFonts w:ascii="Times New Roman" w:cs="Times New Roman" w:eastAsia="Times New Roman" w:hAnsi="Times New Roman"/>
          <w:sz w:val="17"/>
          <w:szCs w:val="17"/>
          <w:color w:val="auto"/>
        </w:rPr>
        <w:t>. The titles and headings in the Plan are for convenience of reference only and, if there is any conflict, the Plan’s text, rather than such titles or headings, will control.</w:t>
      </w:r>
    </w:p>
    <w:p>
      <w:pPr>
        <w:spacing w:after="0" w:line="152" w:lineRule="exact"/>
        <w:rPr>
          <w:sz w:val="20"/>
          <w:szCs w:val="20"/>
          <w:color w:val="auto"/>
        </w:rPr>
      </w:pPr>
    </w:p>
    <w:p>
      <w:pPr>
        <w:jc w:val="both"/>
        <w:ind w:left="9" w:firstLine="417"/>
        <w:spacing w:after="0" w:line="267" w:lineRule="auto"/>
        <w:rPr>
          <w:sz w:val="20"/>
          <w:szCs w:val="20"/>
          <w:color w:val="auto"/>
        </w:rPr>
      </w:pPr>
      <w:r>
        <w:rPr>
          <w:rFonts w:ascii="Times New Roman" w:cs="Times New Roman" w:eastAsia="Times New Roman" w:hAnsi="Times New Roman"/>
          <w:sz w:val="17"/>
          <w:szCs w:val="17"/>
          <w:color w:val="auto"/>
        </w:rPr>
        <w:t xml:space="preserve">10.15 </w:t>
      </w:r>
      <w:r>
        <w:rPr>
          <w:rFonts w:ascii="Times New Roman" w:cs="Times New Roman" w:eastAsia="Times New Roman" w:hAnsi="Times New Roman"/>
          <w:sz w:val="17"/>
          <w:szCs w:val="17"/>
          <w:u w:val="single" w:color="auto"/>
          <w:color w:val="auto"/>
        </w:rPr>
        <w:t>Conformity to Securities Laws</w:t>
      </w:r>
      <w:r>
        <w:rPr>
          <w:rFonts w:ascii="Times New Roman" w:cs="Times New Roman" w:eastAsia="Times New Roman" w:hAnsi="Times New Roman"/>
          <w:sz w:val="17"/>
          <w:szCs w:val="17"/>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10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429"/>
          </w:cols>
          <w:pgMar w:left="731" w:top="264" w:right="739" w:bottom="1440" w:gutter="0" w:footer="0" w:header="0"/>
        </w:sectPr>
      </w:pPr>
    </w:p>
    <w:bookmarkStart w:id="381" w:name="page382"/>
    <w:bookmarkEnd w:id="381"/>
    <w:p>
      <w:pPr>
        <w:ind w:left="9" w:right="320" w:firstLine="417"/>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10.16 </w:t>
      </w:r>
      <w:r>
        <w:rPr>
          <w:rFonts w:ascii="Times New Roman" w:cs="Times New Roman" w:eastAsia="Times New Roman" w:hAnsi="Times New Roman"/>
          <w:sz w:val="17"/>
          <w:szCs w:val="17"/>
          <w:u w:val="single" w:color="auto"/>
          <w:color w:val="auto"/>
        </w:rPr>
        <w:t>Relationship to Other Benefits</w:t>
      </w:r>
      <w:r>
        <w:rPr>
          <w:rFonts w:ascii="Times New Roman" w:cs="Times New Roman" w:eastAsia="Times New Roman" w:hAnsi="Times New Roman"/>
          <w:sz w:val="17"/>
          <w:szCs w:val="17"/>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366" w:lineRule="exact"/>
        <w:rPr>
          <w:sz w:val="20"/>
          <w:szCs w:val="20"/>
          <w:color w:val="auto"/>
        </w:rPr>
      </w:pPr>
    </w:p>
    <w:p>
      <w:pPr>
        <w:ind w:left="4689"/>
        <w:spacing w:after="0"/>
        <w:rPr>
          <w:sz w:val="20"/>
          <w:szCs w:val="20"/>
          <w:color w:val="auto"/>
        </w:rPr>
      </w:pPr>
      <w:r>
        <w:rPr>
          <w:rFonts w:ascii="Times New Roman" w:cs="Times New Roman" w:eastAsia="Times New Roman" w:hAnsi="Times New Roman"/>
          <w:sz w:val="17"/>
          <w:szCs w:val="17"/>
          <w:b w:val="1"/>
          <w:bCs w:val="1"/>
          <w:color w:val="auto"/>
        </w:rPr>
        <w:t>ARTICLE XI.</w:t>
      </w:r>
    </w:p>
    <w:p>
      <w:pPr>
        <w:spacing w:after="0" w:line="30" w:lineRule="exact"/>
        <w:rPr>
          <w:sz w:val="20"/>
          <w:szCs w:val="20"/>
          <w:color w:val="auto"/>
        </w:rPr>
      </w:pPr>
    </w:p>
    <w:p>
      <w:pPr>
        <w:ind w:left="4649"/>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196" w:lineRule="exact"/>
        <w:rPr>
          <w:sz w:val="20"/>
          <w:szCs w:val="20"/>
          <w:color w:val="auto"/>
        </w:rPr>
      </w:pPr>
    </w:p>
    <w:p>
      <w:pPr>
        <w:ind w:left="409"/>
        <w:spacing w:after="0"/>
        <w:rPr>
          <w:sz w:val="20"/>
          <w:szCs w:val="20"/>
          <w:color w:val="auto"/>
        </w:rPr>
      </w:pPr>
      <w:r>
        <w:rPr>
          <w:rFonts w:ascii="Times New Roman" w:cs="Times New Roman" w:eastAsia="Times New Roman" w:hAnsi="Times New Roman"/>
          <w:sz w:val="17"/>
          <w:szCs w:val="17"/>
          <w:color w:val="auto"/>
        </w:rPr>
        <w:t>As used in the Plan, the following words and phrases will have the following meanings:</w:t>
      </w:r>
    </w:p>
    <w:p>
      <w:pPr>
        <w:spacing w:after="0" w:line="207" w:lineRule="exact"/>
        <w:rPr>
          <w:sz w:val="20"/>
          <w:szCs w:val="20"/>
          <w:color w:val="auto"/>
        </w:rPr>
      </w:pPr>
    </w:p>
    <w:p>
      <w:pPr>
        <w:ind w:left="9" w:right="200" w:firstLine="417"/>
        <w:spacing w:after="0" w:line="290" w:lineRule="auto"/>
        <w:rPr>
          <w:sz w:val="20"/>
          <w:szCs w:val="20"/>
          <w:color w:val="auto"/>
        </w:rPr>
      </w:pPr>
      <w:r>
        <w:rPr>
          <w:rFonts w:ascii="Times New Roman" w:cs="Times New Roman" w:eastAsia="Times New Roman" w:hAnsi="Times New Roman"/>
          <w:sz w:val="17"/>
          <w:szCs w:val="17"/>
          <w:color w:val="auto"/>
        </w:rPr>
        <w:t>11.1 “</w:t>
      </w:r>
      <w:r>
        <w:rPr>
          <w:rFonts w:ascii="Times New Roman" w:cs="Times New Roman" w:eastAsia="Times New Roman" w:hAnsi="Times New Roman"/>
          <w:sz w:val="17"/>
          <w:szCs w:val="17"/>
          <w:b w:val="1"/>
          <w:bCs w:val="1"/>
          <w:i w:val="1"/>
          <w:iCs w:val="1"/>
          <w:color w:val="auto"/>
        </w:rPr>
        <w:t>Administrator</w:t>
      </w:r>
      <w:r>
        <w:rPr>
          <w:rFonts w:ascii="Times New Roman" w:cs="Times New Roman" w:eastAsia="Times New Roman" w:hAnsi="Times New Roman"/>
          <w:sz w:val="17"/>
          <w:szCs w:val="17"/>
          <w:color w:val="auto"/>
        </w:rPr>
        <w:t>” means the Board or a Committee to the extent that the Board’s powers or authority under the Plan have been delegated to such Committee.</w:t>
      </w:r>
    </w:p>
    <w:p>
      <w:pPr>
        <w:spacing w:after="0" w:line="141" w:lineRule="exact"/>
        <w:rPr>
          <w:sz w:val="20"/>
          <w:szCs w:val="20"/>
          <w:color w:val="auto"/>
        </w:rPr>
      </w:pPr>
    </w:p>
    <w:p>
      <w:pPr>
        <w:jc w:val="both"/>
        <w:ind w:left="9" w:right="20" w:firstLine="417"/>
        <w:spacing w:after="0" w:line="270" w:lineRule="auto"/>
        <w:rPr>
          <w:sz w:val="20"/>
          <w:szCs w:val="20"/>
          <w:color w:val="auto"/>
        </w:rPr>
      </w:pPr>
      <w:r>
        <w:rPr>
          <w:rFonts w:ascii="Times New Roman" w:cs="Times New Roman" w:eastAsia="Times New Roman" w:hAnsi="Times New Roman"/>
          <w:sz w:val="17"/>
          <w:szCs w:val="17"/>
          <w:color w:val="auto"/>
        </w:rPr>
        <w:t>11.2 “</w:t>
      </w:r>
      <w:r>
        <w:rPr>
          <w:rFonts w:ascii="Times New Roman" w:cs="Times New Roman" w:eastAsia="Times New Roman" w:hAnsi="Times New Roman"/>
          <w:sz w:val="17"/>
          <w:szCs w:val="17"/>
          <w:b w:val="1"/>
          <w:bCs w:val="1"/>
          <w:i w:val="1"/>
          <w:iCs w:val="1"/>
          <w:color w:val="auto"/>
        </w:rPr>
        <w:t>Applicable Laws</w:t>
      </w:r>
      <w:r>
        <w:rPr>
          <w:rFonts w:ascii="Times New Roman" w:cs="Times New Roman" w:eastAsia="Times New Roman" w:hAnsi="Times New Roman"/>
          <w:sz w:val="17"/>
          <w:szCs w:val="17"/>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158" w:lineRule="exact"/>
        <w:rPr>
          <w:sz w:val="20"/>
          <w:szCs w:val="20"/>
          <w:color w:val="auto"/>
        </w:rPr>
      </w:pPr>
    </w:p>
    <w:p>
      <w:pPr>
        <w:ind w:left="9" w:firstLine="417"/>
        <w:spacing w:after="0" w:line="290" w:lineRule="auto"/>
        <w:rPr>
          <w:sz w:val="20"/>
          <w:szCs w:val="20"/>
          <w:color w:val="auto"/>
        </w:rPr>
      </w:pPr>
      <w:r>
        <w:rPr>
          <w:rFonts w:ascii="Times New Roman" w:cs="Times New Roman" w:eastAsia="Times New Roman" w:hAnsi="Times New Roman"/>
          <w:sz w:val="17"/>
          <w:szCs w:val="17"/>
          <w:color w:val="auto"/>
        </w:rPr>
        <w:t>11.3 “</w:t>
      </w:r>
      <w:r>
        <w:rPr>
          <w:rFonts w:ascii="Times New Roman" w:cs="Times New Roman" w:eastAsia="Times New Roman" w:hAnsi="Times New Roman"/>
          <w:sz w:val="17"/>
          <w:szCs w:val="17"/>
          <w:b w:val="1"/>
          <w:bCs w:val="1"/>
          <w:i w:val="1"/>
          <w:iCs w:val="1"/>
          <w:color w:val="auto"/>
        </w:rPr>
        <w:t>Award</w:t>
      </w:r>
      <w:r>
        <w:rPr>
          <w:rFonts w:ascii="Times New Roman" w:cs="Times New Roman" w:eastAsia="Times New Roman" w:hAnsi="Times New Roman"/>
          <w:sz w:val="17"/>
          <w:szCs w:val="17"/>
          <w:color w:val="auto"/>
        </w:rPr>
        <w:t>” means, individually or collectively, a grant under the Plan of Options, Stock Appreciation Rights, Restricted Stock, Restricted Stock Units, Dividend Equivalents, or Other Stock or Cash Based Awards.</w:t>
      </w:r>
    </w:p>
    <w:p>
      <w:pPr>
        <w:spacing w:after="0" w:line="141" w:lineRule="exact"/>
        <w:rPr>
          <w:sz w:val="20"/>
          <w:szCs w:val="20"/>
          <w:color w:val="auto"/>
        </w:rPr>
      </w:pPr>
    </w:p>
    <w:p>
      <w:pPr>
        <w:ind w:left="9" w:right="180" w:firstLine="417"/>
        <w:spacing w:after="0" w:line="290" w:lineRule="auto"/>
        <w:rPr>
          <w:sz w:val="20"/>
          <w:szCs w:val="20"/>
          <w:color w:val="auto"/>
        </w:rPr>
      </w:pPr>
      <w:r>
        <w:rPr>
          <w:rFonts w:ascii="Times New Roman" w:cs="Times New Roman" w:eastAsia="Times New Roman" w:hAnsi="Times New Roman"/>
          <w:sz w:val="17"/>
          <w:szCs w:val="17"/>
          <w:color w:val="auto"/>
        </w:rPr>
        <w:t>11.4 “</w:t>
      </w:r>
      <w:r>
        <w:rPr>
          <w:rFonts w:ascii="Times New Roman" w:cs="Times New Roman" w:eastAsia="Times New Roman" w:hAnsi="Times New Roman"/>
          <w:sz w:val="17"/>
          <w:szCs w:val="17"/>
          <w:b w:val="1"/>
          <w:bCs w:val="1"/>
          <w:i w:val="1"/>
          <w:iCs w:val="1"/>
          <w:color w:val="auto"/>
        </w:rPr>
        <w:t>Award Agreement</w:t>
      </w:r>
      <w:r>
        <w:rPr>
          <w:rFonts w:ascii="Times New Roman" w:cs="Times New Roman" w:eastAsia="Times New Roman" w:hAnsi="Times New Roman"/>
          <w:sz w:val="17"/>
          <w:szCs w:val="17"/>
          <w:color w:val="auto"/>
        </w:rPr>
        <w:t>” means a written agreement evidencing an Award, which may be electronic, that contains such terms and conditions as the Administrator determines, consistent with and subject to the terms and conditions of the Plan.</w:t>
      </w:r>
    </w:p>
    <w:p>
      <w:pPr>
        <w:spacing w:after="0" w:line="141" w:lineRule="exact"/>
        <w:rPr>
          <w:sz w:val="20"/>
          <w:szCs w:val="20"/>
          <w:color w:val="auto"/>
        </w:rPr>
      </w:pPr>
    </w:p>
    <w:p>
      <w:pPr>
        <w:ind w:left="409"/>
        <w:spacing w:after="0"/>
        <w:rPr>
          <w:sz w:val="20"/>
          <w:szCs w:val="20"/>
          <w:color w:val="auto"/>
        </w:rPr>
      </w:pPr>
      <w:r>
        <w:rPr>
          <w:rFonts w:ascii="Times New Roman" w:cs="Times New Roman" w:eastAsia="Times New Roman" w:hAnsi="Times New Roman"/>
          <w:sz w:val="17"/>
          <w:szCs w:val="17"/>
          <w:color w:val="auto"/>
        </w:rPr>
        <w:t>11.5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means the Board of Directors of the Company.</w:t>
      </w:r>
    </w:p>
    <w:p>
      <w:pPr>
        <w:spacing w:after="0" w:line="213" w:lineRule="exact"/>
        <w:rPr>
          <w:sz w:val="20"/>
          <w:szCs w:val="20"/>
          <w:color w:val="auto"/>
        </w:rPr>
      </w:pPr>
    </w:p>
    <w:p>
      <w:pPr>
        <w:ind w:left="9" w:firstLine="417"/>
        <w:spacing w:after="0" w:line="269" w:lineRule="auto"/>
        <w:rPr>
          <w:sz w:val="20"/>
          <w:szCs w:val="20"/>
          <w:color w:val="auto"/>
        </w:rPr>
      </w:pPr>
      <w:r>
        <w:rPr>
          <w:rFonts w:ascii="Times New Roman" w:cs="Times New Roman" w:eastAsia="Times New Roman" w:hAnsi="Times New Roman"/>
          <w:sz w:val="16"/>
          <w:szCs w:val="16"/>
          <w:color w:val="auto"/>
        </w:rPr>
        <w:t>11.6 “</w:t>
      </w:r>
      <w:r>
        <w:rPr>
          <w:rFonts w:ascii="Times New Roman" w:cs="Times New Roman" w:eastAsia="Times New Roman" w:hAnsi="Times New Roman"/>
          <w:sz w:val="16"/>
          <w:szCs w:val="16"/>
          <w:b w:val="1"/>
          <w:bCs w:val="1"/>
          <w:i w:val="1"/>
          <w:iCs w:val="1"/>
          <w:color w:val="auto"/>
        </w:rPr>
        <w:t>Cause</w:t>
      </w:r>
      <w:r>
        <w:rPr>
          <w:rFonts w:ascii="Times New Roman" w:cs="Times New Roman" w:eastAsia="Times New Roman" w:hAnsi="Times New Roman"/>
          <w:sz w:val="16"/>
          <w:szCs w:val="16"/>
          <w:color w:val="auto"/>
        </w:rPr>
        <w:t>” means (a) if a Participant is a party to a written employment, severance or consulting agreement with the Company or any of its Subsidiaries or an Award Agreement in which the term “cause” is defined (a “</w:t>
      </w:r>
      <w:r>
        <w:rPr>
          <w:rFonts w:ascii="Times New Roman" w:cs="Times New Roman" w:eastAsia="Times New Roman" w:hAnsi="Times New Roman"/>
          <w:sz w:val="16"/>
          <w:szCs w:val="16"/>
          <w:b w:val="1"/>
          <w:bCs w:val="1"/>
          <w:i w:val="1"/>
          <w:iCs w:val="1"/>
          <w:color w:val="auto"/>
        </w:rPr>
        <w:t>Relevant Agreement</w:t>
      </w:r>
      <w:r>
        <w:rPr>
          <w:rFonts w:ascii="Times New Roman" w:cs="Times New Roman" w:eastAsia="Times New Roman" w:hAnsi="Times New Roman"/>
          <w:sz w:val="16"/>
          <w:szCs w:val="16"/>
          <w:color w:val="auto"/>
        </w:rPr>
        <w:t>”), “Cause” as defined in the Relevant Agreement, and (b) if no Relevant Agreement exists, (i) the Administrator’s determination that the Participant failed to substantially perform the Participant’s duties (other than a failure resulting from the Participant’s Disability); (ii) the Administrator’s determination that the Participant failed to carry out, or comply with any lawful and reasonable directive of the Board or the Participant’s immediate supervisor; (iii) the Participant’s unauthorized use or disclosure of confidential information or trade secrets of the Company or any of its Subsidiaries or any material breach of a written agreement between the Participant and the Company; (iv) the occurrence of any act or omission by the Participant that could reasonably be expected to result in (or has resulted in) the Participant’s conviction, plea of no contest, plea of nolo contendere, or imposition of un-adjudicated probation for any felony or indictable offense or crime involving moral turpitude; (v) the Participant’s unlawful use (including being under the influence) or possession of illegal drugs on the premises of the Company or any of its Subsidiaries or while performing the Participant’s duties and responsibilities for the Company or any of its Subsidiaries; or</w:t>
      </w:r>
    </w:p>
    <w:p>
      <w:pPr>
        <w:spacing w:after="0" w:line="5" w:lineRule="exact"/>
        <w:rPr>
          <w:sz w:val="20"/>
          <w:szCs w:val="20"/>
          <w:color w:val="auto"/>
        </w:rPr>
      </w:pPr>
    </w:p>
    <w:p>
      <w:pPr>
        <w:ind w:left="9" w:right="160" w:hanging="9"/>
        <w:spacing w:after="0" w:line="261" w:lineRule="auto"/>
        <w:tabs>
          <w:tab w:leader="none" w:pos="298"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Participant’s commission of an act of fraud, embezzlement, misappropriation, misconduct, or breach of fiduciary duty against the Company or any of its Subsidiaries.</w:t>
      </w:r>
    </w:p>
    <w:p>
      <w:pPr>
        <w:spacing w:after="0" w:line="165" w:lineRule="exact"/>
        <w:rPr>
          <w:sz w:val="20"/>
          <w:szCs w:val="20"/>
          <w:color w:val="auto"/>
        </w:rPr>
      </w:pPr>
    </w:p>
    <w:p>
      <w:pPr>
        <w:ind w:left="409"/>
        <w:spacing w:after="0"/>
        <w:rPr>
          <w:sz w:val="20"/>
          <w:szCs w:val="20"/>
          <w:color w:val="auto"/>
        </w:rPr>
      </w:pPr>
      <w:r>
        <w:rPr>
          <w:rFonts w:ascii="Times New Roman" w:cs="Times New Roman" w:eastAsia="Times New Roman" w:hAnsi="Times New Roman"/>
          <w:sz w:val="17"/>
          <w:szCs w:val="17"/>
          <w:color w:val="auto"/>
        </w:rPr>
        <w:t>11.7 “</w:t>
      </w:r>
      <w:r>
        <w:rPr>
          <w:rFonts w:ascii="Times New Roman" w:cs="Times New Roman" w:eastAsia="Times New Roman" w:hAnsi="Times New Roman"/>
          <w:sz w:val="17"/>
          <w:szCs w:val="17"/>
          <w:b w:val="1"/>
          <w:bCs w:val="1"/>
          <w:i w:val="1"/>
          <w:iCs w:val="1"/>
          <w:color w:val="auto"/>
        </w:rPr>
        <w:t>Change in Control</w:t>
      </w:r>
      <w:r>
        <w:rPr>
          <w:rFonts w:ascii="Times New Roman" w:cs="Times New Roman" w:eastAsia="Times New Roman" w:hAnsi="Times New Roman"/>
          <w:sz w:val="17"/>
          <w:szCs w:val="17"/>
          <w:color w:val="auto"/>
        </w:rPr>
        <w:t>” means and includes each of the following:</w:t>
      </w:r>
    </w:p>
    <w:p>
      <w:pPr>
        <w:spacing w:after="0" w:line="155"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389"/>
          </w:cols>
          <w:pgMar w:left="731" w:top="264" w:right="779" w:bottom="1440" w:gutter="0" w:footer="0" w:header="0"/>
        </w:sectPr>
      </w:pPr>
    </w:p>
    <w:bookmarkStart w:id="382" w:name="page383"/>
    <w:bookmarkEnd w:id="382"/>
    <w:p>
      <w:pPr>
        <w:ind w:firstLine="929"/>
        <w:spacing w:after="0" w:line="256" w:lineRule="auto"/>
        <w:tabs>
          <w:tab w:leader="none" w:pos="1170"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75" w:lineRule="exact"/>
        <w:rPr>
          <w:rFonts w:ascii="Times New Roman" w:cs="Times New Roman" w:eastAsia="Times New Roman" w:hAnsi="Times New Roman"/>
          <w:sz w:val="17"/>
          <w:szCs w:val="17"/>
          <w:color w:val="auto"/>
        </w:rPr>
      </w:pPr>
    </w:p>
    <w:p>
      <w:pPr>
        <w:ind w:right="20" w:firstLine="929"/>
        <w:spacing w:after="0" w:line="259" w:lineRule="auto"/>
        <w:tabs>
          <w:tab w:leader="none" w:pos="1180"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any period of two (2)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 (2)-year period or whose election or nomination for election was previously so approved, cease for any reason to constitute a majority thereof; or</w:t>
      </w:r>
    </w:p>
    <w:p>
      <w:pPr>
        <w:spacing w:after="0" w:line="171" w:lineRule="exact"/>
        <w:rPr>
          <w:rFonts w:ascii="Times New Roman" w:cs="Times New Roman" w:eastAsia="Times New Roman" w:hAnsi="Times New Roman"/>
          <w:sz w:val="17"/>
          <w:szCs w:val="17"/>
          <w:color w:val="auto"/>
        </w:rPr>
      </w:pPr>
    </w:p>
    <w:p>
      <w:pPr>
        <w:ind w:right="40" w:firstLine="929"/>
        <w:spacing w:after="0" w:line="261" w:lineRule="auto"/>
        <w:tabs>
          <w:tab w:leader="none" w:pos="1170"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71" w:lineRule="exact"/>
        <w:rPr>
          <w:rFonts w:ascii="Times New Roman" w:cs="Times New Roman" w:eastAsia="Times New Roman" w:hAnsi="Times New Roman"/>
          <w:sz w:val="17"/>
          <w:szCs w:val="17"/>
          <w:color w:val="auto"/>
        </w:rPr>
      </w:pPr>
    </w:p>
    <w:p>
      <w:pPr>
        <w:ind w:right="80" w:firstLine="1346"/>
        <w:spacing w:after="0" w:line="259" w:lineRule="auto"/>
        <w:tabs>
          <w:tab w:leader="none" w:pos="1559" w:val="left"/>
        </w:tabs>
        <w:numPr>
          <w:ilvl w:val="1"/>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17"/>
          <w:szCs w:val="17"/>
          <w:b w:val="1"/>
          <w:bCs w:val="1"/>
          <w:i w:val="1"/>
          <w:iCs w:val="1"/>
          <w:color w:val="auto"/>
        </w:rPr>
        <w:t>Successor Entity</w:t>
      </w:r>
      <w:r>
        <w:rPr>
          <w:rFonts w:ascii="Times New Roman" w:cs="Times New Roman" w:eastAsia="Times New Roman" w:hAnsi="Times New Roman"/>
          <w:sz w:val="17"/>
          <w:szCs w:val="17"/>
          <w:color w:val="auto"/>
        </w:rPr>
        <w:t>”)) directly or indirectly, at least a majority of the combined voting power of the Successor Entity’s outstanding voting securities immediately after the transaction, and</w:t>
      </w:r>
    </w:p>
    <w:p>
      <w:pPr>
        <w:spacing w:after="0" w:line="171" w:lineRule="exact"/>
        <w:rPr>
          <w:rFonts w:ascii="Times New Roman" w:cs="Times New Roman" w:eastAsia="Times New Roman" w:hAnsi="Times New Roman"/>
          <w:sz w:val="17"/>
          <w:szCs w:val="17"/>
          <w:color w:val="auto"/>
        </w:rPr>
      </w:pPr>
    </w:p>
    <w:p>
      <w:pPr>
        <w:ind w:right="140" w:firstLine="1346"/>
        <w:spacing w:after="0" w:line="261" w:lineRule="auto"/>
        <w:tabs>
          <w:tab w:leader="none" w:pos="1606" w:val="left"/>
        </w:tabs>
        <w:numPr>
          <w:ilvl w:val="1"/>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after which no person or group beneficially owns voting securities representing 50% or more of the combined voting power of the Successor Entity;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72" w:lineRule="exact"/>
        <w:rPr>
          <w:sz w:val="20"/>
          <w:szCs w:val="20"/>
          <w:color w:val="auto"/>
        </w:rPr>
      </w:pPr>
    </w:p>
    <w:p>
      <w:pPr>
        <w:ind w:right="20" w:firstLine="417"/>
        <w:spacing w:after="0" w:line="259" w:lineRule="auto"/>
        <w:rPr>
          <w:sz w:val="20"/>
          <w:szCs w:val="20"/>
          <w:color w:val="auto"/>
        </w:rPr>
      </w:pPr>
      <w:r>
        <w:rPr>
          <w:rFonts w:ascii="Times New Roman" w:cs="Times New Roman" w:eastAsia="Times New Roman" w:hAnsi="Times New Roman"/>
          <w:sz w:val="17"/>
          <w:szCs w:val="17"/>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(or portion thereof) if such transaction also constitutes a “change in control event,” as defined in Treasury Regulation Section 1.409A-3(i)(5).</w:t>
      </w:r>
    </w:p>
    <w:p>
      <w:pPr>
        <w:spacing w:after="0" w:line="172" w:lineRule="exact"/>
        <w:rPr>
          <w:sz w:val="20"/>
          <w:szCs w:val="20"/>
          <w:color w:val="auto"/>
        </w:rPr>
      </w:pPr>
    </w:p>
    <w:p>
      <w:pPr>
        <w:ind w:right="140" w:firstLine="417"/>
        <w:spacing w:after="0" w:line="261" w:lineRule="auto"/>
        <w:rPr>
          <w:sz w:val="20"/>
          <w:szCs w:val="20"/>
          <w:color w:val="auto"/>
        </w:rPr>
      </w:pPr>
      <w:r>
        <w:rPr>
          <w:rFonts w:ascii="Times New Roman" w:cs="Times New Roman" w:eastAsia="Times New Roman" w:hAnsi="Times New Roman"/>
          <w:sz w:val="17"/>
          <w:szCs w:val="17"/>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0420"/>
          </w:cols>
          <w:pgMar w:left="740" w:top="264" w:right="739" w:bottom="1440" w:gutter="0" w:footer="0" w:header="0"/>
        </w:sectPr>
      </w:pPr>
    </w:p>
    <w:bookmarkStart w:id="383" w:name="page384"/>
    <w:bookmarkEnd w:id="383"/>
    <w:p>
      <w:pPr>
        <w:ind w:left="4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11.8 “</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color w:val="auto"/>
        </w:rPr>
        <w:t>” means the U.S. Internal Revenue Code of 1986, as amended, and the regulations issued thereunder.</w:t>
      </w:r>
    </w:p>
    <w:p>
      <w:pPr>
        <w:spacing w:after="0" w:line="213" w:lineRule="exact"/>
        <w:rPr>
          <w:sz w:val="20"/>
          <w:szCs w:val="20"/>
          <w:color w:val="auto"/>
        </w:rPr>
      </w:pPr>
    </w:p>
    <w:p>
      <w:pPr>
        <w:ind w:right="180" w:firstLine="417"/>
        <w:spacing w:after="0" w:line="260" w:lineRule="auto"/>
        <w:rPr>
          <w:sz w:val="20"/>
          <w:szCs w:val="20"/>
          <w:color w:val="auto"/>
        </w:rPr>
      </w:pPr>
      <w:r>
        <w:rPr>
          <w:rFonts w:ascii="Times New Roman" w:cs="Times New Roman" w:eastAsia="Times New Roman" w:hAnsi="Times New Roman"/>
          <w:sz w:val="17"/>
          <w:szCs w:val="17"/>
          <w:color w:val="auto"/>
        </w:rPr>
        <w:t>11.9 “</w:t>
      </w:r>
      <w:r>
        <w:rPr>
          <w:rFonts w:ascii="Times New Roman" w:cs="Times New Roman" w:eastAsia="Times New Roman" w:hAnsi="Times New Roman"/>
          <w:sz w:val="17"/>
          <w:szCs w:val="17"/>
          <w:b w:val="1"/>
          <w:bCs w:val="1"/>
          <w:i w:val="1"/>
          <w:iCs w:val="1"/>
          <w:color w:val="auto"/>
        </w:rPr>
        <w:t>Committee</w:t>
      </w:r>
      <w:r>
        <w:rPr>
          <w:rFonts w:ascii="Times New Roman" w:cs="Times New Roman" w:eastAsia="Times New Roman" w:hAnsi="Times New Roman"/>
          <w:sz w:val="17"/>
          <w:szCs w:val="17"/>
          <w:color w:val="auto"/>
        </w:rPr>
        <w:t>”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1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11.10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means the common stock of the Company.</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11.11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means Boundless Bio, Inc., a Delaware corporation, or any successor.</w:t>
      </w:r>
    </w:p>
    <w:p>
      <w:pPr>
        <w:spacing w:after="0" w:line="213" w:lineRule="exact"/>
        <w:rPr>
          <w:sz w:val="20"/>
          <w:szCs w:val="20"/>
          <w:color w:val="auto"/>
        </w:rPr>
      </w:pPr>
    </w:p>
    <w:p>
      <w:pPr>
        <w:ind w:right="60" w:firstLine="417"/>
        <w:spacing w:after="0" w:line="290" w:lineRule="auto"/>
        <w:rPr>
          <w:sz w:val="20"/>
          <w:szCs w:val="20"/>
          <w:color w:val="auto"/>
        </w:rPr>
      </w:pPr>
      <w:r>
        <w:rPr>
          <w:rFonts w:ascii="Times New Roman" w:cs="Times New Roman" w:eastAsia="Times New Roman" w:hAnsi="Times New Roman"/>
          <w:sz w:val="17"/>
          <w:szCs w:val="17"/>
          <w:color w:val="auto"/>
        </w:rPr>
        <w:t>11.12 “</w:t>
      </w:r>
      <w:r>
        <w:rPr>
          <w:rFonts w:ascii="Times New Roman" w:cs="Times New Roman" w:eastAsia="Times New Roman" w:hAnsi="Times New Roman"/>
          <w:sz w:val="17"/>
          <w:szCs w:val="17"/>
          <w:b w:val="1"/>
          <w:bCs w:val="1"/>
          <w:i w:val="1"/>
          <w:iCs w:val="1"/>
          <w:color w:val="auto"/>
        </w:rPr>
        <w:t>Consultant</w:t>
      </w:r>
      <w:r>
        <w:rPr>
          <w:rFonts w:ascii="Times New Roman" w:cs="Times New Roman" w:eastAsia="Times New Roman" w:hAnsi="Times New Roman"/>
          <w:sz w:val="17"/>
          <w:szCs w:val="17"/>
          <w:color w:val="auto"/>
        </w:rPr>
        <w:t>” means any consultant or advisor that is engaged by the Company or any of its Subsidiaries to render services to such entity, in each case that can be granted an Award that is eligible to be registered on a Form S-8 Registration Statement.</w:t>
      </w:r>
    </w:p>
    <w:p>
      <w:pPr>
        <w:spacing w:after="0" w:line="141" w:lineRule="exact"/>
        <w:rPr>
          <w:sz w:val="20"/>
          <w:szCs w:val="20"/>
          <w:color w:val="auto"/>
        </w:rPr>
      </w:pPr>
    </w:p>
    <w:p>
      <w:pPr>
        <w:jc w:val="both"/>
        <w:ind w:right="240" w:firstLine="417"/>
        <w:spacing w:after="0" w:line="270" w:lineRule="auto"/>
        <w:rPr>
          <w:sz w:val="20"/>
          <w:szCs w:val="20"/>
          <w:color w:val="auto"/>
        </w:rPr>
      </w:pPr>
      <w:r>
        <w:rPr>
          <w:rFonts w:ascii="Times New Roman" w:cs="Times New Roman" w:eastAsia="Times New Roman" w:hAnsi="Times New Roman"/>
          <w:sz w:val="17"/>
          <w:szCs w:val="17"/>
          <w:color w:val="auto"/>
        </w:rPr>
        <w:t>11.13 “</w:t>
      </w:r>
      <w:r>
        <w:rPr>
          <w:rFonts w:ascii="Times New Roman" w:cs="Times New Roman" w:eastAsia="Times New Roman" w:hAnsi="Times New Roman"/>
          <w:sz w:val="17"/>
          <w:szCs w:val="17"/>
          <w:b w:val="1"/>
          <w:bCs w:val="1"/>
          <w:i w:val="1"/>
          <w:iCs w:val="1"/>
          <w:color w:val="auto"/>
        </w:rPr>
        <w:t>Designated Beneficiary</w:t>
      </w:r>
      <w:r>
        <w:rPr>
          <w:rFonts w:ascii="Times New Roman" w:cs="Times New Roman" w:eastAsia="Times New Roman" w:hAnsi="Times New Roman"/>
          <w:sz w:val="17"/>
          <w:szCs w:val="17"/>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11.14 “</w:t>
      </w:r>
      <w:r>
        <w:rPr>
          <w:rFonts w:ascii="Times New Roman" w:cs="Times New Roman" w:eastAsia="Times New Roman" w:hAnsi="Times New Roman"/>
          <w:sz w:val="17"/>
          <w:szCs w:val="17"/>
          <w:b w:val="1"/>
          <w:bCs w:val="1"/>
          <w:i w:val="1"/>
          <w:iCs w:val="1"/>
          <w:color w:val="auto"/>
        </w:rPr>
        <w:t>Director</w:t>
      </w:r>
      <w:r>
        <w:rPr>
          <w:rFonts w:ascii="Times New Roman" w:cs="Times New Roman" w:eastAsia="Times New Roman" w:hAnsi="Times New Roman"/>
          <w:sz w:val="17"/>
          <w:szCs w:val="17"/>
          <w:color w:val="auto"/>
        </w:rPr>
        <w:t>” means a Board member.</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11.15 “</w:t>
      </w:r>
      <w:r>
        <w:rPr>
          <w:rFonts w:ascii="Times New Roman" w:cs="Times New Roman" w:eastAsia="Times New Roman" w:hAnsi="Times New Roman"/>
          <w:sz w:val="17"/>
          <w:szCs w:val="17"/>
          <w:b w:val="1"/>
          <w:bCs w:val="1"/>
          <w:i w:val="1"/>
          <w:iCs w:val="1"/>
          <w:color w:val="auto"/>
        </w:rPr>
        <w:t>Disability</w:t>
      </w:r>
      <w:r>
        <w:rPr>
          <w:rFonts w:ascii="Times New Roman" w:cs="Times New Roman" w:eastAsia="Times New Roman" w:hAnsi="Times New Roman"/>
          <w:sz w:val="17"/>
          <w:szCs w:val="17"/>
          <w:color w:val="auto"/>
        </w:rPr>
        <w:t>” means a permanent and total disability under Section 22(e)(3) of the Code, as amended.</w:t>
      </w:r>
    </w:p>
    <w:p>
      <w:pPr>
        <w:spacing w:after="0" w:line="213" w:lineRule="exact"/>
        <w:rPr>
          <w:sz w:val="20"/>
          <w:szCs w:val="20"/>
          <w:color w:val="auto"/>
        </w:rPr>
      </w:pPr>
    </w:p>
    <w:p>
      <w:pPr>
        <w:ind w:right="700" w:firstLine="417"/>
        <w:spacing w:after="0" w:line="290" w:lineRule="auto"/>
        <w:rPr>
          <w:sz w:val="20"/>
          <w:szCs w:val="20"/>
          <w:color w:val="auto"/>
        </w:rPr>
      </w:pPr>
      <w:r>
        <w:rPr>
          <w:rFonts w:ascii="Times New Roman" w:cs="Times New Roman" w:eastAsia="Times New Roman" w:hAnsi="Times New Roman"/>
          <w:sz w:val="17"/>
          <w:szCs w:val="17"/>
          <w:color w:val="auto"/>
        </w:rPr>
        <w:t>11.16 “</w:t>
      </w:r>
      <w:r>
        <w:rPr>
          <w:rFonts w:ascii="Times New Roman" w:cs="Times New Roman" w:eastAsia="Times New Roman" w:hAnsi="Times New Roman"/>
          <w:sz w:val="17"/>
          <w:szCs w:val="17"/>
          <w:b w:val="1"/>
          <w:bCs w:val="1"/>
          <w:i w:val="1"/>
          <w:iCs w:val="1"/>
          <w:color w:val="auto"/>
        </w:rPr>
        <w:t>Dividend Equivalents</w:t>
      </w:r>
      <w:r>
        <w:rPr>
          <w:rFonts w:ascii="Times New Roman" w:cs="Times New Roman" w:eastAsia="Times New Roman" w:hAnsi="Times New Roman"/>
          <w:sz w:val="17"/>
          <w:szCs w:val="17"/>
          <w:color w:val="auto"/>
        </w:rPr>
        <w:t>” means a right granted to a Participant under the Plan to receive the equivalent value (in cash or Shares) of dividends paid on Shares.</w:t>
      </w:r>
    </w:p>
    <w:p>
      <w:pPr>
        <w:spacing w:after="0" w:line="1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11.17 “</w:t>
      </w:r>
      <w:r>
        <w:rPr>
          <w:rFonts w:ascii="Times New Roman" w:cs="Times New Roman" w:eastAsia="Times New Roman" w:hAnsi="Times New Roman"/>
          <w:sz w:val="17"/>
          <w:szCs w:val="17"/>
          <w:b w:val="1"/>
          <w:bCs w:val="1"/>
          <w:i w:val="1"/>
          <w:iCs w:val="1"/>
          <w:color w:val="auto"/>
        </w:rPr>
        <w:t>Employee</w:t>
      </w:r>
      <w:r>
        <w:rPr>
          <w:rFonts w:ascii="Times New Roman" w:cs="Times New Roman" w:eastAsia="Times New Roman" w:hAnsi="Times New Roman"/>
          <w:sz w:val="17"/>
          <w:szCs w:val="17"/>
          <w:color w:val="auto"/>
        </w:rPr>
        <w:t>” means any employee of the Company or its Subsidiaries.</w:t>
      </w:r>
    </w:p>
    <w:p>
      <w:pPr>
        <w:spacing w:after="0" w:line="213" w:lineRule="exact"/>
        <w:rPr>
          <w:sz w:val="20"/>
          <w:szCs w:val="20"/>
          <w:color w:val="auto"/>
        </w:rPr>
      </w:pPr>
    </w:p>
    <w:p>
      <w:pPr>
        <w:jc w:val="both"/>
        <w:ind w:firstLine="417"/>
        <w:spacing w:after="0" w:line="264" w:lineRule="auto"/>
        <w:rPr>
          <w:sz w:val="20"/>
          <w:szCs w:val="20"/>
          <w:color w:val="auto"/>
        </w:rPr>
      </w:pPr>
      <w:r>
        <w:rPr>
          <w:rFonts w:ascii="Times New Roman" w:cs="Times New Roman" w:eastAsia="Times New Roman" w:hAnsi="Times New Roman"/>
          <w:sz w:val="17"/>
          <w:szCs w:val="17"/>
          <w:color w:val="auto"/>
        </w:rPr>
        <w:t>11.18 “</w:t>
      </w:r>
      <w:r>
        <w:rPr>
          <w:rFonts w:ascii="Times New Roman" w:cs="Times New Roman" w:eastAsia="Times New Roman" w:hAnsi="Times New Roman"/>
          <w:sz w:val="17"/>
          <w:szCs w:val="17"/>
          <w:b w:val="1"/>
          <w:bCs w:val="1"/>
          <w:i w:val="1"/>
          <w:iCs w:val="1"/>
          <w:color w:val="auto"/>
        </w:rPr>
        <w:t>Equity Restructuring</w:t>
      </w:r>
      <w:r>
        <w:rPr>
          <w:rFonts w:ascii="Times New Roman" w:cs="Times New Roman" w:eastAsia="Times New Roman" w:hAnsi="Times New Roman"/>
          <w:sz w:val="17"/>
          <w:szCs w:val="17"/>
          <w:color w:val="auto"/>
        </w:rPr>
        <w:t>” means, as determined by the Administrator, a non-reciprocal transaction between the Company and its stockholders, such as a stock dividend, stock split, spin-off or recapitalization, or other large, nonrecurring cash dividend that affects the number or kind of Shares (or other securities of the Company) or the share price of Common Stock (or other securities of the Company) and causes a change in the per share value of the Common Stock underlying outstanding Awards.</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11.19 “</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means the U.S. Securities Exchange Act of 1934, as amended.</w:t>
      </w:r>
    </w:p>
    <w:p>
      <w:pPr>
        <w:spacing w:after="0" w:line="213" w:lineRule="exact"/>
        <w:rPr>
          <w:sz w:val="20"/>
          <w:szCs w:val="20"/>
          <w:color w:val="auto"/>
        </w:rPr>
      </w:pPr>
    </w:p>
    <w:p>
      <w:pPr>
        <w:ind w:firstLine="417"/>
        <w:spacing w:after="0" w:line="260" w:lineRule="auto"/>
        <w:rPr>
          <w:sz w:val="20"/>
          <w:szCs w:val="20"/>
          <w:color w:val="auto"/>
        </w:rPr>
      </w:pPr>
      <w:r>
        <w:rPr>
          <w:rFonts w:ascii="Times New Roman" w:cs="Times New Roman" w:eastAsia="Times New Roman" w:hAnsi="Times New Roman"/>
          <w:sz w:val="17"/>
          <w:szCs w:val="17"/>
          <w:color w:val="auto"/>
        </w:rPr>
        <w:t>11.20 “</w:t>
      </w:r>
      <w:r>
        <w:rPr>
          <w:rFonts w:ascii="Times New Roman" w:cs="Times New Roman" w:eastAsia="Times New Roman" w:hAnsi="Times New Roman"/>
          <w:sz w:val="17"/>
          <w:szCs w:val="17"/>
          <w:b w:val="1"/>
          <w:bCs w:val="1"/>
          <w:i w:val="1"/>
          <w:iCs w:val="1"/>
          <w:color w:val="auto"/>
        </w:rPr>
        <w:t>Fair Market Value</w:t>
      </w:r>
      <w:r>
        <w:rPr>
          <w:rFonts w:ascii="Times New Roman" w:cs="Times New Roman" w:eastAsia="Times New Roman" w:hAnsi="Times New Roman"/>
          <w:sz w:val="17"/>
          <w:szCs w:val="17"/>
          <w:color w:val="auto"/>
        </w:rPr>
        <w:t xml:space="preserve">” means, as of any date, the value of a Share of Common Stock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Times New Roman" w:cs="Times New Roman" w:eastAsia="Times New Roman" w:hAnsi="Times New Roman"/>
          <w:sz w:val="17"/>
          <w:szCs w:val="17"/>
          <w:i w:val="1"/>
          <w:iCs w:val="1"/>
          <w:color w:val="auto"/>
        </w:rPr>
        <w:t>The Wall Street Journal</w:t>
      </w:r>
      <w:r>
        <w:rPr>
          <w:rFonts w:ascii="Times New Roman" w:cs="Times New Roman" w:eastAsia="Times New Roman" w:hAnsi="Times New Roman"/>
          <w:sz w:val="17"/>
          <w:szCs w:val="17"/>
          <w:color w:val="auto"/>
        </w:rPr>
        <w:t xml:space="preserve"> or another source the Administrator deems reliable; (b) if the Common Stock is not traded on a stock exchange but is quoted on a national market or other quotation system, the closing</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0420"/>
          </w:cols>
          <w:pgMar w:left="740" w:top="258" w:right="739" w:bottom="1440" w:gutter="0" w:footer="0" w:header="0"/>
        </w:sectPr>
      </w:pPr>
    </w:p>
    <w:bookmarkStart w:id="384" w:name="page385"/>
    <w:bookmarkEnd w:id="384"/>
    <w:p>
      <w:pPr>
        <w:ind w:left="9" w:right="140"/>
        <w:spacing w:after="0" w:line="26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sales price on such date, or if no sales occurred on such date, then on the last date preceding such date during which a sale occurred, as reported in </w:t>
      </w:r>
      <w:r>
        <w:rPr>
          <w:rFonts w:ascii="Times New Roman" w:cs="Times New Roman" w:eastAsia="Times New Roman" w:hAnsi="Times New Roman"/>
          <w:sz w:val="17"/>
          <w:szCs w:val="17"/>
          <w:i w:val="1"/>
          <w:iCs w:val="1"/>
          <w:color w:val="auto"/>
        </w:rPr>
        <w:t>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Wall Street Journal </w:t>
      </w:r>
      <w:r>
        <w:rPr>
          <w:rFonts w:ascii="Times New Roman" w:cs="Times New Roman" w:eastAsia="Times New Roman" w:hAnsi="Times New Roman"/>
          <w:sz w:val="17"/>
          <w:szCs w:val="17"/>
          <w:color w:val="auto"/>
        </w:rPr>
        <w:t>or another source the Administrator deems reliable; or (c) in the absence of an established market for the Common Stock,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Administrator may determine the Fair Market Value in its discretion. Notwithstanding the foregoing, with respect to any Award granted on the Pricing Date, the Fair Market Value shall mean the initial public offering price of a Share as set forth in the Company’s final prospectus relating to its initial public offering filed with the Securities and Exchange Commission.</w:t>
      </w:r>
    </w:p>
    <w:p>
      <w:pPr>
        <w:spacing w:after="0" w:line="166" w:lineRule="exact"/>
        <w:rPr>
          <w:sz w:val="20"/>
          <w:szCs w:val="20"/>
          <w:color w:val="auto"/>
        </w:rPr>
      </w:pPr>
    </w:p>
    <w:p>
      <w:pPr>
        <w:ind w:left="409"/>
        <w:spacing w:after="0"/>
        <w:rPr>
          <w:sz w:val="20"/>
          <w:szCs w:val="20"/>
          <w:color w:val="auto"/>
        </w:rPr>
      </w:pPr>
      <w:r>
        <w:rPr>
          <w:rFonts w:ascii="Times New Roman" w:cs="Times New Roman" w:eastAsia="Times New Roman" w:hAnsi="Times New Roman"/>
          <w:sz w:val="17"/>
          <w:szCs w:val="17"/>
          <w:color w:val="auto"/>
        </w:rPr>
        <w:t>11.21 “</w:t>
      </w:r>
      <w:r>
        <w:rPr>
          <w:rFonts w:ascii="Times New Roman" w:cs="Times New Roman" w:eastAsia="Times New Roman" w:hAnsi="Times New Roman"/>
          <w:sz w:val="17"/>
          <w:szCs w:val="17"/>
          <w:b w:val="1"/>
          <w:bCs w:val="1"/>
          <w:i w:val="1"/>
          <w:iCs w:val="1"/>
          <w:color w:val="auto"/>
        </w:rPr>
        <w:t>Good Reason</w:t>
      </w:r>
      <w:r>
        <w:rPr>
          <w:rFonts w:ascii="Times New Roman" w:cs="Times New Roman" w:eastAsia="Times New Roman" w:hAnsi="Times New Roman"/>
          <w:sz w:val="17"/>
          <w:szCs w:val="17"/>
          <w:color w:val="auto"/>
        </w:rPr>
        <w:t>” means (a) if a Participant is a party to a Relevant Agreement, “Good Reason” as defined in the Relevant Agreement, and</w:t>
      </w:r>
    </w:p>
    <w:p>
      <w:pPr>
        <w:spacing w:after="0" w:line="32" w:lineRule="exact"/>
        <w:rPr>
          <w:sz w:val="20"/>
          <w:szCs w:val="20"/>
          <w:color w:val="auto"/>
        </w:rPr>
      </w:pPr>
    </w:p>
    <w:p>
      <w:pPr>
        <w:ind w:left="9" w:right="60" w:hanging="9"/>
        <w:spacing w:after="0" w:line="252" w:lineRule="auto"/>
        <w:tabs>
          <w:tab w:leader="none" w:pos="250" w:val="left"/>
        </w:tabs>
        <w:numPr>
          <w:ilvl w:val="0"/>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no Relevant Agreement exists, (i) a change in the Participant’s position with the Company (or its subsidiary employing the Participant) that materially reduces the Participant’s authority, duties or responsibilities, (ii) a material diminution in the Participant’s level of base compensation, except in connection with a general reduction in the base compensation of the Company’s personnel with similar status and responsibilities or (iii) a relocation of the Participant’s place of employment by more than fifty (50) miles, provided that such change, reduction or relocation is effected by the Company (or its subsidiary employing the Participant) without the Participant’s consent. Notwithstanding the foregoing, Good Reason shall only exist if Participant shall have provided the Company with written notice within sixty (60) days of the initial occurrence of any of the foregoing events or conditions, and the Company or any successor or affiliate fails to eliminate the conditions constituting Good Reason within thirty (30) days after receipt of written notice of such event or condition from Participant. Participant’s resignation from employment with the Company for “Good Reason” must occur within six (6) months following the initial occurrence of one of the foregoing events or conditions.</w:t>
      </w:r>
    </w:p>
    <w:p>
      <w:pPr>
        <w:spacing w:after="0" w:line="174" w:lineRule="exact"/>
        <w:rPr>
          <w:sz w:val="20"/>
          <w:szCs w:val="20"/>
          <w:color w:val="auto"/>
        </w:rPr>
      </w:pPr>
    </w:p>
    <w:p>
      <w:pPr>
        <w:ind w:left="9" w:right="20" w:firstLine="417"/>
        <w:spacing w:after="0" w:line="270" w:lineRule="auto"/>
        <w:rPr>
          <w:sz w:val="20"/>
          <w:szCs w:val="20"/>
          <w:color w:val="auto"/>
        </w:rPr>
      </w:pPr>
      <w:r>
        <w:rPr>
          <w:rFonts w:ascii="Times New Roman" w:cs="Times New Roman" w:eastAsia="Times New Roman" w:hAnsi="Times New Roman"/>
          <w:sz w:val="17"/>
          <w:szCs w:val="17"/>
          <w:color w:val="auto"/>
        </w:rPr>
        <w:t>11.22 “</w:t>
      </w:r>
      <w:r>
        <w:rPr>
          <w:rFonts w:ascii="Times New Roman" w:cs="Times New Roman" w:eastAsia="Times New Roman" w:hAnsi="Times New Roman"/>
          <w:sz w:val="17"/>
          <w:szCs w:val="17"/>
          <w:b w:val="1"/>
          <w:bCs w:val="1"/>
          <w:i w:val="1"/>
          <w:iCs w:val="1"/>
          <w:color w:val="auto"/>
        </w:rPr>
        <w:t>Greater Than 10% Stockholder</w:t>
      </w:r>
      <w:r>
        <w:rPr>
          <w:rFonts w:ascii="Times New Roman" w:cs="Times New Roman" w:eastAsia="Times New Roman" w:hAnsi="Times New Roman"/>
          <w:sz w:val="17"/>
          <w:szCs w:val="17"/>
          <w:color w:val="auto"/>
        </w:rPr>
        <w:t>” means an individual then owning (within the meaning of Section 424(d) of the Code) more than 10% of the total combined voting power of all classes of stock of the Company or its parent or subsidiary corporation, as defined in Section 424(e) and (f) of the Code, respectively.</w:t>
      </w:r>
    </w:p>
    <w:p>
      <w:pPr>
        <w:spacing w:after="0" w:line="158" w:lineRule="exact"/>
        <w:rPr>
          <w:sz w:val="20"/>
          <w:szCs w:val="20"/>
          <w:color w:val="auto"/>
        </w:rPr>
      </w:pPr>
    </w:p>
    <w:p>
      <w:pPr>
        <w:ind w:left="409"/>
        <w:spacing w:after="0"/>
        <w:rPr>
          <w:sz w:val="20"/>
          <w:szCs w:val="20"/>
          <w:color w:val="auto"/>
        </w:rPr>
      </w:pPr>
      <w:r>
        <w:rPr>
          <w:rFonts w:ascii="Times New Roman" w:cs="Times New Roman" w:eastAsia="Times New Roman" w:hAnsi="Times New Roman"/>
          <w:sz w:val="17"/>
          <w:szCs w:val="17"/>
          <w:color w:val="auto"/>
        </w:rPr>
        <w:t>11.23 “</w:t>
      </w:r>
      <w:r>
        <w:rPr>
          <w:rFonts w:ascii="Times New Roman" w:cs="Times New Roman" w:eastAsia="Times New Roman" w:hAnsi="Times New Roman"/>
          <w:sz w:val="17"/>
          <w:szCs w:val="17"/>
          <w:b w:val="1"/>
          <w:bCs w:val="1"/>
          <w:i w:val="1"/>
          <w:iCs w:val="1"/>
          <w:color w:val="auto"/>
        </w:rPr>
        <w:t>Incentive Stock Option</w:t>
      </w:r>
      <w:r>
        <w:rPr>
          <w:rFonts w:ascii="Times New Roman" w:cs="Times New Roman" w:eastAsia="Times New Roman" w:hAnsi="Times New Roman"/>
          <w:sz w:val="17"/>
          <w:szCs w:val="17"/>
          <w:color w:val="auto"/>
        </w:rPr>
        <w:t>” means an Option intended to qualify as an “incentive stock option” as defined in Section 422 of the Code.</w:t>
      </w:r>
    </w:p>
    <w:p>
      <w:pPr>
        <w:spacing w:after="0" w:line="213" w:lineRule="exact"/>
        <w:rPr>
          <w:sz w:val="20"/>
          <w:szCs w:val="20"/>
          <w:color w:val="auto"/>
        </w:rPr>
      </w:pPr>
    </w:p>
    <w:p>
      <w:pPr>
        <w:ind w:left="409"/>
        <w:spacing w:after="0"/>
        <w:rPr>
          <w:sz w:val="20"/>
          <w:szCs w:val="20"/>
          <w:color w:val="auto"/>
        </w:rPr>
      </w:pPr>
      <w:r>
        <w:rPr>
          <w:rFonts w:ascii="Times New Roman" w:cs="Times New Roman" w:eastAsia="Times New Roman" w:hAnsi="Times New Roman"/>
          <w:sz w:val="17"/>
          <w:szCs w:val="17"/>
          <w:color w:val="auto"/>
        </w:rPr>
        <w:t>11.24 “</w:t>
      </w:r>
      <w:r>
        <w:rPr>
          <w:rFonts w:ascii="Times New Roman" w:cs="Times New Roman" w:eastAsia="Times New Roman" w:hAnsi="Times New Roman"/>
          <w:sz w:val="17"/>
          <w:szCs w:val="17"/>
          <w:b w:val="1"/>
          <w:bCs w:val="1"/>
          <w:i w:val="1"/>
          <w:iCs w:val="1"/>
          <w:color w:val="auto"/>
        </w:rPr>
        <w:t>Non-Qualified Stock Option</w:t>
      </w:r>
      <w:r>
        <w:rPr>
          <w:rFonts w:ascii="Times New Roman" w:cs="Times New Roman" w:eastAsia="Times New Roman" w:hAnsi="Times New Roman"/>
          <w:sz w:val="17"/>
          <w:szCs w:val="17"/>
          <w:color w:val="auto"/>
        </w:rPr>
        <w:t>” means an Option, or portion thereof, not intended or not qualifying as an Incentive Stock Option.</w:t>
      </w:r>
    </w:p>
    <w:p>
      <w:pPr>
        <w:spacing w:after="0" w:line="213" w:lineRule="exact"/>
        <w:rPr>
          <w:sz w:val="20"/>
          <w:szCs w:val="20"/>
          <w:color w:val="auto"/>
        </w:rPr>
      </w:pPr>
    </w:p>
    <w:p>
      <w:pPr>
        <w:ind w:left="409"/>
        <w:spacing w:after="0"/>
        <w:rPr>
          <w:sz w:val="20"/>
          <w:szCs w:val="20"/>
          <w:color w:val="auto"/>
        </w:rPr>
      </w:pPr>
      <w:r>
        <w:rPr>
          <w:rFonts w:ascii="Times New Roman" w:cs="Times New Roman" w:eastAsia="Times New Roman" w:hAnsi="Times New Roman"/>
          <w:sz w:val="17"/>
          <w:szCs w:val="17"/>
          <w:color w:val="auto"/>
        </w:rPr>
        <w:t>11.25 “</w:t>
      </w:r>
      <w:r>
        <w:rPr>
          <w:rFonts w:ascii="Times New Roman" w:cs="Times New Roman" w:eastAsia="Times New Roman" w:hAnsi="Times New Roman"/>
          <w:sz w:val="17"/>
          <w:szCs w:val="17"/>
          <w:b w:val="1"/>
          <w:bCs w:val="1"/>
          <w:i w:val="1"/>
          <w:iCs w:val="1"/>
          <w:color w:val="auto"/>
        </w:rPr>
        <w:t>Option</w:t>
      </w:r>
      <w:r>
        <w:rPr>
          <w:rFonts w:ascii="Times New Roman" w:cs="Times New Roman" w:eastAsia="Times New Roman" w:hAnsi="Times New Roman"/>
          <w:sz w:val="17"/>
          <w:szCs w:val="17"/>
          <w:color w:val="auto"/>
        </w:rPr>
        <w:t>” means an option to purchase Shares, which will either be an Incentive Stock Option or a Non-Qualified Stock Option.</w:t>
      </w:r>
    </w:p>
    <w:p>
      <w:pPr>
        <w:spacing w:after="0" w:line="213" w:lineRule="exact"/>
        <w:rPr>
          <w:sz w:val="20"/>
          <w:szCs w:val="20"/>
          <w:color w:val="auto"/>
        </w:rPr>
      </w:pPr>
    </w:p>
    <w:p>
      <w:pPr>
        <w:ind w:left="9" w:right="60" w:firstLine="417"/>
        <w:spacing w:after="0" w:line="290" w:lineRule="auto"/>
        <w:rPr>
          <w:sz w:val="20"/>
          <w:szCs w:val="20"/>
          <w:color w:val="auto"/>
        </w:rPr>
      </w:pPr>
      <w:r>
        <w:rPr>
          <w:rFonts w:ascii="Times New Roman" w:cs="Times New Roman" w:eastAsia="Times New Roman" w:hAnsi="Times New Roman"/>
          <w:sz w:val="17"/>
          <w:szCs w:val="17"/>
          <w:color w:val="auto"/>
        </w:rPr>
        <w:t>11.26 “</w:t>
      </w:r>
      <w:r>
        <w:rPr>
          <w:rFonts w:ascii="Times New Roman" w:cs="Times New Roman" w:eastAsia="Times New Roman" w:hAnsi="Times New Roman"/>
          <w:sz w:val="17"/>
          <w:szCs w:val="17"/>
          <w:b w:val="1"/>
          <w:bCs w:val="1"/>
          <w:i w:val="1"/>
          <w:iCs w:val="1"/>
          <w:color w:val="auto"/>
        </w:rPr>
        <w:t>Other Stock or Cash Based Awards</w:t>
      </w:r>
      <w:r>
        <w:rPr>
          <w:rFonts w:ascii="Times New Roman" w:cs="Times New Roman" w:eastAsia="Times New Roman" w:hAnsi="Times New Roman"/>
          <w:sz w:val="17"/>
          <w:szCs w:val="17"/>
          <w:color w:val="auto"/>
        </w:rPr>
        <w:t>” means cash awards, awards of Shares, and other awards valued wholly or partially by referring to, or are otherwise based on, Shares or other property awarded to a Participant under Article VII.</w:t>
      </w:r>
    </w:p>
    <w:p>
      <w:pPr>
        <w:spacing w:after="0" w:line="82" w:lineRule="exact"/>
        <w:rPr>
          <w:sz w:val="20"/>
          <w:szCs w:val="20"/>
          <w:color w:val="auto"/>
        </w:rPr>
      </w:pPr>
    </w:p>
    <w:p>
      <w:pPr>
        <w:ind w:left="409"/>
        <w:spacing w:after="0"/>
        <w:rPr>
          <w:sz w:val="20"/>
          <w:szCs w:val="20"/>
          <w:color w:val="auto"/>
        </w:rPr>
      </w:pPr>
      <w:r>
        <w:rPr>
          <w:rFonts w:ascii="Times New Roman" w:cs="Times New Roman" w:eastAsia="Times New Roman" w:hAnsi="Times New Roman"/>
          <w:sz w:val="17"/>
          <w:szCs w:val="17"/>
          <w:color w:val="auto"/>
        </w:rPr>
        <w:t>11.27 “</w:t>
      </w:r>
      <w:r>
        <w:rPr>
          <w:rFonts w:ascii="Times New Roman" w:cs="Times New Roman" w:eastAsia="Times New Roman" w:hAnsi="Times New Roman"/>
          <w:sz w:val="17"/>
          <w:szCs w:val="17"/>
          <w:b w:val="1"/>
          <w:bCs w:val="1"/>
          <w:i w:val="1"/>
          <w:iCs w:val="1"/>
          <w:color w:val="auto"/>
        </w:rPr>
        <w:t>Overall Share Limit</w:t>
      </w:r>
      <w:r>
        <w:rPr>
          <w:rFonts w:ascii="Times New Roman" w:cs="Times New Roman" w:eastAsia="Times New Roman" w:hAnsi="Times New Roman"/>
          <w:sz w:val="17"/>
          <w:szCs w:val="17"/>
          <w:color w:val="auto"/>
        </w:rPr>
        <w:t>” means the sum of (i) [_____] Shares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(ii) any shares of Common Stock which are available for issuance under the</w:t>
      </w:r>
    </w:p>
    <w:p>
      <w:pPr>
        <w:ind w:left="9"/>
        <w:spacing w:after="0" w:line="254" w:lineRule="auto"/>
        <w:rPr>
          <w:sz w:val="20"/>
          <w:szCs w:val="20"/>
          <w:color w:val="auto"/>
        </w:rPr>
      </w:pPr>
      <w:r>
        <w:rPr>
          <w:rFonts w:ascii="Times New Roman" w:cs="Times New Roman" w:eastAsia="Times New Roman" w:hAnsi="Times New Roman"/>
          <w:sz w:val="17"/>
          <w:szCs w:val="17"/>
          <w:color w:val="auto"/>
        </w:rPr>
        <w:t>Prior Plan as of the Pricing Date; (iii) any shares of Common Stock which are subject to Prior Plan Awards which become available for issuance under the Plan pursuant to Article IV; and (iv) an annual increase on the first day of each calendar year beginning on and including January 1, 2025 and ending on and including January 1, 2034, equal to the lesser of (A) 5% of the aggregate number of shares of Common Stock outstanding on the final day of the immediately preceding calendar year, or (B) such smaller number of Shares as is determined by the Administrator.</w:t>
      </w:r>
    </w:p>
    <w:p>
      <w:pPr>
        <w:spacing w:after="0" w:line="171" w:lineRule="exact"/>
        <w:rPr>
          <w:sz w:val="20"/>
          <w:szCs w:val="20"/>
          <w:color w:val="auto"/>
        </w:rPr>
      </w:pPr>
    </w:p>
    <w:p>
      <w:pPr>
        <w:ind w:left="409"/>
        <w:spacing w:after="0"/>
        <w:rPr>
          <w:sz w:val="20"/>
          <w:szCs w:val="20"/>
          <w:color w:val="auto"/>
        </w:rPr>
      </w:pPr>
      <w:r>
        <w:rPr>
          <w:rFonts w:ascii="Times New Roman" w:cs="Times New Roman" w:eastAsia="Times New Roman" w:hAnsi="Times New Roman"/>
          <w:sz w:val="17"/>
          <w:szCs w:val="17"/>
          <w:color w:val="auto"/>
        </w:rPr>
        <w:t>11.28 “</w:t>
      </w:r>
      <w:r>
        <w:rPr>
          <w:rFonts w:ascii="Times New Roman" w:cs="Times New Roman" w:eastAsia="Times New Roman" w:hAnsi="Times New Roman"/>
          <w:sz w:val="17"/>
          <w:szCs w:val="17"/>
          <w:b w:val="1"/>
          <w:bCs w:val="1"/>
          <w:i w:val="1"/>
          <w:iCs w:val="1"/>
          <w:color w:val="auto"/>
        </w:rPr>
        <w:t>Participant</w:t>
      </w:r>
      <w:r>
        <w:rPr>
          <w:rFonts w:ascii="Times New Roman" w:cs="Times New Roman" w:eastAsia="Times New Roman" w:hAnsi="Times New Roman"/>
          <w:sz w:val="17"/>
          <w:szCs w:val="17"/>
          <w:color w:val="auto"/>
        </w:rPr>
        <w:t>” means a Service Provider who has been granted an Award.</w:t>
      </w:r>
    </w:p>
    <w:p>
      <w:pPr>
        <w:spacing w:after="0" w:line="239" w:lineRule="exact"/>
        <w:rPr>
          <w:sz w:val="20"/>
          <w:szCs w:val="20"/>
          <w:color w:val="auto"/>
        </w:rPr>
      </w:pPr>
    </w:p>
    <w:p>
      <w:pPr>
        <w:ind w:left="409" w:right="40" w:hanging="409"/>
        <w:spacing w:after="0" w:line="232" w:lineRule="auto"/>
        <w:tabs>
          <w:tab w:leader="none" w:pos="409" w:val="left"/>
        </w:tabs>
        <w:numPr>
          <w:ilvl w:val="0"/>
          <w:numId w:val="26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Number to be equal to 12% of the aggregate number of Pricing Date Common Shares Outstanding. “</w:t>
      </w:r>
      <w:r>
        <w:rPr>
          <w:rFonts w:ascii="Times New Roman" w:cs="Times New Roman" w:eastAsia="Times New Roman" w:hAnsi="Times New Roman"/>
          <w:sz w:val="17"/>
          <w:szCs w:val="17"/>
          <w:b w:val="1"/>
          <w:bCs w:val="1"/>
          <w:i w:val="1"/>
          <w:iCs w:val="1"/>
          <w:color w:val="auto"/>
        </w:rPr>
        <w:t>Pricing Date Common Shares Outstanding</w:t>
      </w:r>
      <w:r>
        <w:rPr>
          <w:rFonts w:ascii="Times New Roman" w:cs="Times New Roman" w:eastAsia="Times New Roman" w:hAnsi="Times New Roman"/>
          <w:sz w:val="17"/>
          <w:szCs w:val="17"/>
          <w:color w:val="auto"/>
        </w:rPr>
        <w:t>” means, as of the Pricing Date, the number of Shares outstanding on such date (calculated on the Pricing Date on an as-converted basis after giving effect to the conversion of the Company’s outstanding securities into Shares in connection with the initial public offering and after giving effect to the issuance of Shares to be sold in the initial public offering (assuming the exercise in full of the underwriters’ option to purchase additional Shares in such initial public offering)).</w:t>
      </w:r>
    </w:p>
    <w:p>
      <w:pPr>
        <w:spacing w:after="0" w:line="124"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0409"/>
          </w:cols>
          <w:pgMar w:left="731" w:top="260" w:right="759" w:bottom="1440" w:gutter="0" w:footer="0" w:header="0"/>
        </w:sectPr>
      </w:pPr>
    </w:p>
    <w:bookmarkStart w:id="385" w:name="page386"/>
    <w:bookmarkEnd w:id="385"/>
    <w:p>
      <w:pPr>
        <w:ind w:right="40" w:firstLine="417"/>
        <w:spacing w:after="0" w:line="25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11.29 “</w:t>
      </w:r>
      <w:r>
        <w:rPr>
          <w:rFonts w:ascii="Times New Roman" w:cs="Times New Roman" w:eastAsia="Times New Roman" w:hAnsi="Times New Roman"/>
          <w:sz w:val="17"/>
          <w:szCs w:val="17"/>
          <w:b w:val="1"/>
          <w:bCs w:val="1"/>
          <w:i w:val="1"/>
          <w:iCs w:val="1"/>
          <w:color w:val="auto"/>
        </w:rPr>
        <w:t>Performance Criteria</w:t>
      </w:r>
      <w:r>
        <w:rPr>
          <w:rFonts w:ascii="Times New Roman" w:cs="Times New Roman" w:eastAsia="Times New Roman" w:hAnsi="Times New Roman"/>
          <w:sz w:val="17"/>
          <w:szCs w:val="17"/>
          <w:color w:val="auto"/>
        </w:rPr>
        <w:t>” mean the criteria (and adjustments) that the Administrator may select for an Award to establish performance goals for a performance period, which may include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capital management (including diversity and inclusion);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w:t>
      </w:r>
    </w:p>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11.30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means this 2024 Incentive Award Plan.</w:t>
      </w:r>
    </w:p>
    <w:p>
      <w:pPr>
        <w:spacing w:after="0" w:line="213" w:lineRule="exact"/>
        <w:rPr>
          <w:sz w:val="20"/>
          <w:szCs w:val="20"/>
          <w:color w:val="auto"/>
        </w:rPr>
      </w:pPr>
    </w:p>
    <w:p>
      <w:pPr>
        <w:ind w:right="400" w:firstLine="417"/>
        <w:spacing w:after="0" w:line="290" w:lineRule="auto"/>
        <w:rPr>
          <w:sz w:val="20"/>
          <w:szCs w:val="20"/>
          <w:color w:val="auto"/>
        </w:rPr>
      </w:pPr>
      <w:r>
        <w:rPr>
          <w:rFonts w:ascii="Times New Roman" w:cs="Times New Roman" w:eastAsia="Times New Roman" w:hAnsi="Times New Roman"/>
          <w:sz w:val="17"/>
          <w:szCs w:val="17"/>
          <w:color w:val="auto"/>
        </w:rPr>
        <w:t>11.31 “</w:t>
      </w:r>
      <w:r>
        <w:rPr>
          <w:rFonts w:ascii="Times New Roman" w:cs="Times New Roman" w:eastAsia="Times New Roman" w:hAnsi="Times New Roman"/>
          <w:sz w:val="17"/>
          <w:szCs w:val="17"/>
          <w:b w:val="1"/>
          <w:bCs w:val="1"/>
          <w:i w:val="1"/>
          <w:iCs w:val="1"/>
          <w:color w:val="auto"/>
        </w:rPr>
        <w:t>Pricing Date</w:t>
      </w:r>
      <w:r>
        <w:rPr>
          <w:rFonts w:ascii="Times New Roman" w:cs="Times New Roman" w:eastAsia="Times New Roman" w:hAnsi="Times New Roman"/>
          <w:sz w:val="17"/>
          <w:szCs w:val="17"/>
          <w:color w:val="auto"/>
        </w:rPr>
        <w:t>” means the date upon which the Company’s Registration Statement on Form S-1 filed with the Securities and Exchange Commission relating to the registered underwritten public offering of shares of Common Stock becomes effective.</w:t>
      </w:r>
    </w:p>
    <w:p>
      <w:pPr>
        <w:spacing w:after="0" w:line="1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11.32 “</w:t>
      </w:r>
      <w:r>
        <w:rPr>
          <w:rFonts w:ascii="Times New Roman" w:cs="Times New Roman" w:eastAsia="Times New Roman" w:hAnsi="Times New Roman"/>
          <w:sz w:val="17"/>
          <w:szCs w:val="17"/>
          <w:b w:val="1"/>
          <w:bCs w:val="1"/>
          <w:i w:val="1"/>
          <w:iCs w:val="1"/>
          <w:color w:val="auto"/>
        </w:rPr>
        <w:t>Prior Plan</w:t>
      </w:r>
      <w:r>
        <w:rPr>
          <w:rFonts w:ascii="Times New Roman" w:cs="Times New Roman" w:eastAsia="Times New Roman" w:hAnsi="Times New Roman"/>
          <w:sz w:val="17"/>
          <w:szCs w:val="17"/>
          <w:color w:val="auto"/>
        </w:rPr>
        <w:t>” means the Boundless Bio, Inc. 2018 Equity Incentive Plan, as amended.</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11.33 “</w:t>
      </w:r>
      <w:r>
        <w:rPr>
          <w:rFonts w:ascii="Times New Roman" w:cs="Times New Roman" w:eastAsia="Times New Roman" w:hAnsi="Times New Roman"/>
          <w:sz w:val="17"/>
          <w:szCs w:val="17"/>
          <w:b w:val="1"/>
          <w:bCs w:val="1"/>
          <w:i w:val="1"/>
          <w:iCs w:val="1"/>
          <w:color w:val="auto"/>
        </w:rPr>
        <w:t>Prior Plan Award</w:t>
      </w:r>
      <w:r>
        <w:rPr>
          <w:rFonts w:ascii="Times New Roman" w:cs="Times New Roman" w:eastAsia="Times New Roman" w:hAnsi="Times New Roman"/>
          <w:sz w:val="17"/>
          <w:szCs w:val="17"/>
          <w:color w:val="auto"/>
        </w:rPr>
        <w:t>” means an award outstanding under the Prior Plan as of the Pricing Date.</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11.34 “</w:t>
      </w:r>
      <w:r>
        <w:rPr>
          <w:rFonts w:ascii="Times New Roman" w:cs="Times New Roman" w:eastAsia="Times New Roman" w:hAnsi="Times New Roman"/>
          <w:sz w:val="17"/>
          <w:szCs w:val="17"/>
          <w:b w:val="1"/>
          <w:bCs w:val="1"/>
          <w:i w:val="1"/>
          <w:iCs w:val="1"/>
          <w:color w:val="auto"/>
        </w:rPr>
        <w:t>Restricted Stock</w:t>
      </w:r>
      <w:r>
        <w:rPr>
          <w:rFonts w:ascii="Times New Roman" w:cs="Times New Roman" w:eastAsia="Times New Roman" w:hAnsi="Times New Roman"/>
          <w:sz w:val="17"/>
          <w:szCs w:val="17"/>
          <w:color w:val="auto"/>
        </w:rPr>
        <w:t>” means Shares awarded to a Participant under Article VI subject to certain vesting conditions and other restrictions.</w:t>
      </w:r>
    </w:p>
    <w:p>
      <w:pPr>
        <w:spacing w:after="0" w:line="213" w:lineRule="exact"/>
        <w:rPr>
          <w:sz w:val="20"/>
          <w:szCs w:val="20"/>
          <w:color w:val="auto"/>
        </w:rPr>
      </w:pPr>
    </w:p>
    <w:p>
      <w:pPr>
        <w:ind w:firstLine="417"/>
        <w:spacing w:after="0" w:line="270" w:lineRule="auto"/>
        <w:rPr>
          <w:sz w:val="20"/>
          <w:szCs w:val="20"/>
          <w:color w:val="auto"/>
        </w:rPr>
      </w:pPr>
      <w:r>
        <w:rPr>
          <w:rFonts w:ascii="Times New Roman" w:cs="Times New Roman" w:eastAsia="Times New Roman" w:hAnsi="Times New Roman"/>
          <w:sz w:val="17"/>
          <w:szCs w:val="17"/>
          <w:color w:val="auto"/>
        </w:rPr>
        <w:t>11.35 “</w:t>
      </w:r>
      <w:r>
        <w:rPr>
          <w:rFonts w:ascii="Times New Roman" w:cs="Times New Roman" w:eastAsia="Times New Roman" w:hAnsi="Times New Roman"/>
          <w:sz w:val="17"/>
          <w:szCs w:val="17"/>
          <w:b w:val="1"/>
          <w:bCs w:val="1"/>
          <w:i w:val="1"/>
          <w:iCs w:val="1"/>
          <w:color w:val="auto"/>
        </w:rPr>
        <w:t>Restricted Stock Unit</w:t>
      </w:r>
      <w:r>
        <w:rPr>
          <w:rFonts w:ascii="Times New Roman" w:cs="Times New Roman" w:eastAsia="Times New Roman" w:hAnsi="Times New Roman"/>
          <w:sz w:val="17"/>
          <w:szCs w:val="17"/>
          <w:color w:val="auto"/>
        </w:rPr>
        <w:t>” means an unfunded, unsecured right to receive, on the applicable settlement date, one Share or an amount in cash or other consideration determined by the Administrator to be of equal value as of such settlement date awarded to a Participant under Article VI subject to certain vesting conditions and other restrictions.</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11.36 “</w:t>
      </w:r>
      <w:r>
        <w:rPr>
          <w:rFonts w:ascii="Times New Roman" w:cs="Times New Roman" w:eastAsia="Times New Roman" w:hAnsi="Times New Roman"/>
          <w:sz w:val="17"/>
          <w:szCs w:val="17"/>
          <w:b w:val="1"/>
          <w:bCs w:val="1"/>
          <w:i w:val="1"/>
          <w:iCs w:val="1"/>
          <w:color w:val="auto"/>
        </w:rPr>
        <w:t>Rule 16b-3</w:t>
      </w:r>
      <w:r>
        <w:rPr>
          <w:rFonts w:ascii="Times New Roman" w:cs="Times New Roman" w:eastAsia="Times New Roman" w:hAnsi="Times New Roman"/>
          <w:sz w:val="17"/>
          <w:szCs w:val="17"/>
          <w:color w:val="auto"/>
        </w:rPr>
        <w:t>” means Rule 16b-3 promulgated under the Exchange Act.</w:t>
      </w:r>
    </w:p>
    <w:p>
      <w:pPr>
        <w:spacing w:after="0" w:line="213" w:lineRule="exact"/>
        <w:rPr>
          <w:sz w:val="20"/>
          <w:szCs w:val="20"/>
          <w:color w:val="auto"/>
        </w:rPr>
      </w:pPr>
    </w:p>
    <w:p>
      <w:pPr>
        <w:ind w:right="360" w:firstLine="417"/>
        <w:spacing w:after="0" w:line="290" w:lineRule="auto"/>
        <w:rPr>
          <w:sz w:val="20"/>
          <w:szCs w:val="20"/>
          <w:color w:val="auto"/>
        </w:rPr>
      </w:pPr>
      <w:r>
        <w:rPr>
          <w:rFonts w:ascii="Times New Roman" w:cs="Times New Roman" w:eastAsia="Times New Roman" w:hAnsi="Times New Roman"/>
          <w:sz w:val="17"/>
          <w:szCs w:val="17"/>
          <w:color w:val="auto"/>
        </w:rPr>
        <w:t>11.37 “</w:t>
      </w:r>
      <w:r>
        <w:rPr>
          <w:rFonts w:ascii="Times New Roman" w:cs="Times New Roman" w:eastAsia="Times New Roman" w:hAnsi="Times New Roman"/>
          <w:sz w:val="17"/>
          <w:szCs w:val="17"/>
          <w:b w:val="1"/>
          <w:bCs w:val="1"/>
          <w:i w:val="1"/>
          <w:iCs w:val="1"/>
          <w:color w:val="auto"/>
        </w:rPr>
        <w:t>Section 409A</w:t>
      </w:r>
      <w:r>
        <w:rPr>
          <w:rFonts w:ascii="Times New Roman" w:cs="Times New Roman" w:eastAsia="Times New Roman" w:hAnsi="Times New Roman"/>
          <w:sz w:val="17"/>
          <w:szCs w:val="17"/>
          <w:color w:val="auto"/>
        </w:rPr>
        <w:t>” means Section 409A of the Code and all regulations, guidance, compliance programs and other interpretative authority thereunder.</w:t>
      </w:r>
    </w:p>
    <w:p>
      <w:pPr>
        <w:spacing w:after="0" w:line="1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11.38 “</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means the U.S. Securities Act of 1933, as amended.</w:t>
      </w:r>
    </w:p>
    <w:p>
      <w:pPr>
        <w:spacing w:after="0" w:line="15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0400"/>
          </w:cols>
          <w:pgMar w:left="740" w:top="257" w:right="759" w:bottom="1440" w:gutter="0" w:footer="0" w:header="0"/>
        </w:sectPr>
      </w:pPr>
    </w:p>
    <w:bookmarkStart w:id="386" w:name="page387"/>
    <w:bookmarkEnd w:id="386"/>
    <w:p>
      <w:pPr>
        <w:ind w:left="4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11.39 “</w:t>
      </w:r>
      <w:r>
        <w:rPr>
          <w:rFonts w:ascii="Times New Roman" w:cs="Times New Roman" w:eastAsia="Times New Roman" w:hAnsi="Times New Roman"/>
          <w:sz w:val="17"/>
          <w:szCs w:val="17"/>
          <w:b w:val="1"/>
          <w:bCs w:val="1"/>
          <w:i w:val="1"/>
          <w:iCs w:val="1"/>
          <w:color w:val="auto"/>
        </w:rPr>
        <w:t>Service Provider</w:t>
      </w:r>
      <w:r>
        <w:rPr>
          <w:rFonts w:ascii="Times New Roman" w:cs="Times New Roman" w:eastAsia="Times New Roman" w:hAnsi="Times New Roman"/>
          <w:sz w:val="17"/>
          <w:szCs w:val="17"/>
          <w:color w:val="auto"/>
        </w:rPr>
        <w:t>” means an Employee, Consultant or Director.</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11.40 “</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means shares of Common Stock.</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11.41 “</w:t>
      </w:r>
      <w:r>
        <w:rPr>
          <w:rFonts w:ascii="Times New Roman" w:cs="Times New Roman" w:eastAsia="Times New Roman" w:hAnsi="Times New Roman"/>
          <w:sz w:val="17"/>
          <w:szCs w:val="17"/>
          <w:b w:val="1"/>
          <w:bCs w:val="1"/>
          <w:i w:val="1"/>
          <w:iCs w:val="1"/>
          <w:color w:val="auto"/>
        </w:rPr>
        <w:t>Stock Appreciation Right</w:t>
      </w:r>
      <w:r>
        <w:rPr>
          <w:rFonts w:ascii="Times New Roman" w:cs="Times New Roman" w:eastAsia="Times New Roman" w:hAnsi="Times New Roman"/>
          <w:sz w:val="17"/>
          <w:szCs w:val="17"/>
          <w:color w:val="auto"/>
        </w:rPr>
        <w:t>” means a stock appreciation right granted under Article V.</w:t>
      </w:r>
    </w:p>
    <w:p>
      <w:pPr>
        <w:spacing w:after="0" w:line="213" w:lineRule="exact"/>
        <w:rPr>
          <w:sz w:val="20"/>
          <w:szCs w:val="20"/>
          <w:color w:val="auto"/>
        </w:rPr>
      </w:pPr>
    </w:p>
    <w:p>
      <w:pPr>
        <w:jc w:val="both"/>
        <w:ind w:firstLine="417"/>
        <w:spacing w:after="0" w:line="270" w:lineRule="auto"/>
        <w:rPr>
          <w:sz w:val="20"/>
          <w:szCs w:val="20"/>
          <w:color w:val="auto"/>
        </w:rPr>
      </w:pPr>
      <w:r>
        <w:rPr>
          <w:rFonts w:ascii="Times New Roman" w:cs="Times New Roman" w:eastAsia="Times New Roman" w:hAnsi="Times New Roman"/>
          <w:sz w:val="17"/>
          <w:szCs w:val="17"/>
          <w:color w:val="auto"/>
        </w:rPr>
        <w:t>11.42 “</w:t>
      </w:r>
      <w:r>
        <w:rPr>
          <w:rFonts w:ascii="Times New Roman" w:cs="Times New Roman" w:eastAsia="Times New Roman" w:hAnsi="Times New Roman"/>
          <w:sz w:val="17"/>
          <w:szCs w:val="17"/>
          <w:b w:val="1"/>
          <w:bCs w:val="1"/>
          <w:i w:val="1"/>
          <w:iCs w:val="1"/>
          <w:color w:val="auto"/>
        </w:rPr>
        <w:t>Subsidiary</w:t>
      </w:r>
      <w:r>
        <w:rPr>
          <w:rFonts w:ascii="Times New Roman" w:cs="Times New Roman" w:eastAsia="Times New Roman" w:hAnsi="Times New Roman"/>
          <w:sz w:val="17"/>
          <w:szCs w:val="17"/>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58" w:lineRule="exact"/>
        <w:rPr>
          <w:sz w:val="20"/>
          <w:szCs w:val="20"/>
          <w:color w:val="auto"/>
        </w:rPr>
      </w:pPr>
    </w:p>
    <w:p>
      <w:pPr>
        <w:ind w:right="100" w:firstLine="417"/>
        <w:spacing w:after="0" w:line="270" w:lineRule="auto"/>
        <w:rPr>
          <w:sz w:val="20"/>
          <w:szCs w:val="20"/>
          <w:color w:val="auto"/>
        </w:rPr>
      </w:pPr>
      <w:r>
        <w:rPr>
          <w:rFonts w:ascii="Times New Roman" w:cs="Times New Roman" w:eastAsia="Times New Roman" w:hAnsi="Times New Roman"/>
          <w:sz w:val="17"/>
          <w:szCs w:val="17"/>
          <w:color w:val="auto"/>
        </w:rPr>
        <w:t>11.43 “</w:t>
      </w:r>
      <w:r>
        <w:rPr>
          <w:rFonts w:ascii="Times New Roman" w:cs="Times New Roman" w:eastAsia="Times New Roman" w:hAnsi="Times New Roman"/>
          <w:sz w:val="17"/>
          <w:szCs w:val="17"/>
          <w:b w:val="1"/>
          <w:bCs w:val="1"/>
          <w:i w:val="1"/>
          <w:iCs w:val="1"/>
          <w:color w:val="auto"/>
        </w:rPr>
        <w:t>Substitute Awards</w:t>
      </w:r>
      <w:r>
        <w:rPr>
          <w:rFonts w:ascii="Times New Roman" w:cs="Times New Roman" w:eastAsia="Times New Roman" w:hAnsi="Times New Roman"/>
          <w:sz w:val="17"/>
          <w:szCs w:val="17"/>
          <w:color w:val="auto"/>
        </w:rPr>
        <w:t>” means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11.44 “</w:t>
      </w:r>
      <w:r>
        <w:rPr>
          <w:rFonts w:ascii="Times New Roman" w:cs="Times New Roman" w:eastAsia="Times New Roman" w:hAnsi="Times New Roman"/>
          <w:sz w:val="17"/>
          <w:szCs w:val="17"/>
          <w:b w:val="1"/>
          <w:bCs w:val="1"/>
          <w:i w:val="1"/>
          <w:iCs w:val="1"/>
          <w:color w:val="auto"/>
        </w:rPr>
        <w:t>Termination of Service</w:t>
      </w:r>
      <w:r>
        <w:rPr>
          <w:rFonts w:ascii="Times New Roman" w:cs="Times New Roman" w:eastAsia="Times New Roman" w:hAnsi="Times New Roman"/>
          <w:sz w:val="17"/>
          <w:szCs w:val="17"/>
          <w:color w:val="auto"/>
        </w:rPr>
        <w:t>” means the date the Participant ceases to be a Service Provider.</w:t>
      </w: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 * * * *</w:t>
      </w:r>
    </w:p>
    <w:p>
      <w:pPr>
        <w:spacing w:after="0" w:line="1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0340"/>
          </w:cols>
          <w:pgMar w:left="740" w:top="257" w:right="819" w:bottom="1440" w:gutter="0" w:footer="0" w:header="0"/>
        </w:sectPr>
      </w:pPr>
    </w:p>
    <w:bookmarkStart w:id="387" w:name="page388"/>
    <w:bookmarkEnd w:id="387"/>
    <w:p>
      <w:pPr>
        <w:ind w:left="43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BOUNDLESS BIO,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6628765" cy="40576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4">
                      <a:extLst>
                        <a:ext uri="{28A0092B-C50C-407E-A947-70E740481C1C}"/>
                      </a:extLst>
                    </a:blip>
                    <a:srcRect/>
                    <a:stretch>
                      <a:fillRect/>
                    </a:stretch>
                  </pic:blipFill>
                  <pic:spPr bwMode="auto">
                    <a:xfrm>
                      <a:off x="0" y="0"/>
                      <a:ext cx="6628765" cy="405765"/>
                    </a:xfrm>
                    <a:prstGeom prst="rect">
                      <a:avLst/>
                    </a:prstGeom>
                    <a:noFill/>
                  </pic:spPr>
                </pic:pic>
              </a:graphicData>
            </a:graphic>
          </wp:anchor>
        </w:drawing>
      </w:r>
    </w:p>
    <w:p>
      <w:pPr>
        <w:spacing w:after="0" w:line="1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2024 INCENTIVE AWARD PLAN</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UNIT GRANT NOTICE</w:t>
      </w:r>
    </w:p>
    <w:p>
      <w:pPr>
        <w:spacing w:after="0" w:line="211" w:lineRule="exact"/>
        <w:rPr>
          <w:sz w:val="20"/>
          <w:szCs w:val="20"/>
          <w:color w:val="auto"/>
        </w:rPr>
      </w:pPr>
    </w:p>
    <w:p>
      <w:pPr>
        <w:ind w:right="100" w:firstLine="417"/>
        <w:spacing w:after="0" w:line="290" w:lineRule="auto"/>
        <w:rPr>
          <w:sz w:val="20"/>
          <w:szCs w:val="20"/>
          <w:color w:val="auto"/>
        </w:rPr>
      </w:pPr>
      <w:r>
        <w:rPr>
          <w:rFonts w:ascii="Times New Roman" w:cs="Times New Roman" w:eastAsia="Times New Roman" w:hAnsi="Times New Roman"/>
          <w:sz w:val="17"/>
          <w:szCs w:val="17"/>
          <w:color w:val="auto"/>
        </w:rPr>
        <w:t>Capitalized terms not specifically defined in this Restricted Stock Unit Grant Notice (the “</w:t>
      </w:r>
      <w:r>
        <w:rPr>
          <w:rFonts w:ascii="Times New Roman" w:cs="Times New Roman" w:eastAsia="Times New Roman" w:hAnsi="Times New Roman"/>
          <w:sz w:val="17"/>
          <w:szCs w:val="17"/>
          <w:b w:val="1"/>
          <w:bCs w:val="1"/>
          <w:i w:val="1"/>
          <w:iCs w:val="1"/>
          <w:color w:val="auto"/>
        </w:rPr>
        <w:t>Grant Notice</w:t>
      </w:r>
      <w:r>
        <w:rPr>
          <w:rFonts w:ascii="Times New Roman" w:cs="Times New Roman" w:eastAsia="Times New Roman" w:hAnsi="Times New Roman"/>
          <w:sz w:val="17"/>
          <w:szCs w:val="17"/>
          <w:color w:val="auto"/>
        </w:rPr>
        <w:t>”) have the meanings given to them in the 2024 Incentive Award Plan (as amended from time to time,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of Boundless Bio,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jc w:val="both"/>
        <w:ind w:firstLine="417"/>
        <w:spacing w:after="0" w:line="270" w:lineRule="auto"/>
        <w:rPr>
          <w:sz w:val="20"/>
          <w:szCs w:val="20"/>
          <w:color w:val="auto"/>
        </w:rPr>
      </w:pPr>
      <w:r>
        <w:rPr>
          <w:rFonts w:ascii="Times New Roman" w:cs="Times New Roman" w:eastAsia="Times New Roman" w:hAnsi="Times New Roman"/>
          <w:sz w:val="17"/>
          <w:szCs w:val="17"/>
          <w:color w:val="auto"/>
        </w:rPr>
        <w:t>The Company hereby grants to the participant listed below (“</w:t>
      </w:r>
      <w:r>
        <w:rPr>
          <w:rFonts w:ascii="Times New Roman" w:cs="Times New Roman" w:eastAsia="Times New Roman" w:hAnsi="Times New Roman"/>
          <w:sz w:val="17"/>
          <w:szCs w:val="17"/>
          <w:b w:val="1"/>
          <w:bCs w:val="1"/>
          <w:i w:val="1"/>
          <w:iCs w:val="1"/>
          <w:color w:val="auto"/>
        </w:rPr>
        <w:t>Participant</w:t>
      </w:r>
      <w:r>
        <w:rPr>
          <w:rFonts w:ascii="Times New Roman" w:cs="Times New Roman" w:eastAsia="Times New Roman" w:hAnsi="Times New Roman"/>
          <w:sz w:val="17"/>
          <w:szCs w:val="17"/>
          <w:color w:val="auto"/>
        </w:rPr>
        <w:t>”) the Restricted Stock Units described in this Grant Notice (the “</w:t>
      </w:r>
      <w:r>
        <w:rPr>
          <w:rFonts w:ascii="Times New Roman" w:cs="Times New Roman" w:eastAsia="Times New Roman" w:hAnsi="Times New Roman"/>
          <w:sz w:val="17"/>
          <w:szCs w:val="17"/>
          <w:b w:val="1"/>
          <w:bCs w:val="1"/>
          <w:i w:val="1"/>
          <w:iCs w:val="1"/>
          <w:color w:val="auto"/>
        </w:rPr>
        <w:t>RSUs</w:t>
      </w:r>
      <w:r>
        <w:rPr>
          <w:rFonts w:ascii="Times New Roman" w:cs="Times New Roman" w:eastAsia="Times New Roman" w:hAnsi="Times New Roman"/>
          <w:sz w:val="17"/>
          <w:szCs w:val="17"/>
          <w:color w:val="auto"/>
        </w:rPr>
        <w:t xml:space="preserve">”), subject to the terms and conditions of the Plan and the Restricted Stock Unit Agreement attached hereto as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both of which are incorporated into this Grant Notice by reference.</w:t>
      </w:r>
    </w:p>
    <w:p>
      <w:pPr>
        <w:sectPr>
          <w:pgSz w:w="11900" w:h="16838" w:orient="portrait"/>
          <w:cols w:equalWidth="0" w:num="1">
            <w:col w:w="10420"/>
          </w:cols>
          <w:pgMar w:left="740" w:top="273" w:right="739" w:bottom="1440" w:gutter="0" w:footer="0" w:header="0"/>
        </w:sectPr>
      </w:pP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Participant: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[Insert Participant Name]</w:t>
      </w:r>
    </w:p>
    <w:p>
      <w:pPr>
        <w:spacing w:after="0" w:line="122" w:lineRule="exact"/>
        <w:rPr>
          <w:sz w:val="20"/>
          <w:szCs w:val="20"/>
          <w:color w:val="auto"/>
        </w:rPr>
      </w:pPr>
    </w:p>
    <w:p>
      <w:pPr>
        <w:sectPr>
          <w:pgSz w:w="11900" w:h="16838" w:orient="portrait"/>
          <w:cols w:equalWidth="0" w:num="2">
            <w:col w:w="2300" w:space="720"/>
            <w:col w:w="7400"/>
          </w:cols>
          <w:pgMar w:left="740" w:top="273" w:right="7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[Insert Grant Date]</w:t>
      </w:r>
    </w:p>
    <w:p>
      <w:pPr>
        <w:spacing w:after="0" w:line="111" w:lineRule="exact"/>
        <w:rPr>
          <w:sz w:val="20"/>
          <w:szCs w:val="20"/>
          <w:color w:val="auto"/>
        </w:rPr>
      </w:pPr>
    </w:p>
    <w:p>
      <w:pPr>
        <w:sectPr>
          <w:pgSz w:w="11900" w:h="16838" w:orient="portrait"/>
          <w:cols w:equalWidth="0" w:num="2">
            <w:col w:w="2300" w:space="720"/>
            <w:col w:w="7400"/>
          </w:cols>
          <w:pgMar w:left="740" w:top="273" w:right="7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Number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[Insert Number of RSUs]</w:t>
      </w:r>
    </w:p>
    <w:p>
      <w:pPr>
        <w:spacing w:after="0" w:line="111" w:lineRule="exact"/>
        <w:rPr>
          <w:sz w:val="20"/>
          <w:szCs w:val="20"/>
          <w:color w:val="auto"/>
        </w:rPr>
      </w:pPr>
    </w:p>
    <w:p>
      <w:pPr>
        <w:sectPr>
          <w:pgSz w:w="11900" w:h="16838" w:orient="portrait"/>
          <w:cols w:equalWidth="0" w:num="2">
            <w:col w:w="2300" w:space="720"/>
            <w:col w:w="7400"/>
          </w:cols>
          <w:pgMar w:left="740" w:top="273" w:right="7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i w:val="1"/>
          <w:iCs w:val="1"/>
          <w:color w:val="auto"/>
        </w:rPr>
        <w:t>[Insert Vesting Commencement Date]</w:t>
      </w:r>
    </w:p>
    <w:p>
      <w:pPr>
        <w:spacing w:after="0" w:line="123" w:lineRule="exact"/>
        <w:rPr>
          <w:sz w:val="20"/>
          <w:szCs w:val="20"/>
          <w:color w:val="auto"/>
        </w:rPr>
      </w:pPr>
    </w:p>
    <w:p>
      <w:pPr>
        <w:sectPr>
          <w:pgSz w:w="11900" w:h="16838" w:orient="portrait"/>
          <w:cols w:equalWidth="0" w:num="2">
            <w:col w:w="2300" w:space="720"/>
            <w:col w:w="7400"/>
          </w:cols>
          <w:pgMar w:left="740" w:top="273" w:right="7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i w:val="1"/>
          <w:iCs w:val="1"/>
          <w:color w:val="auto"/>
        </w:rPr>
        <w:t>[Insert Vesting Schedule]</w:t>
      </w:r>
    </w:p>
    <w:p>
      <w:pPr>
        <w:spacing w:after="0" w:line="200" w:lineRule="exact"/>
        <w:rPr>
          <w:sz w:val="20"/>
          <w:szCs w:val="20"/>
          <w:color w:val="auto"/>
        </w:rPr>
      </w:pPr>
    </w:p>
    <w:p>
      <w:pPr>
        <w:sectPr>
          <w:pgSz w:w="11900" w:h="16838" w:orient="portrait"/>
          <w:cols w:equalWidth="0" w:num="2">
            <w:col w:w="2300" w:space="720"/>
            <w:col w:w="7400"/>
          </w:cols>
          <w:pgMar w:left="740" w:top="273" w:right="739" w:bottom="1440" w:gutter="0" w:footer="0" w:header="0"/>
          <w:type w:val="continuous"/>
        </w:sectPr>
      </w:pPr>
    </w:p>
    <w:p>
      <w:pPr>
        <w:spacing w:after="0" w:line="29" w:lineRule="exact"/>
        <w:rPr>
          <w:sz w:val="20"/>
          <w:szCs w:val="20"/>
          <w:color w:val="auto"/>
        </w:rPr>
      </w:pPr>
    </w:p>
    <w:p>
      <w:pPr>
        <w:ind w:right="60" w:firstLine="417"/>
        <w:spacing w:after="0" w:line="267" w:lineRule="auto"/>
        <w:rPr>
          <w:sz w:val="20"/>
          <w:szCs w:val="20"/>
          <w:color w:val="auto"/>
        </w:rPr>
      </w:pPr>
      <w:r>
        <w:rPr>
          <w:rFonts w:ascii="Times New Roman" w:cs="Times New Roman" w:eastAsia="Times New Roman" w:hAnsi="Times New Roman"/>
          <w:sz w:val="17"/>
          <w:szCs w:val="17"/>
          <w:color w:val="auto"/>
        </w:rPr>
        <w:t>If the Company uses an electronic capitalization table system (such as E*Trade, Shareworks or Carta) and the fields in this Grant Notice are blank or the information is otherwise provided in a different format electronically, the blank fields and other information will be deemed to come from the electronic capitalization system and is considered part of this Grant Notice.</w:t>
      </w:r>
    </w:p>
    <w:p>
      <w:pPr>
        <w:spacing w:after="0" w:line="165" w:lineRule="exact"/>
        <w:rPr>
          <w:sz w:val="20"/>
          <w:szCs w:val="20"/>
          <w:color w:val="auto"/>
        </w:rPr>
      </w:pPr>
    </w:p>
    <w:p>
      <w:pPr>
        <w:ind w:right="100" w:firstLine="417"/>
        <w:spacing w:after="0" w:line="257" w:lineRule="auto"/>
        <w:rPr>
          <w:sz w:val="20"/>
          <w:szCs w:val="20"/>
          <w:color w:val="auto"/>
        </w:rPr>
      </w:pPr>
      <w:r>
        <w:rPr>
          <w:rFonts w:ascii="Times New Roman" w:cs="Times New Roman" w:eastAsia="Times New Roman" w:hAnsi="Times New Roman"/>
          <w:sz w:val="17"/>
          <w:szCs w:val="17"/>
          <w:color w:val="auto"/>
        </w:rPr>
        <w:t>By accepting (whether in writing, electronically or otherwise, including an acceptance through an electronic capitalization table system used by the Company) the RSUs, Participant agrees to be bound by the terms of this Grant Notice, the Plan and the Agreement. Participant has reviewed the Plan, this Grant Notice and the Agreement in their entirety, has received a copy of the prospectus for the Plan,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171" w:lineRule="exact"/>
        <w:rPr>
          <w:sz w:val="20"/>
          <w:szCs w:val="20"/>
          <w:color w:val="auto"/>
        </w:rPr>
      </w:pPr>
    </w:p>
    <w:p>
      <w:pPr>
        <w:ind w:right="60" w:firstLine="417"/>
        <w:spacing w:after="0" w:line="256" w:lineRule="auto"/>
        <w:rPr>
          <w:sz w:val="20"/>
          <w:szCs w:val="20"/>
          <w:color w:val="auto"/>
        </w:rPr>
      </w:pPr>
      <w:r>
        <w:rPr>
          <w:rFonts w:ascii="Times New Roman" w:cs="Times New Roman" w:eastAsia="Times New Roman" w:hAnsi="Times New Roman"/>
          <w:sz w:val="17"/>
          <w:szCs w:val="17"/>
          <w:i w:val="1"/>
          <w:iCs w:val="1"/>
          <w:color w:val="auto"/>
        </w:rPr>
        <w:t>Internet Availability of Plan Materials</w:t>
      </w:r>
      <w:r>
        <w:rPr>
          <w:rFonts w:ascii="Times New Roman" w:cs="Times New Roman" w:eastAsia="Times New Roman" w:hAnsi="Times New Roman"/>
          <w:sz w:val="17"/>
          <w:szCs w:val="17"/>
          <w:color w:val="auto"/>
        </w:rPr>
        <w:t>. The Company will furnish Plan materials (including the Plan, prospectus, annual report on Form 10-K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proxy statement and other information provided to the Company’s stockholders) relating to the Plan to Participant electronically, instead of mailing printed copies of these materials to each person eligible to participate in the plans. This process is designed to expedite Participant’s receipt of the plan materials, reduce the costs of printing and distributing these materials, and help conserve natural resources. These materials are available through the Company’s electronic capitalization table system (such as E*Trade, Shareworks or Carta) and the annual report on Form 10-K and proxy statement and other information provided to our stockholders is also available on the Company’s website at </w:t>
      </w:r>
      <w:r>
        <w:rPr>
          <w:rFonts w:ascii="Times New Roman" w:cs="Times New Roman" w:eastAsia="Times New Roman" w:hAnsi="Times New Roman"/>
          <w:sz w:val="17"/>
          <w:szCs w:val="17"/>
          <w:u w:val="single" w:color="auto"/>
          <w:color w:val="auto"/>
        </w:rPr>
        <w:t>https://boundlessbio.com/</w:t>
      </w:r>
      <w:r>
        <w:rPr>
          <w:rFonts w:ascii="Times New Roman" w:cs="Times New Roman" w:eastAsia="Times New Roman" w:hAnsi="Times New Roman"/>
          <w:sz w:val="17"/>
          <w:szCs w:val="17"/>
          <w:color w:val="auto"/>
        </w:rPr>
        <w:t>. However, if Participant would prefer to receive printed copies of the Plan materials or information provided to the Company’s stockholders without charge, please contact: Boundless Bio, Inc., Attn: Secretary, 9880 Campus Point Dr, Suite 120, San Diego, CA 92121, Telephone: (858) 766-9912, Email: info@boundlessbio.com.</w:t>
      </w:r>
    </w:p>
    <w:p>
      <w:pPr>
        <w:sectPr>
          <w:pgSz w:w="11900" w:h="16838" w:orient="portrait"/>
          <w:cols w:equalWidth="0" w:num="1">
            <w:col w:w="10420"/>
          </w:cols>
          <w:pgMar w:left="740" w:top="273" w:right="739" w:bottom="1440" w:gutter="0" w:footer="0" w:header="0"/>
          <w:type w:val="continuous"/>
        </w:sectPr>
      </w:pPr>
    </w:p>
    <w:bookmarkStart w:id="388" w:name="page389"/>
    <w:bookmarkEnd w:id="388"/>
    <w:tbl>
      <w:tblPr>
        <w:tblLayout w:type="fixed"/>
        <w:tblInd w:w="0" w:type="dxa"/>
        <w:tblCellMar>
          <w:top w:w="0" w:type="dxa"/>
          <w:left w:w="0" w:type="dxa"/>
          <w:bottom w:w="0" w:type="dxa"/>
          <w:right w:w="0" w:type="dxa"/>
        </w:tblCellMar>
      </w:tblPr>
      <w:tr>
        <w:trPr>
          <w:trHeight w:val="226"/>
        </w:trPr>
        <w:tc>
          <w:tcPr>
            <w:tcW w:w="50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BOUNDLESS BIO, INC.</w:t>
            </w:r>
          </w:p>
        </w:tc>
        <w:tc>
          <w:tcPr>
            <w:tcW w:w="534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PARTICIPANT</w:t>
            </w:r>
          </w:p>
        </w:tc>
      </w:tr>
      <w:tr>
        <w:trPr>
          <w:trHeight w:val="408"/>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     </w:t>
            </w:r>
          </w:p>
        </w:tc>
        <w:tc>
          <w:tcPr>
            <w:tcW w:w="53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By:</w:t>
            </w: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Print Name:</w:t>
            </w:r>
          </w:p>
        </w:tc>
        <w:tc>
          <w:tcPr>
            <w:tcW w:w="4060" w:type="dxa"/>
            <w:vAlign w:val="bottom"/>
            <w:tcBorders>
              <w:top w:val="single" w:sz="8" w:color="auto"/>
              <w:bottom w:val="single" w:sz="8" w:color="auto"/>
            </w:tcBorders>
          </w:tcPr>
          <w:p>
            <w:pPr>
              <w:spacing w:after="0"/>
              <w:rPr>
                <w:sz w:val="18"/>
                <w:szCs w:val="18"/>
                <w:color w:val="auto"/>
              </w:rPr>
            </w:pPr>
          </w:p>
        </w:tc>
        <w:tc>
          <w:tcPr>
            <w:tcW w:w="12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Print Name:</w:t>
            </w:r>
          </w:p>
        </w:tc>
        <w:tc>
          <w:tcPr>
            <w:tcW w:w="4060" w:type="dxa"/>
            <w:vAlign w:val="bottom"/>
            <w:tcBorders>
              <w:top w:val="single" w:sz="8" w:color="auto"/>
              <w:bottom w:val="single" w:sz="8" w:color="auto"/>
            </w:tcBorders>
          </w:tcPr>
          <w:p>
            <w:pPr>
              <w:spacing w:after="0"/>
              <w:rPr>
                <w:sz w:val="18"/>
                <w:szCs w:val="18"/>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060" w:type="dxa"/>
            <w:vAlign w:val="bottom"/>
            <w:tcBorders>
              <w:bottom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4060" w:type="dxa"/>
            <w:vAlign w:val="bottom"/>
          </w:tcPr>
          <w:p>
            <w:pPr>
              <w:spacing w:after="0"/>
              <w:rPr>
                <w:sz w:val="18"/>
                <w:szCs w:val="18"/>
                <w:color w:val="auto"/>
              </w:rPr>
            </w:pPr>
          </w:p>
        </w:tc>
      </w:tr>
    </w:tbl>
    <w:p>
      <w:pPr>
        <w:spacing w:after="0"/>
        <w:rPr>
          <w:sz w:val="20"/>
          <w:szCs w:val="20"/>
          <w:color w:val="auto"/>
        </w:rPr>
        <w:sectPr>
          <w:pgSz w:w="11900" w:h="16838" w:orient="portrait"/>
          <w:cols w:equalWidth="0" w:num="1">
            <w:col w:w="10420"/>
          </w:cols>
          <w:pgMar w:left="740" w:top="260" w:right="739" w:bottom="1440" w:gutter="0" w:footer="0" w:header="0"/>
        </w:sect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5">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p>
    <w:bookmarkStart w:id="389" w:name="page390"/>
    <w:bookmarkEnd w:id="389"/>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EXHIBIT A</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UNIT AGREEMENT</w:t>
      </w:r>
    </w:p>
    <w:p>
      <w:pPr>
        <w:spacing w:after="0" w:line="217" w:lineRule="exact"/>
        <w:rPr>
          <w:sz w:val="20"/>
          <w:szCs w:val="20"/>
          <w:color w:val="auto"/>
        </w:rPr>
      </w:pPr>
    </w:p>
    <w:p>
      <w:pPr>
        <w:ind w:firstLine="417"/>
        <w:spacing w:after="0" w:line="283" w:lineRule="auto"/>
        <w:rPr>
          <w:sz w:val="20"/>
          <w:szCs w:val="20"/>
          <w:color w:val="auto"/>
        </w:rPr>
      </w:pPr>
      <w:r>
        <w:rPr>
          <w:rFonts w:ascii="Times New Roman" w:cs="Times New Roman" w:eastAsia="Times New Roman" w:hAnsi="Times New Roman"/>
          <w:sz w:val="17"/>
          <w:szCs w:val="17"/>
          <w:color w:val="auto"/>
        </w:rPr>
        <w:t>Capitalized terms not specifically defined in this Agreement have the meanings specified in the Grant Notice or, if not defined in the Grant Notice, in the Plan.</w:t>
      </w:r>
    </w:p>
    <w:p>
      <w:pPr>
        <w:spacing w:after="0" w:line="35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3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90" w:lineRule="exact"/>
        <w:rPr>
          <w:sz w:val="20"/>
          <w:szCs w:val="20"/>
          <w:color w:val="auto"/>
        </w:rPr>
      </w:pPr>
    </w:p>
    <w:p>
      <w:pPr>
        <w:ind w:right="360" w:firstLine="417"/>
        <w:spacing w:after="0" w:line="270"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Award of RSUs</w:t>
      </w:r>
      <w:r>
        <w:rPr>
          <w:rFonts w:ascii="Times New Roman" w:cs="Times New Roman" w:eastAsia="Times New Roman" w:hAnsi="Times New Roman"/>
          <w:sz w:val="17"/>
          <w:szCs w:val="17"/>
          <w:color w:val="auto"/>
        </w:rPr>
        <w:t>. The Company has granted the RSUs to Participant effective as of the grant date set forth in the Grant Notice (the “</w:t>
      </w:r>
      <w:r>
        <w:rPr>
          <w:rFonts w:ascii="Times New Roman" w:cs="Times New Roman" w:eastAsia="Times New Roman" w:hAnsi="Times New Roman"/>
          <w:sz w:val="17"/>
          <w:szCs w:val="17"/>
          <w:b w:val="1"/>
          <w:bCs w:val="1"/>
          <w:i w:val="1"/>
          <w:iCs w:val="1"/>
          <w:color w:val="auto"/>
        </w:rPr>
        <w:t>Grant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Date</w:t>
      </w:r>
      <w:r>
        <w:rPr>
          <w:rFonts w:ascii="Times New Roman" w:cs="Times New Roman" w:eastAsia="Times New Roman" w:hAnsi="Times New Roman"/>
          <w:sz w:val="17"/>
          <w:szCs w:val="17"/>
          <w:color w:val="auto"/>
        </w:rPr>
        <w:t>”). Each RSU represents the right to receive one Share, as set forth in this Agreement. Participant will have no right to the distribution of 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Shares until the time (if ever) the RSUs have vested.</w:t>
      </w:r>
    </w:p>
    <w:p>
      <w:pPr>
        <w:spacing w:after="0" w:line="164" w:lineRule="exact"/>
        <w:rPr>
          <w:sz w:val="20"/>
          <w:szCs w:val="20"/>
          <w:color w:val="auto"/>
        </w:rPr>
      </w:pPr>
    </w:p>
    <w:p>
      <w:pPr>
        <w:ind w:right="780" w:firstLine="417"/>
        <w:spacing w:after="0" w:line="315" w:lineRule="auto"/>
        <w:rPr>
          <w:sz w:val="20"/>
          <w:szCs w:val="20"/>
          <w:color w:val="auto"/>
        </w:rPr>
      </w:pPr>
      <w:r>
        <w:rPr>
          <w:rFonts w:ascii="Times New Roman" w:cs="Times New Roman" w:eastAsia="Times New Roman" w:hAnsi="Times New Roman"/>
          <w:sz w:val="16"/>
          <w:szCs w:val="16"/>
          <w:color w:val="auto"/>
        </w:rPr>
        <w:t xml:space="preserve">1.2 </w:t>
      </w:r>
      <w:r>
        <w:rPr>
          <w:rFonts w:ascii="Times New Roman" w:cs="Times New Roman" w:eastAsia="Times New Roman" w:hAnsi="Times New Roman"/>
          <w:sz w:val="16"/>
          <w:szCs w:val="16"/>
          <w:u w:val="single" w:color="auto"/>
          <w:color w:val="auto"/>
        </w:rPr>
        <w:t>Incorporation of Terms of Plan</w:t>
      </w:r>
      <w:r>
        <w:rPr>
          <w:rFonts w:ascii="Times New Roman" w:cs="Times New Roman" w:eastAsia="Times New Roman" w:hAnsi="Times New Roman"/>
          <w:sz w:val="16"/>
          <w:szCs w:val="16"/>
          <w:color w:val="auto"/>
        </w:rPr>
        <w:t>. The RSUs are subject to the terms and conditions set forth in this Agreement and the Plan, which is incorporated herein by reference. In the event of any inconsistency between the Plan and this Agreement, the terms of the Plan will control.</w:t>
      </w:r>
    </w:p>
    <w:p>
      <w:pPr>
        <w:spacing w:after="0" w:line="130" w:lineRule="exact"/>
        <w:rPr>
          <w:sz w:val="20"/>
          <w:szCs w:val="20"/>
          <w:color w:val="auto"/>
        </w:rPr>
      </w:pPr>
    </w:p>
    <w:p>
      <w:pPr>
        <w:ind w:right="640" w:firstLine="417"/>
        <w:spacing w:after="0" w:line="283"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u w:val="single" w:color="auto"/>
          <w:color w:val="auto"/>
        </w:rPr>
        <w:t>Unsecured Promise</w:t>
      </w:r>
      <w:r>
        <w:rPr>
          <w:rFonts w:ascii="Times New Roman" w:cs="Times New Roman" w:eastAsia="Times New Roman" w:hAnsi="Times New Roman"/>
          <w:sz w:val="17"/>
          <w:szCs w:val="17"/>
          <w:color w:val="auto"/>
        </w:rPr>
        <w:t>. The RSUs will at all times prior to settlement represent an unsecured Company obligation payable only from the Company’s general assets.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VESTING; FORFEITURE AND SETTLEMENT</w:t>
      </w:r>
    </w:p>
    <w:p>
      <w:pPr>
        <w:spacing w:after="0" w:line="190" w:lineRule="exact"/>
        <w:rPr>
          <w:sz w:val="20"/>
          <w:szCs w:val="20"/>
          <w:color w:val="auto"/>
        </w:rPr>
      </w:pPr>
    </w:p>
    <w:p>
      <w:pPr>
        <w:ind w:firstLine="417"/>
        <w:spacing w:after="0" w:line="258" w:lineRule="auto"/>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Vesting; Forfeiture</w:t>
      </w:r>
      <w:r>
        <w:rPr>
          <w:rFonts w:ascii="Times New Roman" w:cs="Times New Roman" w:eastAsia="Times New Roman" w:hAnsi="Times New Roman"/>
          <w:sz w:val="17"/>
          <w:szCs w:val="17"/>
          <w:color w:val="auto"/>
        </w:rPr>
        <w:t>. The RSUs will vest according to the vesting schedule in the Grant Notice (the “</w:t>
      </w:r>
      <w:r>
        <w:rPr>
          <w:rFonts w:ascii="Times New Roman" w:cs="Times New Roman" w:eastAsia="Times New Roman" w:hAnsi="Times New Roman"/>
          <w:sz w:val="17"/>
          <w:szCs w:val="17"/>
          <w:b w:val="1"/>
          <w:bCs w:val="1"/>
          <w:i w:val="1"/>
          <w:iCs w:val="1"/>
          <w:color w:val="auto"/>
        </w:rPr>
        <w:t>Vesting Schedule</w:t>
      </w:r>
      <w:r>
        <w:rPr>
          <w:rFonts w:ascii="Times New Roman" w:cs="Times New Roman" w:eastAsia="Times New Roman" w:hAnsi="Times New Roman"/>
          <w:sz w:val="17"/>
          <w:szCs w:val="17"/>
          <w:color w:val="auto"/>
        </w:rPr>
        <w:t>”), except that any fraction of an RSU that would otherwise be vested will be accumulated and will vest only when a whole RSU has accumulated. Except as provided in the Grant Notice, in the event of Participant’s Termination of Service for any reason, all unvested RSUs will immediately and automatically be cancelled and forfeited, except as otherwise determined by the Administrator or provided in a binding written agreement between Participant and the Company. Unless and until the RSUs have vested in accordance with the Vesting Schedule set forth in the Grant Notice, Participant will have no right to any distribution with respect to such RSUs.</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u w:val="single" w:color="auto"/>
          <w:color w:val="auto"/>
        </w:rPr>
        <w:t>Settlement</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ind w:right="140" w:firstLine="929"/>
        <w:spacing w:after="0" w:line="259" w:lineRule="auto"/>
        <w:tabs>
          <w:tab w:leader="none" w:pos="1170" w:val="left"/>
        </w:tabs>
        <w:numPr>
          <w:ilvl w:val="0"/>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RSUs will be paid in Shares as soon as administratively practicable after the vesting of the applicable RSU, but in no event more than sixty (60) days after the applicable vesting date. 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 (b)(7)(ii)), provided the Company reasonably believes the delay will not result in the imposition of excise taxes under Section 409A.</w:t>
      </w:r>
    </w:p>
    <w:p>
      <w:pPr>
        <w:spacing w:after="0" w:line="171" w:lineRule="exact"/>
        <w:rPr>
          <w:rFonts w:ascii="Times New Roman" w:cs="Times New Roman" w:eastAsia="Times New Roman" w:hAnsi="Times New Roman"/>
          <w:sz w:val="17"/>
          <w:szCs w:val="17"/>
          <w:color w:val="auto"/>
        </w:rPr>
      </w:pPr>
    </w:p>
    <w:p>
      <w:pPr>
        <w:ind w:left="1180" w:hanging="251"/>
        <w:spacing w:after="0"/>
        <w:tabs>
          <w:tab w:leader="none" w:pos="1180" w:val="left"/>
        </w:tabs>
        <w:numPr>
          <w:ilvl w:val="0"/>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distributions shall be made by the Company in the form of whole shares of Common Stock.</w:t>
      </w:r>
    </w:p>
    <w:p>
      <w:pPr>
        <w:spacing w:after="0" w:line="213" w:lineRule="exact"/>
        <w:rPr>
          <w:rFonts w:ascii="Times New Roman" w:cs="Times New Roman" w:eastAsia="Times New Roman" w:hAnsi="Times New Roman"/>
          <w:sz w:val="17"/>
          <w:szCs w:val="17"/>
          <w:color w:val="auto"/>
        </w:rPr>
      </w:pPr>
    </w:p>
    <w:p>
      <w:pPr>
        <w:ind w:right="500" w:firstLine="929"/>
        <w:spacing w:after="0" w:line="283" w:lineRule="auto"/>
        <w:tabs>
          <w:tab w:leader="none" w:pos="1170" w:val="left"/>
        </w:tabs>
        <w:numPr>
          <w:ilvl w:val="0"/>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time nor form of distribution of Shares with respect to the RSUs may be changed, except as may be permitted by the Administrator in accordance with the Plan and Section 409A of the Code and the Treasury Regulations thereunder.</w:t>
      </w:r>
    </w:p>
    <w:p>
      <w:pPr>
        <w:sectPr>
          <w:pgSz w:w="11900" w:h="16838" w:orient="portrait"/>
          <w:cols w:equalWidth="0" w:num="1">
            <w:col w:w="10400"/>
          </w:cols>
          <w:pgMar w:left="740" w:top="260" w:right="759" w:bottom="1440" w:gutter="0" w:footer="0" w:header="0"/>
        </w:sectPr>
      </w:pPr>
    </w:p>
    <w:bookmarkStart w:id="390" w:name="page391"/>
    <w:bookmarkEnd w:id="39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ARTICLE III.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TAXATION AND TAX WITHHOLDING</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Tax Withholding</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ind w:right="120" w:firstLine="929"/>
        <w:spacing w:after="0" w:line="256" w:lineRule="auto"/>
        <w:tabs>
          <w:tab w:leader="none" w:pos="1170" w:val="left"/>
        </w:tabs>
        <w:numPr>
          <w:ilvl w:val="0"/>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 be obligated to deliver any certificate representing Shares issuable with respect to the RSUs to Participant or his or her legal representative unless and until Participant or his or her legal representative will have paid or otherwise satisfied in full the amount of all federal, state, local and foreign taxes required by Applicable Law to be withheld in connection with the vesting, exercise or settlement of the RSUs, the distribution of the Shares issuable with respect thereto, or any other taxable event related to the RSUs (the “</w:t>
      </w:r>
      <w:r>
        <w:rPr>
          <w:rFonts w:ascii="Times New Roman" w:cs="Times New Roman" w:eastAsia="Times New Roman" w:hAnsi="Times New Roman"/>
          <w:sz w:val="17"/>
          <w:szCs w:val="17"/>
          <w:b w:val="1"/>
          <w:bCs w:val="1"/>
          <w:i w:val="1"/>
          <w:iCs w:val="1"/>
          <w:color w:val="auto"/>
        </w:rPr>
        <w:t>Tax Withholding Obligation</w:t>
      </w:r>
      <w:r>
        <w:rPr>
          <w:rFonts w:ascii="Times New Roman" w:cs="Times New Roman" w:eastAsia="Times New Roman" w:hAnsi="Times New Roman"/>
          <w:sz w:val="17"/>
          <w:szCs w:val="17"/>
          <w:color w:val="auto"/>
        </w:rPr>
        <w:t>”). Subject to Section 9.5 of the Plan, the Company will have the authority and the right to deduct or withhold, or require Participant to remit to the Company, an amount sufficient to satisfy any Tax Withholding Obligation, including, without limitation, the authority to deduct such amounts from other compensation payable to Participant by the Company.</w:t>
      </w:r>
    </w:p>
    <w:p>
      <w:pPr>
        <w:spacing w:after="0" w:line="175" w:lineRule="exact"/>
        <w:rPr>
          <w:rFonts w:ascii="Times New Roman" w:cs="Times New Roman" w:eastAsia="Times New Roman" w:hAnsi="Times New Roman"/>
          <w:sz w:val="17"/>
          <w:szCs w:val="17"/>
          <w:color w:val="auto"/>
        </w:rPr>
      </w:pPr>
    </w:p>
    <w:p>
      <w:pPr>
        <w:ind w:firstLine="929"/>
        <w:spacing w:after="0" w:line="256" w:lineRule="auto"/>
        <w:tabs>
          <w:tab w:leader="none" w:pos="1180" w:val="left"/>
        </w:tabs>
        <w:numPr>
          <w:ilvl w:val="0"/>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Participant elects to satisfy the Tax Withholding Obligation by some other means in accordance with Section 9.5 of the Plan, the Company will have the right, but not the obligation, with respect to the Tax Withholding Obligation arising as a result of the vesting, exercise or settlement of the RSUs, to treat Participant’s failure to provide timely payment in accordance with Section 9.5 of the Plan as Participant’s election to satisfy the Tax Withholding Obligation by requesting the Company to withhold a net number of vested Shares otherwise issuable pursuant to the RSUs having a then-current fair market value not exceeding the amount necessary to satisfy the Tax Withholding Obligation (provided that if Participant is subject to Section 16 of the Exchange Act, any such action by the Company will require the approval of the Administrator) in accordance with Section 9.5 of the Plan.</w:t>
      </w:r>
    </w:p>
    <w:p>
      <w:pPr>
        <w:spacing w:after="0" w:line="176" w:lineRule="exact"/>
        <w:rPr>
          <w:sz w:val="20"/>
          <w:szCs w:val="20"/>
          <w:color w:val="auto"/>
        </w:rPr>
      </w:pPr>
    </w:p>
    <w:p>
      <w:pPr>
        <w:ind w:right="100" w:firstLine="417"/>
        <w:spacing w:after="0" w:line="259"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Participant Responsibility; No Company Liability</w:t>
      </w:r>
      <w:r>
        <w:rPr>
          <w:rFonts w:ascii="Times New Roman" w:cs="Times New Roman" w:eastAsia="Times New Roman" w:hAnsi="Times New Roman"/>
          <w:sz w:val="17"/>
          <w:szCs w:val="17"/>
          <w:color w:val="auto"/>
        </w:rPr>
        <w:t>. Participant acknowledges that Participant is ultimately liable and responsible for all taxes owed in connection with the RSUs, regardless of any action the Company or any Subsidiary takes with respect to any Tax Withholding Obligations that arise in connection with the RSUs. Neither the Company nor any Subsidiary makes any representation or undertaking regarding the tax treatment to Participant in connection with the awarding, vesting or settlement of the RSUs or the subsequent sale of Shares. The Company and its Subsidiaries do not commit and are under no obligation to structure the RSUs to reduce or eliminate Participant’s tax liability.</w:t>
      </w:r>
    </w:p>
    <w:p>
      <w:pPr>
        <w:spacing w:after="0" w:line="172" w:lineRule="exact"/>
        <w:rPr>
          <w:sz w:val="20"/>
          <w:szCs w:val="20"/>
          <w:color w:val="auto"/>
        </w:rPr>
      </w:pPr>
    </w:p>
    <w:p>
      <w:pPr>
        <w:jc w:val="both"/>
        <w:ind w:right="120" w:firstLine="417"/>
        <w:spacing w:after="0" w:line="267"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u w:val="single" w:color="auto"/>
          <w:color w:val="auto"/>
        </w:rPr>
        <w:t>Representation</w:t>
      </w:r>
      <w:r>
        <w:rPr>
          <w:rFonts w:ascii="Times New Roman" w:cs="Times New Roman" w:eastAsia="Times New Roman" w:hAnsi="Times New Roman"/>
          <w:sz w:val="17"/>
          <w:szCs w:val="17"/>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PROVISIONS</w:t>
      </w:r>
    </w:p>
    <w:p>
      <w:pPr>
        <w:spacing w:after="0" w:line="196" w:lineRule="exact"/>
        <w:rPr>
          <w:sz w:val="20"/>
          <w:szCs w:val="20"/>
          <w:color w:val="auto"/>
        </w:rPr>
      </w:pPr>
    </w:p>
    <w:p>
      <w:pPr>
        <w:ind w:right="120" w:firstLine="417"/>
        <w:spacing w:after="0" w:line="261"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Award Not Transferable; Other Restrictions</w:t>
      </w:r>
      <w:r>
        <w:rPr>
          <w:rFonts w:ascii="Times New Roman" w:cs="Times New Roman" w:eastAsia="Times New Roman" w:hAnsi="Times New Roman"/>
          <w:sz w:val="17"/>
          <w:szCs w:val="17"/>
          <w:color w:val="auto"/>
        </w:rPr>
        <w:t>. Without limiting the generality of any other provision hereof, the Award will be subject to the restrictions on transferability set forth in Section 9.1 of the Plan. Without limiting the generality of any other provision hereof, Participant hereby expressly acknowledges that Section 10.8 (“</w:t>
      </w:r>
      <w:r>
        <w:rPr>
          <w:rFonts w:ascii="Times New Roman" w:cs="Times New Roman" w:eastAsia="Times New Roman" w:hAnsi="Times New Roman"/>
          <w:sz w:val="17"/>
          <w:szCs w:val="17"/>
          <w:b w:val="1"/>
          <w:bCs w:val="1"/>
          <w:i w:val="1"/>
          <w:iCs w:val="1"/>
          <w:color w:val="auto"/>
        </w:rPr>
        <w:t>Lock-Up Period</w:t>
      </w:r>
      <w:r>
        <w:rPr>
          <w:rFonts w:ascii="Times New Roman" w:cs="Times New Roman" w:eastAsia="Times New Roman" w:hAnsi="Times New Roman"/>
          <w:sz w:val="17"/>
          <w:szCs w:val="17"/>
          <w:color w:val="auto"/>
        </w:rPr>
        <w:t>”) of the Plan is expressly incorporated into this Agreement and is applicable to the Shares issued pursuant to this Agreement.</w:t>
      </w:r>
    </w:p>
    <w:p>
      <w:pPr>
        <w:spacing w:after="0" w:line="172" w:lineRule="exact"/>
        <w:rPr>
          <w:sz w:val="20"/>
          <w:szCs w:val="20"/>
          <w:color w:val="auto"/>
        </w:rPr>
      </w:pPr>
    </w:p>
    <w:p>
      <w:pPr>
        <w:ind w:right="20" w:firstLine="417"/>
        <w:spacing w:after="0" w:line="267"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Clawback Provisions</w:t>
      </w:r>
      <w:r>
        <w:rPr>
          <w:rFonts w:ascii="Times New Roman" w:cs="Times New Roman" w:eastAsia="Times New Roman" w:hAnsi="Times New Roman"/>
          <w:sz w:val="17"/>
          <w:szCs w:val="17"/>
          <w:color w:val="auto"/>
        </w:rPr>
        <w:t>. By executing this Agreement and accepting this Award, Participant agrees that all compensation received by Participant, including Awards under the Plan (including, without limitation, any proceeds, gains or other economic benefit actually or constructively received by Participant upon receipt of this Award or upon the receipt or resale of any Shares underlying this Award), shall be</w:t>
      </w:r>
    </w:p>
    <w:p>
      <w:pPr>
        <w:sectPr>
          <w:pgSz w:w="11900" w:h="16838" w:orient="portrait"/>
          <w:cols w:equalWidth="0" w:num="1">
            <w:col w:w="10420"/>
          </w:cols>
          <w:pgMar w:left="740" w:top="260" w:right="739" w:bottom="1440" w:gutter="0" w:footer="0" w:header="0"/>
        </w:sectPr>
      </w:pPr>
    </w:p>
    <w:bookmarkStart w:id="391" w:name="page392"/>
    <w:bookmarkEnd w:id="391"/>
    <w:p>
      <w:pPr>
        <w:ind w:right="40"/>
        <w:spacing w:after="0" w:line="25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subject to reduction, cancellation, forfeiture and/or recoupment to the extent necessary to comply with the Recovery Arrangements and Section 10.13 of the Plan, notwithstanding any other agreement to the contrary. Participant agrees that Participant is not entitled to indemnification in connection with any enforcement of the Recovery Arrangements and expressly waives any rights to such indemnification under the Company’s organizational documents or otherwise. By executing this Award Agreement, Participant agrees to take all required action in a reasonably prompt manner, as applicable, to enable the enforcement of the Recovery Arrangements and Section 10.13 of the Plan.</w:t>
      </w:r>
    </w:p>
    <w:p>
      <w:pPr>
        <w:spacing w:after="0" w:line="172" w:lineRule="exact"/>
        <w:rPr>
          <w:sz w:val="20"/>
          <w:szCs w:val="20"/>
          <w:color w:val="auto"/>
        </w:rPr>
      </w:pPr>
    </w:p>
    <w:p>
      <w:pPr>
        <w:ind w:right="640" w:firstLine="417"/>
        <w:spacing w:after="0" w:line="283" w:lineRule="auto"/>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u w:val="single" w:color="auto"/>
          <w:color w:val="auto"/>
        </w:rPr>
        <w:t>Adjustments</w:t>
      </w:r>
      <w:r>
        <w:rPr>
          <w:rFonts w:ascii="Times New Roman" w:cs="Times New Roman" w:eastAsia="Times New Roman" w:hAnsi="Times New Roman"/>
          <w:sz w:val="17"/>
          <w:szCs w:val="17"/>
          <w:color w:val="auto"/>
        </w:rPr>
        <w:t>. Participant acknowledges that the RSUs and the Shares subject to the RSUs are subject to adjustment, modification and termination in certain events as provided in this Agreement and the Plan.</w:t>
      </w:r>
    </w:p>
    <w:p>
      <w:pPr>
        <w:spacing w:after="0" w:line="152" w:lineRule="exact"/>
        <w:rPr>
          <w:sz w:val="20"/>
          <w:szCs w:val="20"/>
          <w:color w:val="auto"/>
        </w:rPr>
      </w:pPr>
    </w:p>
    <w:p>
      <w:pPr>
        <w:ind w:right="80" w:firstLine="417"/>
        <w:spacing w:after="0" w:line="256"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4.5 </w:t>
      </w:r>
      <w:r>
        <w:rPr>
          <w:rFonts w:ascii="Times New Roman" w:cs="Times New Roman" w:eastAsia="Times New Roman" w:hAnsi="Times New Roman"/>
          <w:sz w:val="17"/>
          <w:szCs w:val="17"/>
          <w:u w:val="single" w:color="auto"/>
          <w:color w:val="auto"/>
        </w:rPr>
        <w:t>Titles</w:t>
      </w:r>
      <w:r>
        <w:rPr>
          <w:rFonts w:ascii="Times New Roman" w:cs="Times New Roman" w:eastAsia="Times New Roman" w:hAnsi="Times New Roman"/>
          <w:sz w:val="17"/>
          <w:szCs w:val="17"/>
          <w:color w:val="auto"/>
        </w:rPr>
        <w:t>. Titles are provided herein for convenience only and are not to serve as a basis for interpretation or construction of this Agreement.</w:t>
      </w:r>
    </w:p>
    <w:p>
      <w:pPr>
        <w:spacing w:after="0" w:line="213" w:lineRule="exact"/>
        <w:rPr>
          <w:sz w:val="20"/>
          <w:szCs w:val="20"/>
          <w:color w:val="auto"/>
        </w:rPr>
      </w:pPr>
    </w:p>
    <w:p>
      <w:pPr>
        <w:ind w:right="220" w:firstLine="417"/>
        <w:spacing w:after="0" w:line="257" w:lineRule="auto"/>
        <w:rPr>
          <w:sz w:val="20"/>
          <w:szCs w:val="20"/>
          <w:color w:val="auto"/>
        </w:rPr>
      </w:pPr>
      <w:r>
        <w:rPr>
          <w:rFonts w:ascii="Times New Roman" w:cs="Times New Roman" w:eastAsia="Times New Roman" w:hAnsi="Times New Roman"/>
          <w:sz w:val="17"/>
          <w:szCs w:val="17"/>
          <w:color w:val="auto"/>
        </w:rPr>
        <w:t xml:space="preserve">4.6 </w:t>
      </w:r>
      <w:r>
        <w:rPr>
          <w:rFonts w:ascii="Times New Roman" w:cs="Times New Roman" w:eastAsia="Times New Roman" w:hAnsi="Times New Roman"/>
          <w:sz w:val="17"/>
          <w:szCs w:val="17"/>
          <w:u w:val="single" w:color="auto"/>
          <w:color w:val="auto"/>
        </w:rPr>
        <w:t>Conformity to Securities Laws</w:t>
      </w:r>
      <w:r>
        <w:rPr>
          <w:rFonts w:ascii="Times New Roman" w:cs="Times New Roman" w:eastAsia="Times New Roman" w:hAnsi="Times New Roman"/>
          <w:sz w:val="17"/>
          <w:szCs w:val="17"/>
          <w:color w:val="auto"/>
        </w:rPr>
        <w:t>. Notwithstanding any other provision of the Plan or this Agreement, if Participant is subject to Section 16 of the Exchange Act, the Plan, the Grant Notice, this Agreement and the RSUs will be subject to any additional limitations set forth in any applicable exemptive rule under Section 16 of the Exchange Act (including any amendment to Rule 16b-3) that are requirements for the application of such exemptive rule. Participant acknowledges that the Plan, the Grant Notice and this Agreement are intended to conform to the extent necessary with all Applicable Laws and, to the extent Applicable Laws permit, will be deemed amended to the extent necessary to conform to such Applicable Laws or any such exemptive rule described in the preceding sentence.</w:t>
      </w:r>
    </w:p>
    <w:p>
      <w:pPr>
        <w:spacing w:after="0" w:line="175" w:lineRule="exact"/>
        <w:rPr>
          <w:sz w:val="20"/>
          <w:szCs w:val="20"/>
          <w:color w:val="auto"/>
        </w:rPr>
      </w:pPr>
    </w:p>
    <w:p>
      <w:pPr>
        <w:jc w:val="both"/>
        <w:ind w:right="40" w:firstLine="417"/>
        <w:spacing w:after="0" w:line="267" w:lineRule="auto"/>
        <w:rPr>
          <w:sz w:val="20"/>
          <w:szCs w:val="20"/>
          <w:color w:val="auto"/>
        </w:rPr>
      </w:pPr>
      <w:r>
        <w:rPr>
          <w:rFonts w:ascii="Times New Roman" w:cs="Times New Roman" w:eastAsia="Times New Roman" w:hAnsi="Times New Roman"/>
          <w:sz w:val="17"/>
          <w:szCs w:val="17"/>
          <w:color w:val="auto"/>
        </w:rPr>
        <w:t xml:space="preserve">4.7 </w:t>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spacing w:after="0" w:line="165" w:lineRule="exact"/>
        <w:rPr>
          <w:sz w:val="20"/>
          <w:szCs w:val="20"/>
          <w:color w:val="auto"/>
        </w:rPr>
      </w:pPr>
    </w:p>
    <w:p>
      <w:pPr>
        <w:jc w:val="both"/>
        <w:ind w:firstLine="417"/>
        <w:spacing w:after="0" w:line="267" w:lineRule="auto"/>
        <w:rPr>
          <w:sz w:val="20"/>
          <w:szCs w:val="20"/>
          <w:color w:val="auto"/>
        </w:rPr>
      </w:pPr>
      <w:r>
        <w:rPr>
          <w:rFonts w:ascii="Times New Roman" w:cs="Times New Roman" w:eastAsia="Times New Roman" w:hAnsi="Times New Roman"/>
          <w:sz w:val="17"/>
          <w:szCs w:val="17"/>
          <w:color w:val="auto"/>
        </w:rPr>
        <w:t xml:space="preserve">4.8 </w:t>
      </w:r>
      <w:r>
        <w:rPr>
          <w:rFonts w:ascii="Times New Roman" w:cs="Times New Roman" w:eastAsia="Times New Roman" w:hAnsi="Times New Roman"/>
          <w:sz w:val="17"/>
          <w:szCs w:val="17"/>
          <w:u w:val="single" w:color="auto"/>
          <w:color w:val="auto"/>
        </w:rPr>
        <w:t>Entire Agreemen</w:t>
      </w:r>
      <w:r>
        <w:rPr>
          <w:rFonts w:ascii="Times New Roman" w:cs="Times New Roman" w:eastAsia="Times New Roman" w:hAnsi="Times New Roman"/>
          <w:sz w:val="17"/>
          <w:szCs w:val="17"/>
          <w:color w:val="auto"/>
        </w:rPr>
        <w:t>t. The Plan, the Grant Notice and this Agreement constitute the entire agreement of the parties and supersede in their entirety all prior undertakings and agreements of the Company and Participant with respect to the subject matter hereof. This Agreement may be amended by the Company in accordance with Section 9.6 of the Plan.</w:t>
      </w:r>
    </w:p>
    <w:p>
      <w:pPr>
        <w:spacing w:after="0" w:line="165" w:lineRule="exact"/>
        <w:rPr>
          <w:sz w:val="20"/>
          <w:szCs w:val="20"/>
          <w:color w:val="auto"/>
        </w:rPr>
      </w:pPr>
    </w:p>
    <w:p>
      <w:pPr>
        <w:ind w:right="80" w:firstLine="417"/>
        <w:spacing w:after="0" w:line="267" w:lineRule="auto"/>
        <w:rPr>
          <w:sz w:val="20"/>
          <w:szCs w:val="20"/>
          <w:color w:val="auto"/>
        </w:rPr>
      </w:pPr>
      <w:r>
        <w:rPr>
          <w:rFonts w:ascii="Times New Roman" w:cs="Times New Roman" w:eastAsia="Times New Roman" w:hAnsi="Times New Roman"/>
          <w:sz w:val="17"/>
          <w:szCs w:val="17"/>
          <w:color w:val="auto"/>
        </w:rPr>
        <w:t xml:space="preserve">4.9 </w:t>
      </w:r>
      <w:r>
        <w:rPr>
          <w:rFonts w:ascii="Times New Roman" w:cs="Times New Roman" w:eastAsia="Times New Roman" w:hAnsi="Times New Roman"/>
          <w:sz w:val="17"/>
          <w:szCs w:val="17"/>
          <w:u w:val="single" w:color="auto"/>
          <w:color w:val="auto"/>
        </w:rPr>
        <w:t>Agreement Severable</w:t>
      </w:r>
      <w:r>
        <w:rPr>
          <w:rFonts w:ascii="Times New Roman" w:cs="Times New Roman" w:eastAsia="Times New Roman" w:hAnsi="Times New Roman"/>
          <w:sz w:val="17"/>
          <w:szCs w:val="17"/>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ectPr>
          <w:pgSz w:w="11900" w:h="16838" w:orient="portrait"/>
          <w:cols w:equalWidth="0" w:num="1">
            <w:col w:w="10400"/>
          </w:cols>
          <w:pgMar w:left="740" w:top="264" w:right="759" w:bottom="1440" w:gutter="0" w:footer="0" w:header="0"/>
        </w:sectPr>
      </w:pPr>
    </w:p>
    <w:bookmarkStart w:id="392" w:name="page393"/>
    <w:bookmarkEnd w:id="392"/>
    <w:p>
      <w:pPr>
        <w:ind w:firstLine="417"/>
        <w:spacing w:after="0" w:line="25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4.10 </w:t>
      </w:r>
      <w:r>
        <w:rPr>
          <w:rFonts w:ascii="Times New Roman" w:cs="Times New Roman" w:eastAsia="Times New Roman" w:hAnsi="Times New Roman"/>
          <w:sz w:val="17"/>
          <w:szCs w:val="17"/>
          <w:u w:val="single" w:color="auto"/>
          <w:color w:val="auto"/>
        </w:rPr>
        <w:t>Limitation on Participant’s Rights</w:t>
      </w:r>
      <w:r>
        <w:rPr>
          <w:rFonts w:ascii="Times New Roman" w:cs="Times New Roman" w:eastAsia="Times New Roman" w:hAnsi="Times New Roman"/>
          <w:sz w:val="17"/>
          <w:szCs w:val="17"/>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rights no greater than the right to receive the Shares as a general unsecured creditor with respect to the RSUs, as and when settled pursuant to the terms of this Agreement.</w:t>
      </w:r>
    </w:p>
    <w:p>
      <w:pPr>
        <w:spacing w:after="0" w:line="172" w:lineRule="exact"/>
        <w:rPr>
          <w:sz w:val="20"/>
          <w:szCs w:val="20"/>
          <w:color w:val="auto"/>
        </w:rPr>
      </w:pPr>
    </w:p>
    <w:p>
      <w:pPr>
        <w:ind w:right="120" w:firstLine="417"/>
        <w:spacing w:after="0" w:line="257" w:lineRule="auto"/>
        <w:rPr>
          <w:sz w:val="20"/>
          <w:szCs w:val="20"/>
          <w:color w:val="auto"/>
        </w:rPr>
      </w:pPr>
      <w:r>
        <w:rPr>
          <w:rFonts w:ascii="Times New Roman" w:cs="Times New Roman" w:eastAsia="Times New Roman" w:hAnsi="Times New Roman"/>
          <w:sz w:val="17"/>
          <w:szCs w:val="17"/>
          <w:color w:val="auto"/>
        </w:rPr>
        <w:t xml:space="preserve">4.11 </w:t>
      </w:r>
      <w:r>
        <w:rPr>
          <w:rFonts w:ascii="Times New Roman" w:cs="Times New Roman" w:eastAsia="Times New Roman" w:hAnsi="Times New Roman"/>
          <w:sz w:val="17"/>
          <w:szCs w:val="17"/>
          <w:u w:val="single" w:color="auto"/>
          <w:color w:val="auto"/>
        </w:rPr>
        <w:t>Rights as a Stockholder</w:t>
      </w:r>
      <w:r>
        <w:rPr>
          <w:rFonts w:ascii="Times New Roman" w:cs="Times New Roman" w:eastAsia="Times New Roman" w:hAnsi="Times New Roman"/>
          <w:sz w:val="17"/>
          <w:szCs w:val="17"/>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w:t>
      </w:r>
    </w:p>
    <w:p>
      <w:pPr>
        <w:spacing w:after="0" w:line="175" w:lineRule="exact"/>
        <w:rPr>
          <w:sz w:val="20"/>
          <w:szCs w:val="20"/>
          <w:color w:val="auto"/>
        </w:rPr>
      </w:pPr>
    </w:p>
    <w:p>
      <w:pPr>
        <w:ind w:right="60" w:firstLine="417"/>
        <w:spacing w:after="0" w:line="261" w:lineRule="auto"/>
        <w:rPr>
          <w:sz w:val="20"/>
          <w:szCs w:val="20"/>
          <w:color w:val="auto"/>
        </w:rPr>
      </w:pPr>
      <w:r>
        <w:rPr>
          <w:rFonts w:ascii="Times New Roman" w:cs="Times New Roman" w:eastAsia="Times New Roman" w:hAnsi="Times New Roman"/>
          <w:sz w:val="17"/>
          <w:szCs w:val="17"/>
          <w:color w:val="auto"/>
        </w:rPr>
        <w:t xml:space="preserve">4.12 </w:t>
      </w:r>
      <w:r>
        <w:rPr>
          <w:rFonts w:ascii="Times New Roman" w:cs="Times New Roman" w:eastAsia="Times New Roman" w:hAnsi="Times New Roman"/>
          <w:sz w:val="17"/>
          <w:szCs w:val="17"/>
          <w:u w:val="single" w:color="auto"/>
          <w:color w:val="auto"/>
        </w:rPr>
        <w:t>Not a Contract of Employment</w:t>
      </w:r>
      <w:r>
        <w:rPr>
          <w:rFonts w:ascii="Times New Roman" w:cs="Times New Roman" w:eastAsia="Times New Roman" w:hAnsi="Times New Roman"/>
          <w:sz w:val="17"/>
          <w:szCs w:val="17"/>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72" w:lineRule="exact"/>
        <w:rPr>
          <w:sz w:val="20"/>
          <w:szCs w:val="20"/>
          <w:color w:val="auto"/>
        </w:rPr>
      </w:pPr>
    </w:p>
    <w:p>
      <w:pPr>
        <w:ind w:right="540" w:firstLine="417"/>
        <w:spacing w:after="0" w:line="283" w:lineRule="auto"/>
        <w:rPr>
          <w:sz w:val="20"/>
          <w:szCs w:val="20"/>
          <w:color w:val="auto"/>
        </w:rPr>
      </w:pPr>
      <w:r>
        <w:rPr>
          <w:rFonts w:ascii="Times New Roman" w:cs="Times New Roman" w:eastAsia="Times New Roman" w:hAnsi="Times New Roman"/>
          <w:sz w:val="17"/>
          <w:szCs w:val="17"/>
          <w:color w:val="auto"/>
        </w:rPr>
        <w:t xml:space="preserve">4.13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52" w:lineRule="exact"/>
        <w:rPr>
          <w:sz w:val="20"/>
          <w:szCs w:val="20"/>
          <w:color w:val="auto"/>
        </w:rPr>
      </w:pPr>
    </w:p>
    <w:p>
      <w:pPr>
        <w:ind w:right="40" w:firstLine="417"/>
        <w:spacing w:after="0" w:line="267" w:lineRule="auto"/>
        <w:rPr>
          <w:sz w:val="20"/>
          <w:szCs w:val="20"/>
          <w:color w:val="auto"/>
        </w:rPr>
      </w:pPr>
      <w:r>
        <w:rPr>
          <w:rFonts w:ascii="Times New Roman" w:cs="Times New Roman" w:eastAsia="Times New Roman" w:hAnsi="Times New Roman"/>
          <w:sz w:val="17"/>
          <w:szCs w:val="17"/>
          <w:color w:val="auto"/>
        </w:rPr>
        <w:t xml:space="preserve">4.14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The provisions of the Plan and all Awards made thereunder, including the RSUs, shall be governed by and interpreted in accordance with the laws of the State of Delaware, disregarding choice-of-law principles of the law of any state that would require the application of the laws of a jurisdiction other than such state.</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4.15 </w:t>
      </w: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ind w:right="140" w:firstLine="929"/>
        <w:spacing w:after="0" w:line="257" w:lineRule="auto"/>
        <w:tabs>
          <w:tab w:leader="none" w:pos="1170" w:val="left"/>
        </w:tabs>
        <w:numPr>
          <w:ilvl w:val="0"/>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of the Plan, this Agreement or the Grant Notice, the Plan, this Agreement and the Grant Notice shall be interpreted in accordance with, and incorporate the terms and conditions required by, Section 409A of the Code (together with any Department of Treasury regulations and other interpretive guidance issued thereunder, including without limitation any such regulations or other guidance that may be issued after the Grant Date, “</w:t>
      </w:r>
      <w:r>
        <w:rPr>
          <w:rFonts w:ascii="Times New Roman" w:cs="Times New Roman" w:eastAsia="Times New Roman" w:hAnsi="Times New Roman"/>
          <w:sz w:val="17"/>
          <w:szCs w:val="17"/>
          <w:b w:val="1"/>
          <w:bCs w:val="1"/>
          <w:i w:val="1"/>
          <w:iCs w:val="1"/>
          <w:color w:val="auto"/>
        </w:rPr>
        <w:t>Section 409A</w:t>
      </w:r>
      <w:r>
        <w:rPr>
          <w:rFonts w:ascii="Times New Roman" w:cs="Times New Roman" w:eastAsia="Times New Roman" w:hAnsi="Times New Roman"/>
          <w:sz w:val="17"/>
          <w:szCs w:val="17"/>
          <w:color w:val="auto"/>
        </w:rPr>
        <w:t>”). The Administrator may, in its discretion, adopt such amendments to the Plan, this Agreement or the Grant Notice or adopt other policies and procedures (including amendments, policies and procedures with retroactive effect), or take any other actions, as the Administrator determines are necessary or appropriate to comply with the requirements of Section 409A.</w:t>
      </w:r>
    </w:p>
    <w:p>
      <w:pPr>
        <w:spacing w:after="0" w:line="175" w:lineRule="exact"/>
        <w:rPr>
          <w:rFonts w:ascii="Times New Roman" w:cs="Times New Roman" w:eastAsia="Times New Roman" w:hAnsi="Times New Roman"/>
          <w:sz w:val="17"/>
          <w:szCs w:val="17"/>
          <w:color w:val="auto"/>
        </w:rPr>
      </w:pPr>
    </w:p>
    <w:p>
      <w:pPr>
        <w:ind w:right="80" w:firstLine="929"/>
        <w:spacing w:after="0" w:line="259" w:lineRule="auto"/>
        <w:tabs>
          <w:tab w:leader="none" w:pos="1180" w:val="left"/>
        </w:tabs>
        <w:numPr>
          <w:ilvl w:val="0"/>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is not intended to provide for any deferral of compensation subject to Section 409A of the Code, and, accordingly, the Shares issuable pursuant to the RSUs hereunder shall be distributed to Participant no later than the later of: (A) the fifteenth (15th) day of the third month following Participant’s first taxable year in which such RSUs are no longer subject to a substantial risk of forfeiture, and (B) the fifteenth (15th) day of the third month following first taxable year of the Company in which such RSUs are no longer subject to substantial risk of forfeiture, as determined in accordance with Section 409A and any Treasury Regulations and other guidance issued thereunder.</w:t>
      </w:r>
    </w:p>
    <w:p>
      <w:pPr>
        <w:sectPr>
          <w:pgSz w:w="11900" w:h="16838" w:orient="portrait"/>
          <w:cols w:equalWidth="0" w:num="1">
            <w:col w:w="10420"/>
          </w:cols>
          <w:pgMar w:left="740" w:top="263" w:right="739" w:bottom="1440" w:gutter="0" w:footer="0" w:header="0"/>
        </w:sectPr>
      </w:pPr>
    </w:p>
    <w:bookmarkStart w:id="393" w:name="page394"/>
    <w:bookmarkEnd w:id="393"/>
    <w:p>
      <w:pPr>
        <w:ind w:firstLine="417"/>
        <w:spacing w:after="0" w:line="26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4.16 </w:t>
      </w:r>
      <w:r>
        <w:rPr>
          <w:rFonts w:ascii="Times New Roman" w:cs="Times New Roman" w:eastAsia="Times New Roman" w:hAnsi="Times New Roman"/>
          <w:sz w:val="17"/>
          <w:szCs w:val="17"/>
          <w:u w:val="single" w:color="auto"/>
          <w:color w:val="auto"/>
        </w:rPr>
        <w:t>Electronic Delivery and Acceptance</w:t>
      </w:r>
      <w:r>
        <w:rPr>
          <w:rFonts w:ascii="Times New Roman" w:cs="Times New Roman" w:eastAsia="Times New Roman" w:hAnsi="Times New Roman"/>
          <w:sz w:val="17"/>
          <w:szCs w:val="17"/>
          <w:color w:val="auto"/>
        </w:rPr>
        <w:t>. The Company may, in its sole discretion, decide to deliver any documents related to the RSUs awarded under the Plan or future awards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3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 * * * *</w:t>
      </w:r>
    </w:p>
    <w:p>
      <w:pPr>
        <w:sectPr>
          <w:pgSz w:w="11900" w:h="16838" w:orient="portrait"/>
          <w:cols w:equalWidth="0" w:num="1">
            <w:col w:w="10320"/>
          </w:cols>
          <w:pgMar w:left="740" w:top="263" w:right="839" w:bottom="1440" w:gutter="0" w:footer="0" w:header="0"/>
        </w:sectPr>
      </w:pPr>
    </w:p>
    <w:bookmarkStart w:id="394" w:name="page395"/>
    <w:bookmarkEnd w:id="394"/>
    <w:p>
      <w:pPr>
        <w:ind w:left="43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BOUNDLESS BIO,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6628765" cy="40576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2">
                      <a:extLst>
                        <a:ext uri="{28A0092B-C50C-407E-A947-70E740481C1C}"/>
                      </a:extLst>
                    </a:blip>
                    <a:srcRect/>
                    <a:stretch>
                      <a:fillRect/>
                    </a:stretch>
                  </pic:blipFill>
                  <pic:spPr bwMode="auto">
                    <a:xfrm>
                      <a:off x="0" y="0"/>
                      <a:ext cx="6628765" cy="405765"/>
                    </a:xfrm>
                    <a:prstGeom prst="rect">
                      <a:avLst/>
                    </a:prstGeom>
                    <a:noFill/>
                  </pic:spPr>
                </pic:pic>
              </a:graphicData>
            </a:graphic>
          </wp:anchor>
        </w:drawing>
      </w:r>
    </w:p>
    <w:p>
      <w:pPr>
        <w:spacing w:after="0" w:line="1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2024 INCENTIVE AWARD PLAN</w:t>
      </w: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STOCK OPTION GRANT NOTICE</w:t>
      </w:r>
    </w:p>
    <w:p>
      <w:pPr>
        <w:spacing w:after="0" w:line="211" w:lineRule="exact"/>
        <w:rPr>
          <w:sz w:val="20"/>
          <w:szCs w:val="20"/>
          <w:color w:val="auto"/>
        </w:rPr>
      </w:pPr>
    </w:p>
    <w:p>
      <w:pPr>
        <w:ind w:right="220" w:firstLine="417"/>
        <w:spacing w:after="0" w:line="290" w:lineRule="auto"/>
        <w:rPr>
          <w:sz w:val="20"/>
          <w:szCs w:val="20"/>
          <w:color w:val="auto"/>
        </w:rPr>
      </w:pPr>
      <w:r>
        <w:rPr>
          <w:rFonts w:ascii="Times New Roman" w:cs="Times New Roman" w:eastAsia="Times New Roman" w:hAnsi="Times New Roman"/>
          <w:sz w:val="17"/>
          <w:szCs w:val="17"/>
          <w:color w:val="auto"/>
        </w:rPr>
        <w:t>Capitalized terms not specifically defined in this Stock Option Grant Notice (the “</w:t>
      </w:r>
      <w:r>
        <w:rPr>
          <w:rFonts w:ascii="Times New Roman" w:cs="Times New Roman" w:eastAsia="Times New Roman" w:hAnsi="Times New Roman"/>
          <w:sz w:val="17"/>
          <w:szCs w:val="17"/>
          <w:b w:val="1"/>
          <w:bCs w:val="1"/>
          <w:i w:val="1"/>
          <w:iCs w:val="1"/>
          <w:color w:val="auto"/>
        </w:rPr>
        <w:t>Grant Notice</w:t>
      </w:r>
      <w:r>
        <w:rPr>
          <w:rFonts w:ascii="Times New Roman" w:cs="Times New Roman" w:eastAsia="Times New Roman" w:hAnsi="Times New Roman"/>
          <w:sz w:val="17"/>
          <w:szCs w:val="17"/>
          <w:color w:val="auto"/>
        </w:rPr>
        <w:t>”) have the meanings given to them in the 2024 Incentive Award Plan (as amended from time to time,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of Boundless Bio,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ind w:right="40" w:firstLine="417"/>
        <w:spacing w:after="0" w:line="270" w:lineRule="auto"/>
        <w:rPr>
          <w:sz w:val="20"/>
          <w:szCs w:val="20"/>
          <w:color w:val="auto"/>
        </w:rPr>
      </w:pPr>
      <w:r>
        <w:rPr>
          <w:rFonts w:ascii="Times New Roman" w:cs="Times New Roman" w:eastAsia="Times New Roman" w:hAnsi="Times New Roman"/>
          <w:sz w:val="17"/>
          <w:szCs w:val="17"/>
          <w:color w:val="auto"/>
        </w:rPr>
        <w:t>The Company hereby grants to the participant listed below (“</w:t>
      </w:r>
      <w:r>
        <w:rPr>
          <w:rFonts w:ascii="Times New Roman" w:cs="Times New Roman" w:eastAsia="Times New Roman" w:hAnsi="Times New Roman"/>
          <w:sz w:val="17"/>
          <w:szCs w:val="17"/>
          <w:b w:val="1"/>
          <w:bCs w:val="1"/>
          <w:i w:val="1"/>
          <w:iCs w:val="1"/>
          <w:color w:val="auto"/>
        </w:rPr>
        <w:t>Participant</w:t>
      </w:r>
      <w:r>
        <w:rPr>
          <w:rFonts w:ascii="Times New Roman" w:cs="Times New Roman" w:eastAsia="Times New Roman" w:hAnsi="Times New Roman"/>
          <w:sz w:val="17"/>
          <w:szCs w:val="17"/>
          <w:color w:val="auto"/>
        </w:rPr>
        <w:t>”) the stock option described in this Grant Notice (the “</w:t>
      </w:r>
      <w:r>
        <w:rPr>
          <w:rFonts w:ascii="Times New Roman" w:cs="Times New Roman" w:eastAsia="Times New Roman" w:hAnsi="Times New Roman"/>
          <w:sz w:val="17"/>
          <w:szCs w:val="17"/>
          <w:b w:val="1"/>
          <w:bCs w:val="1"/>
          <w:i w:val="1"/>
          <w:iCs w:val="1"/>
          <w:color w:val="auto"/>
        </w:rPr>
        <w:t>Option</w:t>
      </w:r>
      <w:r>
        <w:rPr>
          <w:rFonts w:ascii="Times New Roman" w:cs="Times New Roman" w:eastAsia="Times New Roman" w:hAnsi="Times New Roman"/>
          <w:sz w:val="17"/>
          <w:szCs w:val="17"/>
          <w:color w:val="auto"/>
        </w:rPr>
        <w:t xml:space="preserve">”), subject to the terms and conditions of the Plan and the Stock Option Agreement attached hereto as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both of which are incorporated into this Grant Notice by reference.</w:t>
      </w:r>
    </w:p>
    <w:p>
      <w:pPr>
        <w:sectPr>
          <w:pgSz w:w="11900" w:h="16838" w:orient="portrait"/>
          <w:cols w:equalWidth="0" w:num="1">
            <w:col w:w="10360"/>
          </w:cols>
          <w:pgMar w:left="740" w:top="273" w:right="799" w:bottom="1440" w:gutter="0" w:footer="0" w:header="0"/>
        </w:sectPr>
      </w:pP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Participant: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[Insert Participant Name]</w:t>
      </w:r>
    </w:p>
    <w:p>
      <w:pPr>
        <w:spacing w:after="0" w:line="122" w:lineRule="exact"/>
        <w:rPr>
          <w:sz w:val="20"/>
          <w:szCs w:val="20"/>
          <w:color w:val="auto"/>
        </w:rPr>
      </w:pPr>
    </w:p>
    <w:p>
      <w:pPr>
        <w:sectPr>
          <w:pgSz w:w="11900" w:h="16838" w:orient="portrait"/>
          <w:cols w:equalWidth="0" w:num="2">
            <w:col w:w="2300" w:space="720"/>
            <w:col w:w="7340"/>
          </w:cols>
          <w:pgMar w:left="740" w:top="273" w:right="79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[Insert Grant Date]</w:t>
      </w:r>
    </w:p>
    <w:p>
      <w:pPr>
        <w:spacing w:after="0" w:line="111" w:lineRule="exact"/>
        <w:rPr>
          <w:sz w:val="20"/>
          <w:szCs w:val="20"/>
          <w:color w:val="auto"/>
        </w:rPr>
      </w:pPr>
    </w:p>
    <w:p>
      <w:pPr>
        <w:sectPr>
          <w:pgSz w:w="11900" w:h="16838" w:orient="portrait"/>
          <w:cols w:equalWidth="0" w:num="2">
            <w:col w:w="2300" w:space="720"/>
            <w:col w:w="7340"/>
          </w:cols>
          <w:pgMar w:left="740" w:top="273" w:right="79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i w:val="1"/>
          <w:iCs w:val="1"/>
          <w:color w:val="auto"/>
        </w:rPr>
        <w:t>[Insert Exercise Price]</w:t>
      </w:r>
    </w:p>
    <w:p>
      <w:pPr>
        <w:spacing w:after="0" w:line="123" w:lineRule="exact"/>
        <w:rPr>
          <w:sz w:val="20"/>
          <w:szCs w:val="20"/>
          <w:color w:val="auto"/>
        </w:rPr>
      </w:pPr>
    </w:p>
    <w:p>
      <w:pPr>
        <w:sectPr>
          <w:pgSz w:w="11900" w:h="16838" w:orient="portrait"/>
          <w:cols w:equalWidth="0" w:num="2">
            <w:col w:w="2300" w:space="720"/>
            <w:col w:w="7340"/>
          </w:cols>
          <w:pgMar w:left="740" w:top="273" w:right="79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Shares Subject to the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[Insert Number of Options]</w:t>
      </w:r>
    </w:p>
    <w:p>
      <w:pPr>
        <w:spacing w:after="0" w:line="111" w:lineRule="exact"/>
        <w:rPr>
          <w:sz w:val="20"/>
          <w:szCs w:val="20"/>
          <w:color w:val="auto"/>
        </w:rPr>
      </w:pPr>
    </w:p>
    <w:p>
      <w:pPr>
        <w:sectPr>
          <w:pgSz w:w="11900" w:h="16838" w:orient="portrait"/>
          <w:cols w:equalWidth="0" w:num="2">
            <w:col w:w="2300" w:space="720"/>
            <w:col w:w="7340"/>
          </w:cols>
          <w:pgMar w:left="740" w:top="273" w:right="79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Final 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i w:val="1"/>
          <w:iCs w:val="1"/>
          <w:color w:val="auto"/>
        </w:rPr>
        <w:t>[Insert Tenth Anniversary of Grant Date]</w:t>
      </w:r>
    </w:p>
    <w:p>
      <w:pPr>
        <w:spacing w:after="0" w:line="123" w:lineRule="exact"/>
        <w:rPr>
          <w:sz w:val="20"/>
          <w:szCs w:val="20"/>
          <w:color w:val="auto"/>
        </w:rPr>
      </w:pPr>
    </w:p>
    <w:p>
      <w:pPr>
        <w:sectPr>
          <w:pgSz w:w="11900" w:h="16838" w:orient="portrait"/>
          <w:cols w:equalWidth="0" w:num="2">
            <w:col w:w="2300" w:space="720"/>
            <w:col w:w="7340"/>
          </w:cols>
          <w:pgMar w:left="740" w:top="273" w:right="79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i w:val="1"/>
          <w:iCs w:val="1"/>
          <w:color w:val="auto"/>
        </w:rPr>
        <w:t>[Insert Vesting Commencement Date]</w:t>
      </w:r>
    </w:p>
    <w:p>
      <w:pPr>
        <w:spacing w:after="0" w:line="123" w:lineRule="exact"/>
        <w:rPr>
          <w:sz w:val="20"/>
          <w:szCs w:val="20"/>
          <w:color w:val="auto"/>
        </w:rPr>
      </w:pPr>
    </w:p>
    <w:p>
      <w:pPr>
        <w:sectPr>
          <w:pgSz w:w="11900" w:h="16838" w:orient="portrait"/>
          <w:cols w:equalWidth="0" w:num="2">
            <w:col w:w="2300" w:space="720"/>
            <w:col w:w="7340"/>
          </w:cols>
          <w:pgMar w:left="740" w:top="273" w:right="79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i w:val="1"/>
          <w:iCs w:val="1"/>
          <w:color w:val="auto"/>
        </w:rPr>
        <w:t>[Insert Vesting Schedule]</w:t>
      </w:r>
    </w:p>
    <w:p>
      <w:pPr>
        <w:spacing w:after="0" w:line="88" w:lineRule="exact"/>
        <w:rPr>
          <w:sz w:val="20"/>
          <w:szCs w:val="20"/>
          <w:color w:val="auto"/>
        </w:rPr>
      </w:pPr>
    </w:p>
    <w:p>
      <w:pPr>
        <w:sectPr>
          <w:pgSz w:w="11900" w:h="16838" w:orient="portrait"/>
          <w:cols w:equalWidth="0" w:num="2">
            <w:col w:w="2300" w:space="720"/>
            <w:col w:w="7340"/>
          </w:cols>
          <w:pgMar w:left="740" w:top="273" w:right="79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Type of Option </w:t>
      </w:r>
      <w:r>
        <w:rPr>
          <w:rFonts w:ascii="Times New Roman" w:cs="Times New Roman" w:eastAsia="Times New Roman" w:hAnsi="Times New Roman"/>
          <w:sz w:val="16"/>
          <w:szCs w:val="16"/>
          <w:b w:val="1"/>
          <w:bCs w:val="1"/>
          <w:i w:val="1"/>
          <w:iCs w:val="1"/>
          <w:color w:val="auto"/>
        </w:rPr>
        <w:t>(select one)</w:t>
      </w: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Incentive Stock Option (ISO)</w:t>
      </w:r>
    </w:p>
    <w:p>
      <w:pPr>
        <w:spacing w:after="0" w:line="101" w:lineRule="exact"/>
        <w:rPr>
          <w:sz w:val="20"/>
          <w:szCs w:val="20"/>
          <w:color w:val="auto"/>
        </w:rPr>
      </w:pPr>
    </w:p>
    <w:p>
      <w:pPr>
        <w:sectPr>
          <w:pgSz w:w="11900" w:h="16838" w:orient="portrait"/>
          <w:cols w:equalWidth="0" w:num="3">
            <w:col w:w="2300" w:space="720"/>
            <w:col w:w="160" w:space="40"/>
            <w:col w:w="7140"/>
          </w:cols>
          <w:pgMar w:left="740" w:top="273" w:right="799" w:bottom="1440" w:gutter="0" w:footer="0" w:header="0"/>
          <w:type w:val="continuous"/>
        </w:sectPr>
      </w:pPr>
    </w:p>
    <w:p>
      <w:pPr>
        <w:ind w:left="30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Non-Qualified Stock Option (NSO)</w:t>
      </w:r>
    </w:p>
    <w:p>
      <w:pPr>
        <w:spacing w:after="0" w:line="200" w:lineRule="exact"/>
        <w:rPr>
          <w:sz w:val="20"/>
          <w:szCs w:val="20"/>
          <w:color w:val="auto"/>
        </w:rPr>
      </w:pPr>
    </w:p>
    <w:p>
      <w:pPr>
        <w:sectPr>
          <w:pgSz w:w="11900" w:h="16838" w:orient="portrait"/>
          <w:cols w:equalWidth="0" w:num="2">
            <w:col w:w="3180" w:space="40"/>
            <w:col w:w="7140"/>
          </w:cols>
          <w:pgMar w:left="740" w:top="273" w:right="799" w:bottom="1440" w:gutter="0" w:footer="0" w:header="0"/>
          <w:type w:val="continuous"/>
        </w:sectPr>
      </w:pPr>
    </w:p>
    <w:p>
      <w:pPr>
        <w:spacing w:after="0" w:line="42" w:lineRule="exact"/>
        <w:rPr>
          <w:sz w:val="20"/>
          <w:szCs w:val="20"/>
          <w:color w:val="auto"/>
        </w:rPr>
      </w:pPr>
    </w:p>
    <w:p>
      <w:pPr>
        <w:ind w:firstLine="417"/>
        <w:spacing w:after="0" w:line="267" w:lineRule="auto"/>
        <w:rPr>
          <w:sz w:val="20"/>
          <w:szCs w:val="20"/>
          <w:color w:val="auto"/>
        </w:rPr>
      </w:pPr>
      <w:r>
        <w:rPr>
          <w:rFonts w:ascii="Times New Roman" w:cs="Times New Roman" w:eastAsia="Times New Roman" w:hAnsi="Times New Roman"/>
          <w:sz w:val="17"/>
          <w:szCs w:val="17"/>
          <w:color w:val="auto"/>
        </w:rPr>
        <w:t>If the Company uses an electronic capitalization table system (such as E*Trade, Shareworks or Carta) and the fields in this Grant Notice are blank or the information is otherwise provided in a different format electronically, the blank fields and other information will be deemed to come from the electronic capitalization system and is considered part of this Grant Notice.</w:t>
      </w:r>
    </w:p>
    <w:p>
      <w:pPr>
        <w:spacing w:after="0" w:line="165" w:lineRule="exact"/>
        <w:rPr>
          <w:sz w:val="20"/>
          <w:szCs w:val="20"/>
          <w:color w:val="auto"/>
        </w:rPr>
      </w:pPr>
    </w:p>
    <w:p>
      <w:pPr>
        <w:ind w:right="40" w:firstLine="417"/>
        <w:spacing w:after="0" w:line="257" w:lineRule="auto"/>
        <w:rPr>
          <w:sz w:val="20"/>
          <w:szCs w:val="20"/>
          <w:color w:val="auto"/>
        </w:rPr>
      </w:pPr>
      <w:r>
        <w:rPr>
          <w:rFonts w:ascii="Times New Roman" w:cs="Times New Roman" w:eastAsia="Times New Roman" w:hAnsi="Times New Roman"/>
          <w:sz w:val="17"/>
          <w:szCs w:val="17"/>
          <w:color w:val="auto"/>
        </w:rPr>
        <w:t>By accepting (whether in writing, electronically or otherwise, including an acceptance through an electronic capitalization table system used by the Company) the Option, Participant agrees to be bound by the terms of this Grant Notice, the Plan and the Agreement. Participant has reviewed the Plan, this Grant Notice and the Agreement in their entirety, has received a copy of the prospectus for the Plan,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171" w:lineRule="exact"/>
        <w:rPr>
          <w:sz w:val="20"/>
          <w:szCs w:val="20"/>
          <w:color w:val="auto"/>
        </w:rPr>
      </w:pPr>
    </w:p>
    <w:p>
      <w:pPr>
        <w:ind w:firstLine="417"/>
        <w:spacing w:after="0" w:line="260" w:lineRule="auto"/>
        <w:rPr>
          <w:sz w:val="20"/>
          <w:szCs w:val="20"/>
          <w:color w:val="auto"/>
        </w:rPr>
      </w:pPr>
      <w:r>
        <w:rPr>
          <w:rFonts w:ascii="Times New Roman" w:cs="Times New Roman" w:eastAsia="Times New Roman" w:hAnsi="Times New Roman"/>
          <w:sz w:val="17"/>
          <w:szCs w:val="17"/>
          <w:i w:val="1"/>
          <w:iCs w:val="1"/>
          <w:color w:val="auto"/>
        </w:rPr>
        <w:t>Internet Availability of Plan Materials</w:t>
      </w:r>
      <w:r>
        <w:rPr>
          <w:rFonts w:ascii="Times New Roman" w:cs="Times New Roman" w:eastAsia="Times New Roman" w:hAnsi="Times New Roman"/>
          <w:sz w:val="17"/>
          <w:szCs w:val="17"/>
          <w:color w:val="auto"/>
        </w:rPr>
        <w:t>. The Company will furnish Plan materials (including the Plan, prospectus, annual report on Form 10-K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proxy statement and other information provided to the Company’s stockholders) relating to the Plan to Participant electronically, instead of mailing printed copies of these materials to each person eligible to participate in the plans. This process is designed to expedite Participant’s receipt of the plan materials, reduce the costs of printing and distributing these materials, and help conserve natural resources. These materials are available through the Company’s electronic capitalization table system (such as E*Trade, Shareworks or Carta) and the annual report on Form 10-K</w:t>
      </w:r>
    </w:p>
    <w:p>
      <w:pPr>
        <w:sectPr>
          <w:pgSz w:w="11900" w:h="16838" w:orient="portrait"/>
          <w:cols w:equalWidth="0" w:num="1">
            <w:col w:w="10360"/>
          </w:cols>
          <w:pgMar w:left="740" w:top="273" w:right="799" w:bottom="1440" w:gutter="0" w:footer="0" w:header="0"/>
          <w:type w:val="continuous"/>
        </w:sectPr>
      </w:pPr>
    </w:p>
    <w:bookmarkStart w:id="395" w:name="page396"/>
    <w:bookmarkEnd w:id="395"/>
    <w:p>
      <w:pPr>
        <w:jc w:val="both"/>
        <w:ind w:right="100"/>
        <w:spacing w:after="0" w:line="26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and proxy statement and other information provided to our stockholders is also available on the Company’s website at </w:t>
      </w:r>
      <w:r>
        <w:rPr>
          <w:rFonts w:ascii="Times New Roman" w:cs="Times New Roman" w:eastAsia="Times New Roman" w:hAnsi="Times New Roman"/>
          <w:sz w:val="17"/>
          <w:szCs w:val="17"/>
          <w:u w:val="single" w:color="auto"/>
          <w:color w:val="auto"/>
        </w:rPr>
        <w:t>https://boundlessbio.com/</w:t>
      </w:r>
      <w:r>
        <w:rPr>
          <w:rFonts w:ascii="Times New Roman" w:cs="Times New Roman" w:eastAsia="Times New Roman" w:hAnsi="Times New Roman"/>
          <w:sz w:val="17"/>
          <w:szCs w:val="17"/>
          <w:color w:val="auto"/>
        </w:rPr>
        <w:t>. The Plan is available at [</w:t>
      </w:r>
      <w:r>
        <w:rPr>
          <w:rFonts w:ascii="Times New Roman" w:cs="Times New Roman" w:eastAsia="Times New Roman" w:hAnsi="Times New Roman"/>
          <w:sz w:val="17"/>
          <w:szCs w:val="17"/>
          <w:i w:val="1"/>
          <w:iCs w:val="1"/>
          <w:color w:val="auto"/>
        </w:rPr>
        <w:t>insert location</w:t>
      </w:r>
      <w:r>
        <w:rPr>
          <w:rFonts w:ascii="Times New Roman" w:cs="Times New Roman" w:eastAsia="Times New Roman" w:hAnsi="Times New Roman"/>
          <w:sz w:val="17"/>
          <w:szCs w:val="17"/>
          <w:color w:val="auto"/>
        </w:rPr>
        <w:t>]. However, if Participant would prefer to receive printed copies of the Plan materials or information provided to the Company’s stockholders without charge, please contact: Boundless Bio, Inc., Attn: Secretary, 9880 Campus Point Dr, Suite 120, San Diego, CA 92121, Telephone: (858) 766-9912, Email: info@boundlessbio.com.</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BOUNDLESS BIO, INC.</w:t>
            </w:r>
          </w:p>
        </w:tc>
        <w:tc>
          <w:tcPr>
            <w:tcW w:w="51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PARTICIPANT</w:t>
            </w:r>
          </w:p>
        </w:tc>
      </w:tr>
      <w:tr>
        <w:trPr>
          <w:trHeight w:val="408"/>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w:t>
            </w:r>
          </w:p>
        </w:tc>
        <w:tc>
          <w:tcPr>
            <w:tcW w:w="51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By:</w:t>
            </w:r>
          </w:p>
        </w:tc>
      </w:tr>
      <w:tr>
        <w:trPr>
          <w:trHeight w:val="210"/>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Print Name:</w:t>
            </w:r>
          </w:p>
        </w:tc>
        <w:tc>
          <w:tcPr>
            <w:tcW w:w="4260" w:type="dxa"/>
            <w:vAlign w:val="bottom"/>
            <w:tcBorders>
              <w:top w:val="single" w:sz="8" w:color="auto"/>
              <w:bottom w:val="single" w:sz="8" w:color="auto"/>
            </w:tcBorders>
          </w:tcPr>
          <w:p>
            <w:pPr>
              <w:spacing w:after="0"/>
              <w:rPr>
                <w:sz w:val="18"/>
                <w:szCs w:val="18"/>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Print Name:</w:t>
            </w:r>
          </w:p>
        </w:tc>
        <w:tc>
          <w:tcPr>
            <w:tcW w:w="3960" w:type="dxa"/>
            <w:vAlign w:val="bottom"/>
            <w:tcBorders>
              <w:top w:val="single" w:sz="8" w:color="auto"/>
              <w:bottom w:val="single" w:sz="8" w:color="auto"/>
            </w:tcBorders>
          </w:tcPr>
          <w:p>
            <w:pPr>
              <w:spacing w:after="0"/>
              <w:rPr>
                <w:sz w:val="18"/>
                <w:szCs w:val="18"/>
                <w:color w:val="auto"/>
              </w:rPr>
            </w:pPr>
          </w:p>
        </w:tc>
      </w:tr>
      <w:tr>
        <w:trPr>
          <w:trHeight w:val="210"/>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260" w:type="dxa"/>
            <w:vAlign w:val="bottom"/>
            <w:tcBorders>
              <w:bottom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3960" w:type="dxa"/>
            <w:vAlign w:val="bottom"/>
          </w:tcPr>
          <w:p>
            <w:pPr>
              <w:spacing w:after="0"/>
              <w:rPr>
                <w:sz w:val="18"/>
                <w:szCs w:val="18"/>
                <w:color w:val="auto"/>
              </w:rPr>
            </w:pPr>
          </w:p>
        </w:tc>
      </w:tr>
    </w:tbl>
    <w:p>
      <w:pPr>
        <w:sectPr>
          <w:pgSz w:w="11900" w:h="16838" w:orient="portrait"/>
          <w:cols w:equalWidth="0" w:num="1">
            <w:col w:w="10420"/>
          </w:cols>
          <w:pgMar w:left="740" w:top="264" w:right="739" w:bottom="1440" w:gutter="0" w:footer="0" w:header="0"/>
        </w:sectPr>
      </w:pPr>
    </w:p>
    <w:bookmarkStart w:id="396" w:name="page397"/>
    <w:bookmarkEnd w:id="396"/>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EXHIBIT A</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 OPTION AGREEMENT</w:t>
      </w:r>
    </w:p>
    <w:p>
      <w:pPr>
        <w:spacing w:after="0" w:line="217" w:lineRule="exact"/>
        <w:rPr>
          <w:sz w:val="20"/>
          <w:szCs w:val="20"/>
          <w:color w:val="auto"/>
        </w:rPr>
      </w:pPr>
    </w:p>
    <w:p>
      <w:pPr>
        <w:ind w:firstLine="417"/>
        <w:spacing w:after="0" w:line="283" w:lineRule="auto"/>
        <w:rPr>
          <w:sz w:val="20"/>
          <w:szCs w:val="20"/>
          <w:color w:val="auto"/>
        </w:rPr>
      </w:pPr>
      <w:r>
        <w:rPr>
          <w:rFonts w:ascii="Times New Roman" w:cs="Times New Roman" w:eastAsia="Times New Roman" w:hAnsi="Times New Roman"/>
          <w:sz w:val="17"/>
          <w:szCs w:val="17"/>
          <w:color w:val="auto"/>
        </w:rPr>
        <w:t>Capitalized terms not specifically defined in this Agreement have the meanings specified in the Grant Notice or, if not defined in the Grant Notice, in the Plan.</w:t>
      </w:r>
    </w:p>
    <w:p>
      <w:pPr>
        <w:spacing w:after="0" w:line="35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3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90" w:lineRule="exact"/>
        <w:rPr>
          <w:sz w:val="20"/>
          <w:szCs w:val="20"/>
          <w:color w:val="auto"/>
        </w:rPr>
      </w:pPr>
    </w:p>
    <w:p>
      <w:pPr>
        <w:ind w:right="280" w:firstLine="417"/>
        <w:spacing w:after="0" w:line="290"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Grant of Option</w:t>
      </w:r>
      <w:r>
        <w:rPr>
          <w:rFonts w:ascii="Times New Roman" w:cs="Times New Roman" w:eastAsia="Times New Roman" w:hAnsi="Times New Roman"/>
          <w:sz w:val="17"/>
          <w:szCs w:val="17"/>
          <w:color w:val="auto"/>
        </w:rPr>
        <w:t>. The Company has granted to Participant the Option effective as of the grant date set forth in the Grant Notice (the “</w:t>
      </w:r>
      <w:r>
        <w:rPr>
          <w:rFonts w:ascii="Times New Roman" w:cs="Times New Roman" w:eastAsia="Times New Roman" w:hAnsi="Times New Roman"/>
          <w:sz w:val="17"/>
          <w:szCs w:val="17"/>
          <w:b w:val="1"/>
          <w:bCs w:val="1"/>
          <w:i w:val="1"/>
          <w:iCs w:val="1"/>
          <w:color w:val="auto"/>
        </w:rPr>
        <w:t>Grant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Date</w:t>
      </w:r>
      <w:r>
        <w:rPr>
          <w:rFonts w:ascii="Times New Roman" w:cs="Times New Roman" w:eastAsia="Times New Roman" w:hAnsi="Times New Roman"/>
          <w:sz w:val="17"/>
          <w:szCs w:val="17"/>
          <w:color w:val="auto"/>
        </w:rPr>
        <w:t>”).</w:t>
      </w:r>
    </w:p>
    <w:p>
      <w:pPr>
        <w:spacing w:after="0" w:line="147" w:lineRule="exact"/>
        <w:rPr>
          <w:sz w:val="20"/>
          <w:szCs w:val="20"/>
          <w:color w:val="auto"/>
        </w:rPr>
      </w:pPr>
    </w:p>
    <w:p>
      <w:pPr>
        <w:ind w:right="780" w:firstLine="417"/>
        <w:spacing w:after="0" w:line="315" w:lineRule="auto"/>
        <w:rPr>
          <w:sz w:val="20"/>
          <w:szCs w:val="20"/>
          <w:color w:val="auto"/>
        </w:rPr>
      </w:pPr>
      <w:r>
        <w:rPr>
          <w:rFonts w:ascii="Times New Roman" w:cs="Times New Roman" w:eastAsia="Times New Roman" w:hAnsi="Times New Roman"/>
          <w:sz w:val="16"/>
          <w:szCs w:val="16"/>
          <w:color w:val="auto"/>
        </w:rPr>
        <w:t xml:space="preserve">1.2 </w:t>
      </w:r>
      <w:r>
        <w:rPr>
          <w:rFonts w:ascii="Times New Roman" w:cs="Times New Roman" w:eastAsia="Times New Roman" w:hAnsi="Times New Roman"/>
          <w:sz w:val="16"/>
          <w:szCs w:val="16"/>
          <w:u w:val="single" w:color="auto"/>
          <w:color w:val="auto"/>
        </w:rPr>
        <w:t>Incorporation of Terms of Plan</w:t>
      </w:r>
      <w:r>
        <w:rPr>
          <w:rFonts w:ascii="Times New Roman" w:cs="Times New Roman" w:eastAsia="Times New Roman" w:hAnsi="Times New Roman"/>
          <w:sz w:val="16"/>
          <w:szCs w:val="16"/>
          <w:color w:val="auto"/>
        </w:rPr>
        <w:t>. The Option is subject to the terms and conditions set forth in this Agreement and the Plan, which is incorporated herein by reference. In the event of any inconsistency between the Plan and this Agreement, the terms of the Plan will control.</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PERIOD OF EXERCISABILITY</w:t>
      </w:r>
    </w:p>
    <w:p>
      <w:pPr>
        <w:spacing w:after="0" w:line="196" w:lineRule="exact"/>
        <w:rPr>
          <w:sz w:val="20"/>
          <w:szCs w:val="20"/>
          <w:color w:val="auto"/>
        </w:rPr>
      </w:pPr>
    </w:p>
    <w:p>
      <w:pPr>
        <w:ind w:right="40" w:firstLine="417"/>
        <w:spacing w:after="0" w:line="257" w:lineRule="auto"/>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Commencement of Exercisability</w:t>
      </w:r>
      <w:r>
        <w:rPr>
          <w:rFonts w:ascii="Times New Roman" w:cs="Times New Roman" w:eastAsia="Times New Roman" w:hAnsi="Times New Roman"/>
          <w:sz w:val="17"/>
          <w:szCs w:val="17"/>
          <w:color w:val="auto"/>
        </w:rPr>
        <w:t>. The Option will vest and become exercisable according to the vesting schedule in the Grant Notice (the “</w:t>
      </w:r>
      <w:r>
        <w:rPr>
          <w:rFonts w:ascii="Times New Roman" w:cs="Times New Roman" w:eastAsia="Times New Roman" w:hAnsi="Times New Roman"/>
          <w:sz w:val="17"/>
          <w:szCs w:val="17"/>
          <w:b w:val="1"/>
          <w:bCs w:val="1"/>
          <w:i w:val="1"/>
          <w:iCs w:val="1"/>
          <w:color w:val="auto"/>
        </w:rPr>
        <w:t>Vesting Schedule</w:t>
      </w:r>
      <w:r>
        <w:rPr>
          <w:rFonts w:ascii="Times New Roman" w:cs="Times New Roman" w:eastAsia="Times New Roman" w:hAnsi="Times New Roman"/>
          <w:sz w:val="17"/>
          <w:szCs w:val="17"/>
          <w:color w:val="auto"/>
        </w:rPr>
        <w:t>”), except that any fraction of a Share as to which the Option would be vested or exercisable will be accumulated and will vest and become exercisable only when a whole Share has accumulated. The Option will not be exercisable with respect to fractional Shares. Notwithstanding anything in the Grant Notice, the Plan or this Agreement to the contrary, the Option will immediately expire and be forfeited as to any portion that is not vested and exercisable as of Participant’s Termination of Service for any reason, except as may be otherwise provided by the Administrator or as set forth in another written agreement between the Company or any Subsidiary and Participant.</w:t>
      </w:r>
    </w:p>
    <w:p>
      <w:pPr>
        <w:spacing w:after="0" w:line="175" w:lineRule="exact"/>
        <w:rPr>
          <w:sz w:val="20"/>
          <w:szCs w:val="20"/>
          <w:color w:val="auto"/>
        </w:rPr>
      </w:pPr>
    </w:p>
    <w:p>
      <w:pPr>
        <w:ind w:right="160" w:firstLine="417"/>
        <w:spacing w:after="0" w:line="283"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u w:val="single" w:color="auto"/>
          <w:color w:val="auto"/>
        </w:rPr>
        <w:t>Duration of Exercisability</w:t>
      </w:r>
      <w:r>
        <w:rPr>
          <w:rFonts w:ascii="Times New Roman" w:cs="Times New Roman" w:eastAsia="Times New Roman" w:hAnsi="Times New Roman"/>
          <w:sz w:val="17"/>
          <w:szCs w:val="17"/>
          <w:color w:val="auto"/>
        </w:rPr>
        <w:t>. The Vesting Schedule is cumulative. Any portion of the Option which vests and becomes exercisable will remain vested and exercisable until the Option expires. The Option will be forfeited immediately upon its expiration.</w:t>
      </w:r>
    </w:p>
    <w:p>
      <w:pPr>
        <w:spacing w:after="0" w:line="152" w:lineRule="exact"/>
        <w:rPr>
          <w:sz w:val="20"/>
          <w:szCs w:val="20"/>
          <w:color w:val="auto"/>
        </w:rPr>
      </w:pPr>
    </w:p>
    <w:p>
      <w:pPr>
        <w:ind w:right="40" w:firstLine="417"/>
        <w:spacing w:after="0" w:line="283" w:lineRule="auto"/>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Expiration of Option</w:t>
      </w:r>
      <w:r>
        <w:rPr>
          <w:rFonts w:ascii="Times New Roman" w:cs="Times New Roman" w:eastAsia="Times New Roman" w:hAnsi="Times New Roman"/>
          <w:sz w:val="17"/>
          <w:szCs w:val="17"/>
          <w:color w:val="auto"/>
        </w:rPr>
        <w:t>. Subject to Section 5.3 of the Plan, the Option may not be exercised to any extent by anyone after, and will expire on, the first of the following to occur:</w:t>
      </w:r>
    </w:p>
    <w:p>
      <w:pPr>
        <w:spacing w:after="0" w:line="152" w:lineRule="exact"/>
        <w:rPr>
          <w:sz w:val="20"/>
          <w:szCs w:val="20"/>
          <w:color w:val="auto"/>
        </w:rPr>
      </w:pPr>
    </w:p>
    <w:p>
      <w:pPr>
        <w:ind w:left="1160" w:hanging="231"/>
        <w:spacing w:after="0"/>
        <w:tabs>
          <w:tab w:leader="none" w:pos="1160" w:val="left"/>
        </w:tabs>
        <w:numPr>
          <w:ilvl w:val="0"/>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final expiration date in the Grant Notice, which will in no event be more than ten (10) years from the Grant Date;</w:t>
      </w:r>
    </w:p>
    <w:p>
      <w:pPr>
        <w:spacing w:after="0" w:line="213" w:lineRule="exact"/>
        <w:rPr>
          <w:rFonts w:ascii="Times New Roman" w:cs="Times New Roman" w:eastAsia="Times New Roman" w:hAnsi="Times New Roman"/>
          <w:sz w:val="17"/>
          <w:szCs w:val="17"/>
          <w:color w:val="auto"/>
        </w:rPr>
      </w:pPr>
    </w:p>
    <w:p>
      <w:pPr>
        <w:ind w:right="100" w:firstLine="929"/>
        <w:spacing w:after="0" w:line="283" w:lineRule="auto"/>
        <w:tabs>
          <w:tab w:leader="none" w:pos="1180" w:val="left"/>
        </w:tabs>
        <w:numPr>
          <w:ilvl w:val="0"/>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this Option is designated as an Incentive Stock Option and Participant, at the time the Option was granted, was a Greater Than 10% Stockholder, the expiration of five (5) years from the Grant Date;</w:t>
      </w:r>
    </w:p>
    <w:p>
      <w:pPr>
        <w:spacing w:after="0" w:line="152" w:lineRule="exact"/>
        <w:rPr>
          <w:rFonts w:ascii="Times New Roman" w:cs="Times New Roman" w:eastAsia="Times New Roman" w:hAnsi="Times New Roman"/>
          <w:sz w:val="17"/>
          <w:szCs w:val="17"/>
          <w:color w:val="auto"/>
        </w:rPr>
      </w:pPr>
    </w:p>
    <w:p>
      <w:pPr>
        <w:ind w:right="240" w:firstLine="929"/>
        <w:spacing w:after="0" w:line="283" w:lineRule="auto"/>
        <w:tabs>
          <w:tab w:leader="none" w:pos="1170" w:val="left"/>
        </w:tabs>
        <w:numPr>
          <w:ilvl w:val="0"/>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the Administrator may otherwise approve, the expiration of three (3) months from the date of Participant’s Termination of Service, unless Participant’s Termination of Service is for Cause or by reason of Participant’s death or Disability;</w:t>
      </w:r>
    </w:p>
    <w:p>
      <w:pPr>
        <w:spacing w:after="0" w:line="152" w:lineRule="exact"/>
        <w:rPr>
          <w:rFonts w:ascii="Times New Roman" w:cs="Times New Roman" w:eastAsia="Times New Roman" w:hAnsi="Times New Roman"/>
          <w:sz w:val="17"/>
          <w:szCs w:val="17"/>
          <w:color w:val="auto"/>
        </w:rPr>
      </w:pPr>
    </w:p>
    <w:p>
      <w:pPr>
        <w:ind w:right="540" w:firstLine="929"/>
        <w:spacing w:after="0" w:line="283" w:lineRule="auto"/>
        <w:tabs>
          <w:tab w:leader="none" w:pos="1180" w:val="left"/>
        </w:tabs>
        <w:numPr>
          <w:ilvl w:val="0"/>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the Administrator may otherwise approve, the expiration of one (1) year from the date of Participant’s Termination of Service by reason of Participant’s death or Disability;</w:t>
      </w:r>
    </w:p>
    <w:p>
      <w:pPr>
        <w:sectPr>
          <w:pgSz w:w="11900" w:h="16838" w:orient="portrait"/>
          <w:cols w:equalWidth="0" w:num="1">
            <w:col w:w="10400"/>
          </w:cols>
          <w:pgMar w:left="740" w:top="260" w:right="759" w:bottom="1440" w:gutter="0" w:footer="0" w:header="0"/>
        </w:sectPr>
      </w:pPr>
    </w:p>
    <w:bookmarkStart w:id="397" w:name="page398"/>
    <w:bookmarkEnd w:id="397"/>
    <w:p>
      <w:pPr>
        <w:ind w:left="1169" w:hanging="231"/>
        <w:spacing w:after="0"/>
        <w:tabs>
          <w:tab w:leader="none" w:pos="1169" w:val="left"/>
        </w:tabs>
        <w:numPr>
          <w:ilvl w:val="1"/>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Except as the Administrator may otherwise approve, the date of Participant’s Termination of Service for Cause; and</w:t>
      </w:r>
    </w:p>
    <w:p>
      <w:pPr>
        <w:spacing w:after="0" w:line="213" w:lineRule="exact"/>
        <w:rPr>
          <w:rFonts w:ascii="Times New Roman" w:cs="Times New Roman" w:eastAsia="Times New Roman" w:hAnsi="Times New Roman"/>
          <w:sz w:val="17"/>
          <w:szCs w:val="17"/>
          <w:color w:val="auto"/>
        </w:rPr>
      </w:pPr>
    </w:p>
    <w:p>
      <w:pPr>
        <w:ind w:left="1149" w:hanging="211"/>
        <w:spacing w:after="0"/>
        <w:tabs>
          <w:tab w:leader="none" w:pos="1149" w:val="left"/>
        </w:tabs>
        <w:numPr>
          <w:ilvl w:val="1"/>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provided in clauses (c) or (d) above, with respect to any unvested portion of the Option, the date that is thirty</w:t>
      </w:r>
    </w:p>
    <w:p>
      <w:pPr>
        <w:spacing w:after="0" w:line="26" w:lineRule="exact"/>
        <w:rPr>
          <w:rFonts w:ascii="Times New Roman" w:cs="Times New Roman" w:eastAsia="Times New Roman" w:hAnsi="Times New Roman"/>
          <w:sz w:val="17"/>
          <w:szCs w:val="17"/>
          <w:color w:val="auto"/>
        </w:rPr>
      </w:pPr>
    </w:p>
    <w:p>
      <w:pPr>
        <w:ind w:left="9" w:right="120" w:hanging="9"/>
        <w:spacing w:after="0" w:line="261" w:lineRule="auto"/>
        <w:tabs>
          <w:tab w:leader="none" w:pos="335" w:val="left"/>
        </w:tabs>
        <w:numPr>
          <w:ilvl w:val="0"/>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following Participant’s Termination of Service by reason of Participant’s death or Disability, or such shorter period as may be determined by the Administrator.</w:t>
      </w:r>
    </w:p>
    <w:p>
      <w:pPr>
        <w:spacing w:after="0" w:line="371" w:lineRule="exact"/>
        <w:rPr>
          <w:sz w:val="20"/>
          <w:szCs w:val="20"/>
          <w:color w:val="auto"/>
        </w:rPr>
      </w:pPr>
    </w:p>
    <w:p>
      <w:pPr>
        <w:jc w:val="center"/>
        <w:ind w:right="-68"/>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30" w:lineRule="exact"/>
        <w:rPr>
          <w:sz w:val="20"/>
          <w:szCs w:val="20"/>
          <w:color w:val="auto"/>
        </w:rPr>
      </w:pPr>
    </w:p>
    <w:p>
      <w:pPr>
        <w:jc w:val="center"/>
        <w:ind w:right="-68"/>
        <w:spacing w:after="0"/>
        <w:rPr>
          <w:sz w:val="20"/>
          <w:szCs w:val="20"/>
          <w:color w:val="auto"/>
        </w:rPr>
      </w:pPr>
      <w:r>
        <w:rPr>
          <w:rFonts w:ascii="Times New Roman" w:cs="Times New Roman" w:eastAsia="Times New Roman" w:hAnsi="Times New Roman"/>
          <w:sz w:val="17"/>
          <w:szCs w:val="17"/>
          <w:b w:val="1"/>
          <w:bCs w:val="1"/>
          <w:color w:val="auto"/>
        </w:rPr>
        <w:t>EXERCISE OF OPTION</w:t>
      </w:r>
    </w:p>
    <w:p>
      <w:pPr>
        <w:spacing w:after="0" w:line="196" w:lineRule="exact"/>
        <w:rPr>
          <w:sz w:val="20"/>
          <w:szCs w:val="20"/>
          <w:color w:val="auto"/>
        </w:rPr>
      </w:pPr>
    </w:p>
    <w:p>
      <w:pPr>
        <w:ind w:left="9" w:right="200" w:firstLine="417"/>
        <w:spacing w:after="0" w:line="261"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Person Eligible to Exercise</w:t>
      </w:r>
      <w:r>
        <w:rPr>
          <w:rFonts w:ascii="Times New Roman" w:cs="Times New Roman" w:eastAsia="Times New Roman" w:hAnsi="Times New Roman"/>
          <w:sz w:val="17"/>
          <w:szCs w:val="17"/>
          <w:color w:val="auto"/>
        </w:rPr>
        <w:t>. During Participant’s lifetime, only Participant may exercise the Option, unless it has been disposed of, with the consent of the Administrator, pursuant to a domestic relations order. After Participant’s death, any exercisable portion of the Option may, prior to the time when the Option becomes unexercisable under Section 2.3 hereof, be exercised by Participant’s Designated Beneficiary or by any person empowered to do so under the deceased Participant’s will or under the then applicable laws of descent and distribution.</w:t>
      </w:r>
    </w:p>
    <w:p>
      <w:pPr>
        <w:spacing w:after="0" w:line="172" w:lineRule="exact"/>
        <w:rPr>
          <w:sz w:val="20"/>
          <w:szCs w:val="20"/>
          <w:color w:val="auto"/>
        </w:rPr>
      </w:pPr>
    </w:p>
    <w:p>
      <w:pPr>
        <w:jc w:val="both"/>
        <w:ind w:left="9" w:right="120" w:firstLine="417"/>
        <w:spacing w:after="0" w:line="267"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Manner of Exercise</w:t>
      </w:r>
      <w:r>
        <w:rPr>
          <w:rFonts w:ascii="Times New Roman" w:cs="Times New Roman" w:eastAsia="Times New Roman" w:hAnsi="Times New Roman"/>
          <w:sz w:val="17"/>
          <w:szCs w:val="17"/>
          <w:color w:val="auto"/>
        </w:rPr>
        <w:t>. The Option, or any exercisable portion thereof, may be exercised solely by delivery to the Secretary of the Company or the Secretary’s office, or such other place as may be determined by the Administrator, of all of the following prior to the time when the Option or such portion thereof becomes unexercisable under Section 2.3, except that the Option may only be exercised for whole Shares:</w:t>
      </w:r>
    </w:p>
    <w:p>
      <w:pPr>
        <w:spacing w:after="0" w:line="159" w:lineRule="exact"/>
        <w:rPr>
          <w:sz w:val="20"/>
          <w:szCs w:val="20"/>
          <w:color w:val="auto"/>
        </w:rPr>
      </w:pPr>
    </w:p>
    <w:p>
      <w:pPr>
        <w:ind w:left="1169" w:hanging="231"/>
        <w:spacing w:after="0"/>
        <w:tabs>
          <w:tab w:leader="none" w:pos="1169"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exercise notice in such form as is prescribed by the Administrator, which may be an electronic form (the “</w:t>
      </w:r>
      <w:r>
        <w:rPr>
          <w:rFonts w:ascii="Times New Roman" w:cs="Times New Roman" w:eastAsia="Times New Roman" w:hAnsi="Times New Roman"/>
          <w:sz w:val="17"/>
          <w:szCs w:val="17"/>
          <w:b w:val="1"/>
          <w:bCs w:val="1"/>
          <w:i w:val="1"/>
          <w:iCs w:val="1"/>
          <w:color w:val="auto"/>
        </w:rPr>
        <w:t>Exercise Notice</w:t>
      </w:r>
      <w:r>
        <w:rPr>
          <w:rFonts w:ascii="Times New Roman" w:cs="Times New Roman" w:eastAsia="Times New Roman" w:hAnsi="Times New Roman"/>
          <w:sz w:val="17"/>
          <w:szCs w:val="17"/>
          <w:color w:val="auto"/>
        </w:rPr>
        <w:t>”); and</w:t>
      </w:r>
    </w:p>
    <w:p>
      <w:pPr>
        <w:spacing w:after="0" w:line="219" w:lineRule="exact"/>
        <w:rPr>
          <w:rFonts w:ascii="Times New Roman" w:cs="Times New Roman" w:eastAsia="Times New Roman" w:hAnsi="Times New Roman"/>
          <w:sz w:val="17"/>
          <w:szCs w:val="17"/>
          <w:color w:val="auto"/>
        </w:rPr>
      </w:pPr>
    </w:p>
    <w:p>
      <w:pPr>
        <w:ind w:left="9" w:right="120" w:firstLine="929"/>
        <w:spacing w:after="0" w:line="283" w:lineRule="auto"/>
        <w:tabs>
          <w:tab w:leader="none" w:pos="1189"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5.5 of the Plan, full payment for the Shares with respect to which the Option or portion thereof is exercised, which payment may be made by Participant, by:</w:t>
      </w:r>
    </w:p>
    <w:p>
      <w:pPr>
        <w:spacing w:after="0" w:line="152" w:lineRule="exact"/>
        <w:rPr>
          <w:rFonts w:ascii="Times New Roman" w:cs="Times New Roman" w:eastAsia="Times New Roman" w:hAnsi="Times New Roman"/>
          <w:sz w:val="17"/>
          <w:szCs w:val="17"/>
          <w:color w:val="auto"/>
        </w:rPr>
      </w:pPr>
    </w:p>
    <w:p>
      <w:pPr>
        <w:ind w:left="1549" w:hanging="194"/>
        <w:spacing w:after="0"/>
        <w:tabs>
          <w:tab w:leader="none" w:pos="1549" w:val="left"/>
        </w:tabs>
        <w:numPr>
          <w:ilvl w:val="1"/>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wire transfer of immediately available funds or check, payable to the order of the Company; or</w:t>
      </w:r>
    </w:p>
    <w:p>
      <w:pPr>
        <w:spacing w:after="0" w:line="213" w:lineRule="exact"/>
        <w:rPr>
          <w:rFonts w:ascii="Times New Roman" w:cs="Times New Roman" w:eastAsia="Times New Roman" w:hAnsi="Times New Roman"/>
          <w:sz w:val="17"/>
          <w:szCs w:val="17"/>
          <w:color w:val="auto"/>
        </w:rPr>
      </w:pPr>
    </w:p>
    <w:p>
      <w:pPr>
        <w:ind w:left="9" w:right="200" w:firstLine="1346"/>
        <w:spacing w:after="0" w:line="283" w:lineRule="auto"/>
        <w:tabs>
          <w:tab w:leader="none" w:pos="1615" w:val="left"/>
        </w:tabs>
        <w:numPr>
          <w:ilvl w:val="1"/>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consent of the Administrator, surrender to or withholding by the Company of a net number of vested Shares issuable upon the exercise of the Option valued at their fair market value; or</w:t>
      </w:r>
    </w:p>
    <w:p>
      <w:pPr>
        <w:spacing w:after="0" w:line="152" w:lineRule="exact"/>
        <w:rPr>
          <w:rFonts w:ascii="Times New Roman" w:cs="Times New Roman" w:eastAsia="Times New Roman" w:hAnsi="Times New Roman"/>
          <w:sz w:val="17"/>
          <w:szCs w:val="17"/>
          <w:color w:val="auto"/>
        </w:rPr>
      </w:pPr>
    </w:p>
    <w:p>
      <w:pPr>
        <w:ind w:left="9" w:right="100" w:firstLine="1346"/>
        <w:spacing w:after="0" w:line="283" w:lineRule="auto"/>
        <w:tabs>
          <w:tab w:leader="none" w:pos="1662" w:val="left"/>
        </w:tabs>
        <w:numPr>
          <w:ilvl w:val="1"/>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consent of the Administrator, delivery (either by actual delivery or attestation) of Shares owned by Participant valued at their fair market value; or</w:t>
      </w:r>
    </w:p>
    <w:p>
      <w:pPr>
        <w:spacing w:after="0" w:line="152" w:lineRule="exact"/>
        <w:rPr>
          <w:rFonts w:ascii="Times New Roman" w:cs="Times New Roman" w:eastAsia="Times New Roman" w:hAnsi="Times New Roman"/>
          <w:sz w:val="17"/>
          <w:szCs w:val="17"/>
          <w:color w:val="auto"/>
        </w:rPr>
      </w:pPr>
    </w:p>
    <w:p>
      <w:pPr>
        <w:ind w:left="9" w:firstLine="1346"/>
        <w:spacing w:after="0" w:line="257" w:lineRule="auto"/>
        <w:tabs>
          <w:tab w:leader="none" w:pos="1653" w:val="left"/>
        </w:tabs>
        <w:numPr>
          <w:ilvl w:val="1"/>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there is a public market for the Shares at the time of exercise, unless the Company or the Administrator otherwise determines, through the (A) delivery (including electronically or telephonically to the extent permitted by the Company) of an irrevocable and unconditional undertaking by a broker acceptable to the Company to deliver promptly to the Company sufficient funds to pay the exercise price, or (B) delivery by Participant to the Company of a copy of irrevocable and unconditional instructions to a broker acceptable to the Company to deliver promptly to the Company cash or a check sufficient to pay the exercise price, provided in either case, that such amount is paid to the Company at such time as may be required by the Administrator; or</w:t>
      </w:r>
    </w:p>
    <w:p>
      <w:pPr>
        <w:sectPr>
          <w:pgSz w:w="11900" w:h="16838" w:orient="portrait"/>
          <w:cols w:equalWidth="0" w:num="1">
            <w:col w:w="10369"/>
          </w:cols>
          <w:pgMar w:left="731" w:top="264" w:right="799" w:bottom="1440" w:gutter="0" w:footer="0" w:header="0"/>
        </w:sectPr>
      </w:pPr>
    </w:p>
    <w:bookmarkStart w:id="398" w:name="page399"/>
    <w:bookmarkEnd w:id="398"/>
    <w:p>
      <w:pPr>
        <w:ind w:left="1580" w:hanging="234"/>
        <w:spacing w:after="0"/>
        <w:tabs>
          <w:tab w:leader="none" w:pos="1580" w:val="left"/>
        </w:tabs>
        <w:numPr>
          <w:ilvl w:val="1"/>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With the consent of the Administrator, any other form of payment permitted under Section 5.5 of the Plan; or</w:t>
      </w:r>
    </w:p>
    <w:p>
      <w:pPr>
        <w:spacing w:after="0" w:line="213" w:lineRule="exact"/>
        <w:rPr>
          <w:rFonts w:ascii="Times New Roman" w:cs="Times New Roman" w:eastAsia="Times New Roman" w:hAnsi="Times New Roman"/>
          <w:sz w:val="17"/>
          <w:szCs w:val="17"/>
          <w:color w:val="auto"/>
        </w:rPr>
      </w:pPr>
    </w:p>
    <w:p>
      <w:pPr>
        <w:ind w:left="1640" w:hanging="294"/>
        <w:spacing w:after="0"/>
        <w:tabs>
          <w:tab w:leader="none" w:pos="1640" w:val="left"/>
        </w:tabs>
        <w:numPr>
          <w:ilvl w:val="1"/>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combination of the above permitted forms of payment; and</w:t>
      </w:r>
    </w:p>
    <w:p>
      <w:pPr>
        <w:spacing w:after="0" w:line="213" w:lineRule="exact"/>
        <w:rPr>
          <w:rFonts w:ascii="Times New Roman" w:cs="Times New Roman" w:eastAsia="Times New Roman" w:hAnsi="Times New Roman"/>
          <w:sz w:val="17"/>
          <w:szCs w:val="17"/>
          <w:color w:val="auto"/>
        </w:rPr>
      </w:pPr>
    </w:p>
    <w:p>
      <w:pPr>
        <w:ind w:right="480" w:firstLine="929"/>
        <w:spacing w:after="0" w:line="283" w:lineRule="auto"/>
        <w:tabs>
          <w:tab w:leader="none" w:pos="1170" w:val="left"/>
        </w:tabs>
        <w:numPr>
          <w:ilvl w:val="0"/>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9.5 of the Plan, full payment for any applicable Tax Withholding Obligation (as defined below) as provided in Section 3.3 below; and</w:t>
      </w:r>
    </w:p>
    <w:p>
      <w:pPr>
        <w:spacing w:after="0" w:line="152" w:lineRule="exact"/>
        <w:rPr>
          <w:rFonts w:ascii="Times New Roman" w:cs="Times New Roman" w:eastAsia="Times New Roman" w:hAnsi="Times New Roman"/>
          <w:sz w:val="17"/>
          <w:szCs w:val="17"/>
          <w:color w:val="auto"/>
        </w:rPr>
      </w:pPr>
    </w:p>
    <w:p>
      <w:pPr>
        <w:ind w:right="340" w:firstLine="929"/>
        <w:spacing w:after="0" w:line="283" w:lineRule="auto"/>
        <w:tabs>
          <w:tab w:leader="none" w:pos="1180" w:val="left"/>
        </w:tabs>
        <w:numPr>
          <w:ilvl w:val="0"/>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the Option or portion thereof will be exercised pursuant to Section 3.1 by any person or persons other than Participant, appropriate proof of the right of such person or persons to exercise the Option.</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u w:val="single" w:color="auto"/>
          <w:color w:val="auto"/>
        </w:rPr>
        <w:t>Taxes; Tax Withholding</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ind w:right="40" w:firstLine="929"/>
        <w:spacing w:after="0" w:line="256" w:lineRule="auto"/>
        <w:tabs>
          <w:tab w:leader="none" w:pos="1170" w:val="left"/>
        </w:tabs>
        <w:numPr>
          <w:ilvl w:val="0"/>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 be obligated to deliver any certificate representing Shares issuable with respect to the Option to Participant or his or her legal representative unless and until Participant or his or her legal representative will have paid or otherwise satisfied in full the amount of all federal, state, local and foreign taxes required by Applicable Law to be withheld in connection with the vesting, exercise or settlement of the Option, the distribution of the Shares issuable with respect thereto, or any other taxable event related to the Option (the “</w:t>
      </w:r>
      <w:r>
        <w:rPr>
          <w:rFonts w:ascii="Times New Roman" w:cs="Times New Roman" w:eastAsia="Times New Roman" w:hAnsi="Times New Roman"/>
          <w:sz w:val="17"/>
          <w:szCs w:val="17"/>
          <w:b w:val="1"/>
          <w:bCs w:val="1"/>
          <w:i w:val="1"/>
          <w:iCs w:val="1"/>
          <w:color w:val="auto"/>
        </w:rPr>
        <w:t>Tax Withholding Obligation</w:t>
      </w:r>
      <w:r>
        <w:rPr>
          <w:rFonts w:ascii="Times New Roman" w:cs="Times New Roman" w:eastAsia="Times New Roman" w:hAnsi="Times New Roman"/>
          <w:sz w:val="17"/>
          <w:szCs w:val="17"/>
          <w:color w:val="auto"/>
        </w:rPr>
        <w:t>”). The Company will have the authority and the right to deduct or withhold, or require Participant to remit to the Company, an amount sufficient to satisfy any Tax Withholding Obligation, including, without limitation, the authority to deduct such amounts from other compensation payable to Participant by the Company.</w:t>
      </w:r>
    </w:p>
    <w:p>
      <w:pPr>
        <w:spacing w:after="0" w:line="175" w:lineRule="exact"/>
        <w:rPr>
          <w:rFonts w:ascii="Times New Roman" w:cs="Times New Roman" w:eastAsia="Times New Roman" w:hAnsi="Times New Roman"/>
          <w:sz w:val="17"/>
          <w:szCs w:val="17"/>
          <w:color w:val="auto"/>
        </w:rPr>
      </w:pPr>
    </w:p>
    <w:p>
      <w:pPr>
        <w:ind w:firstLine="929"/>
        <w:spacing w:after="0" w:line="256" w:lineRule="auto"/>
        <w:tabs>
          <w:tab w:leader="none" w:pos="1180" w:val="left"/>
        </w:tabs>
        <w:numPr>
          <w:ilvl w:val="0"/>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Participant elects to satisfy the Tax Withholding Obligation by some other means in accordance with Section 9.5 of the Plan, the Company will have the right, but not the obligation, with respect to the Tax Withholding Obligation arising as a result of the vesting, exercise or settlement of the Option, to treat Participant’s failure to provide timely payment in accordance with Section 9.5 of the Plan as Participant’s election to satisfy the Tax Withholding Obligation by requesting the Company to withhold a net number of vested Shares otherwise issuable pursuant to the Option having a then-current fair market value not exceeding the amount necessary to satisfy the Tax Withholding Obligation in accordance with Section 9.5 of the Plan (provided that if Participant is subject to Section 16 of the Exchange Act, any such action by the Company will require the approval of the Administrator).</w:t>
      </w:r>
    </w:p>
    <w:p>
      <w:pPr>
        <w:spacing w:after="0" w:line="175" w:lineRule="exact"/>
        <w:rPr>
          <w:rFonts w:ascii="Times New Roman" w:cs="Times New Roman" w:eastAsia="Times New Roman" w:hAnsi="Times New Roman"/>
          <w:sz w:val="17"/>
          <w:szCs w:val="17"/>
          <w:color w:val="auto"/>
        </w:rPr>
      </w:pPr>
    </w:p>
    <w:p>
      <w:pPr>
        <w:ind w:right="60" w:firstLine="929"/>
        <w:spacing w:after="0" w:line="261" w:lineRule="auto"/>
        <w:tabs>
          <w:tab w:leader="none" w:pos="1170" w:val="left"/>
        </w:tabs>
        <w:numPr>
          <w:ilvl w:val="0"/>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do not commit and are under no obligation to structure the Option to reduce or eliminate Participant’s tax liability. Neither the Company nor any Subsidiary makes any representation or undertaking regarding the tax treatment to Participant in connection with the awarding, vesting or exercise of the Option or the subsequent sale of Shares. The Company and its Subsidiaries do not commit and are under no obligation to structure the Option to reduce or eliminate Participant’s tax liability.</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PROVISIONS</w:t>
      </w:r>
    </w:p>
    <w:p>
      <w:pPr>
        <w:spacing w:after="0" w:line="196" w:lineRule="exact"/>
        <w:rPr>
          <w:sz w:val="20"/>
          <w:szCs w:val="20"/>
          <w:color w:val="auto"/>
        </w:rPr>
      </w:pPr>
    </w:p>
    <w:p>
      <w:pPr>
        <w:ind w:right="140" w:firstLine="417"/>
        <w:spacing w:after="0" w:line="261"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Award Not Transferable; Other Restrictions</w:t>
      </w:r>
      <w:r>
        <w:rPr>
          <w:rFonts w:ascii="Times New Roman" w:cs="Times New Roman" w:eastAsia="Times New Roman" w:hAnsi="Times New Roman"/>
          <w:sz w:val="17"/>
          <w:szCs w:val="17"/>
          <w:color w:val="auto"/>
        </w:rPr>
        <w:t>. Without limiting the generality of any other provision hereof, the Award will be subject to the restrictions on transferability set forth in Section 9.1 of the Plan. Without limiting the generality of any other provision hereof, Participant hereby expressly acknowledges that Section 10.8 (“</w:t>
      </w:r>
      <w:r>
        <w:rPr>
          <w:rFonts w:ascii="Times New Roman" w:cs="Times New Roman" w:eastAsia="Times New Roman" w:hAnsi="Times New Roman"/>
          <w:sz w:val="17"/>
          <w:szCs w:val="17"/>
          <w:i w:val="1"/>
          <w:iCs w:val="1"/>
          <w:color w:val="auto"/>
        </w:rPr>
        <w:t>Lock-Up Period</w:t>
      </w:r>
      <w:r>
        <w:rPr>
          <w:rFonts w:ascii="Times New Roman" w:cs="Times New Roman" w:eastAsia="Times New Roman" w:hAnsi="Times New Roman"/>
          <w:sz w:val="17"/>
          <w:szCs w:val="17"/>
          <w:color w:val="auto"/>
        </w:rPr>
        <w:t>”) of the Plan is expressly incorporated into this Agreement and is applicable to the Shares issued pursuant to this Agreement.</w:t>
      </w:r>
    </w:p>
    <w:p>
      <w:pPr>
        <w:sectPr>
          <w:pgSz w:w="11900" w:h="16838" w:orient="portrait"/>
          <w:cols w:equalWidth="0" w:num="1">
            <w:col w:w="10420"/>
          </w:cols>
          <w:pgMar w:left="740" w:top="264" w:right="739" w:bottom="1440" w:gutter="0" w:footer="0" w:header="0"/>
        </w:sectPr>
      </w:pPr>
    </w:p>
    <w:bookmarkStart w:id="399" w:name="page400"/>
    <w:bookmarkEnd w:id="399"/>
    <w:p>
      <w:pPr>
        <w:ind w:firstLine="417"/>
        <w:spacing w:after="0" w:line="25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4.2 </w:t>
      </w:r>
      <w:r>
        <w:rPr>
          <w:rFonts w:ascii="Times New Roman" w:cs="Times New Roman" w:eastAsia="Times New Roman" w:hAnsi="Times New Roman"/>
          <w:sz w:val="17"/>
          <w:szCs w:val="17"/>
          <w:u w:val="single" w:color="auto"/>
          <w:color w:val="auto"/>
        </w:rPr>
        <w:t>Clawback Provisions</w:t>
      </w:r>
      <w:r>
        <w:rPr>
          <w:rFonts w:ascii="Times New Roman" w:cs="Times New Roman" w:eastAsia="Times New Roman" w:hAnsi="Times New Roman"/>
          <w:sz w:val="17"/>
          <w:szCs w:val="17"/>
          <w:color w:val="auto"/>
        </w:rPr>
        <w:t>. By executing this Agreement and accepting this Award, Participant agrees that all compensation received by Participant, including Awards under the Plan (including, without limitation, any proceeds, gains or other economic benefit actually or constructively received by Participant upon receipt or exercise of this Award or upon the receipt or resale of any Shares underlying this Award), shall be subject to reduction, cancellation, forfeiture and/or recoupment to the extent necessary to comply with the Recovery Arrangements and Section 10.13 of the Plan, notwithstanding any other agreement to the contrary. Participant agrees that Participant is not entitled to indemnification in connection with any enforcement of the Recovery Arrangements and expressly waives any rights to such indemnification under the Company’s organizational documents or otherwise. By executing this Award Agreement, Participant agrees to take all required action in a reasonably prompt manner, as applicable, to enable the enforcement of the Recovery Arrangements and Section 10.13 of the Plan.</w:t>
      </w:r>
    </w:p>
    <w:p>
      <w:pPr>
        <w:spacing w:after="0" w:line="178" w:lineRule="exact"/>
        <w:rPr>
          <w:sz w:val="20"/>
          <w:szCs w:val="20"/>
          <w:color w:val="auto"/>
        </w:rPr>
      </w:pPr>
    </w:p>
    <w:p>
      <w:pPr>
        <w:ind w:right="100" w:firstLine="417"/>
        <w:spacing w:after="0" w:line="283" w:lineRule="auto"/>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u w:val="single" w:color="auto"/>
          <w:color w:val="auto"/>
        </w:rPr>
        <w:t>Adjustments</w:t>
      </w:r>
      <w:r>
        <w:rPr>
          <w:rFonts w:ascii="Times New Roman" w:cs="Times New Roman" w:eastAsia="Times New Roman" w:hAnsi="Times New Roman"/>
          <w:sz w:val="17"/>
          <w:szCs w:val="17"/>
          <w:color w:val="auto"/>
        </w:rPr>
        <w:t>. Participant acknowledges that the Option is subject to adjustment, modification and termination in certain events as provided in this Agreement and the Plan.</w:t>
      </w:r>
    </w:p>
    <w:p>
      <w:pPr>
        <w:spacing w:after="0" w:line="152" w:lineRule="exact"/>
        <w:rPr>
          <w:sz w:val="20"/>
          <w:szCs w:val="20"/>
          <w:color w:val="auto"/>
        </w:rPr>
      </w:pPr>
    </w:p>
    <w:p>
      <w:pPr>
        <w:ind w:firstLine="417"/>
        <w:spacing w:after="0" w:line="255"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person entitled to exercise the Option)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4.5 </w:t>
      </w:r>
      <w:r>
        <w:rPr>
          <w:rFonts w:ascii="Times New Roman" w:cs="Times New Roman" w:eastAsia="Times New Roman" w:hAnsi="Times New Roman"/>
          <w:sz w:val="17"/>
          <w:szCs w:val="17"/>
          <w:u w:val="single" w:color="auto"/>
          <w:color w:val="auto"/>
        </w:rPr>
        <w:t>Titles</w:t>
      </w:r>
      <w:r>
        <w:rPr>
          <w:rFonts w:ascii="Times New Roman" w:cs="Times New Roman" w:eastAsia="Times New Roman" w:hAnsi="Times New Roman"/>
          <w:sz w:val="17"/>
          <w:szCs w:val="17"/>
          <w:color w:val="auto"/>
        </w:rPr>
        <w:t>. Titles are provided herein for convenience only and are not to serve as a basis for interpretation or construction of this Agreement.</w:t>
      </w:r>
    </w:p>
    <w:p>
      <w:pPr>
        <w:spacing w:after="0" w:line="213" w:lineRule="exact"/>
        <w:rPr>
          <w:sz w:val="20"/>
          <w:szCs w:val="20"/>
          <w:color w:val="auto"/>
        </w:rPr>
      </w:pPr>
    </w:p>
    <w:p>
      <w:pPr>
        <w:ind w:right="220" w:firstLine="417"/>
        <w:spacing w:after="0" w:line="257" w:lineRule="auto"/>
        <w:rPr>
          <w:sz w:val="20"/>
          <w:szCs w:val="20"/>
          <w:color w:val="auto"/>
        </w:rPr>
      </w:pPr>
      <w:r>
        <w:rPr>
          <w:rFonts w:ascii="Times New Roman" w:cs="Times New Roman" w:eastAsia="Times New Roman" w:hAnsi="Times New Roman"/>
          <w:sz w:val="17"/>
          <w:szCs w:val="17"/>
          <w:color w:val="auto"/>
        </w:rPr>
        <w:t xml:space="preserve">4.6 </w:t>
      </w:r>
      <w:r>
        <w:rPr>
          <w:rFonts w:ascii="Times New Roman" w:cs="Times New Roman" w:eastAsia="Times New Roman" w:hAnsi="Times New Roman"/>
          <w:sz w:val="17"/>
          <w:szCs w:val="17"/>
          <w:u w:val="single" w:color="auto"/>
          <w:color w:val="auto"/>
        </w:rPr>
        <w:t>Conformity to Securities Laws</w:t>
      </w:r>
      <w:r>
        <w:rPr>
          <w:rFonts w:ascii="Times New Roman" w:cs="Times New Roman" w:eastAsia="Times New Roman" w:hAnsi="Times New Roman"/>
          <w:sz w:val="17"/>
          <w:szCs w:val="17"/>
          <w:color w:val="auto"/>
        </w:rPr>
        <w:t>. Notwithstanding any other provision of the Plan or this Agreement, if Participant is subject to Section 16 of the Exchange Act, the Plan, the Grant Notice, this Agreement and the Option will be subject to any additional limitations set forth in any applicable exemptive rule under Section 16 of the Exchange Act (including any amendment to Rule 16b-3) that are requirements for the application of such exemptive rule. Participant acknowledges that the Plan, the Grant Notice and this Agreement are intended to conform to the extent necessary with all Applicable Laws and, to the extent Applicable Laws permit, will be deemed amended to the extent necessary to conform to such Applicable Laws or any such exemptive rule described in the preceding sentence.</w:t>
      </w:r>
    </w:p>
    <w:p>
      <w:pPr>
        <w:spacing w:after="0" w:line="175" w:lineRule="exact"/>
        <w:rPr>
          <w:sz w:val="20"/>
          <w:szCs w:val="20"/>
          <w:color w:val="auto"/>
        </w:rPr>
      </w:pPr>
    </w:p>
    <w:p>
      <w:pPr>
        <w:jc w:val="both"/>
        <w:ind w:right="40" w:firstLine="417"/>
        <w:spacing w:after="0" w:line="267" w:lineRule="auto"/>
        <w:rPr>
          <w:sz w:val="20"/>
          <w:szCs w:val="20"/>
          <w:color w:val="auto"/>
        </w:rPr>
      </w:pPr>
      <w:r>
        <w:rPr>
          <w:rFonts w:ascii="Times New Roman" w:cs="Times New Roman" w:eastAsia="Times New Roman" w:hAnsi="Times New Roman"/>
          <w:sz w:val="17"/>
          <w:szCs w:val="17"/>
          <w:color w:val="auto"/>
        </w:rPr>
        <w:t xml:space="preserve">4.7 </w:t>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spacing w:after="0" w:line="165" w:lineRule="exact"/>
        <w:rPr>
          <w:sz w:val="20"/>
          <w:szCs w:val="20"/>
          <w:color w:val="auto"/>
        </w:rPr>
      </w:pPr>
    </w:p>
    <w:p>
      <w:pPr>
        <w:jc w:val="both"/>
        <w:ind w:firstLine="417"/>
        <w:spacing w:after="0" w:line="267" w:lineRule="auto"/>
        <w:rPr>
          <w:sz w:val="20"/>
          <w:szCs w:val="20"/>
          <w:color w:val="auto"/>
        </w:rPr>
      </w:pPr>
      <w:r>
        <w:rPr>
          <w:rFonts w:ascii="Times New Roman" w:cs="Times New Roman" w:eastAsia="Times New Roman" w:hAnsi="Times New Roman"/>
          <w:sz w:val="17"/>
          <w:szCs w:val="17"/>
          <w:color w:val="auto"/>
        </w:rPr>
        <w:t xml:space="preserve">4.8 </w:t>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The Plan, the Grant Notice and this Agreement constitute the entire agreement of the parties and supersede in their entirety all prior undertakings and agreements of the Company and Participant with respect to the subject matter hereof. This Agreement may be amended by the Company in accordance with Section 9.6 of the Plan.</w:t>
      </w:r>
    </w:p>
    <w:p>
      <w:pPr>
        <w:sectPr>
          <w:pgSz w:w="11900" w:h="16838" w:orient="portrait"/>
          <w:cols w:equalWidth="0" w:num="1">
            <w:col w:w="10400"/>
          </w:cols>
          <w:pgMar w:left="740" w:top="263" w:right="759" w:bottom="1440" w:gutter="0" w:footer="0" w:header="0"/>
        </w:sectPr>
      </w:pPr>
    </w:p>
    <w:bookmarkStart w:id="400" w:name="page401"/>
    <w:bookmarkEnd w:id="400"/>
    <w:p>
      <w:pPr>
        <w:ind w:right="100" w:firstLine="417"/>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4.9 </w:t>
      </w:r>
      <w:r>
        <w:rPr>
          <w:rFonts w:ascii="Times New Roman" w:cs="Times New Roman" w:eastAsia="Times New Roman" w:hAnsi="Times New Roman"/>
          <w:sz w:val="17"/>
          <w:szCs w:val="17"/>
          <w:u w:val="single" w:color="auto"/>
          <w:color w:val="auto"/>
        </w:rPr>
        <w:t>Agreement Severable</w:t>
      </w:r>
      <w:r>
        <w:rPr>
          <w:rFonts w:ascii="Times New Roman" w:cs="Times New Roman" w:eastAsia="Times New Roman" w:hAnsi="Times New Roman"/>
          <w:sz w:val="17"/>
          <w:szCs w:val="17"/>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65" w:lineRule="exact"/>
        <w:rPr>
          <w:sz w:val="20"/>
          <w:szCs w:val="20"/>
          <w:color w:val="auto"/>
        </w:rPr>
      </w:pPr>
    </w:p>
    <w:p>
      <w:pPr>
        <w:ind w:firstLine="417"/>
        <w:spacing w:after="0" w:line="259" w:lineRule="auto"/>
        <w:rPr>
          <w:sz w:val="20"/>
          <w:szCs w:val="20"/>
          <w:color w:val="auto"/>
        </w:rPr>
      </w:pPr>
      <w:r>
        <w:rPr>
          <w:rFonts w:ascii="Times New Roman" w:cs="Times New Roman" w:eastAsia="Times New Roman" w:hAnsi="Times New Roman"/>
          <w:sz w:val="17"/>
          <w:szCs w:val="17"/>
          <w:color w:val="auto"/>
        </w:rPr>
        <w:t xml:space="preserve">4.10 </w:t>
      </w:r>
      <w:r>
        <w:rPr>
          <w:rFonts w:ascii="Times New Roman" w:cs="Times New Roman" w:eastAsia="Times New Roman" w:hAnsi="Times New Roman"/>
          <w:sz w:val="17"/>
          <w:szCs w:val="17"/>
          <w:u w:val="single" w:color="auto"/>
          <w:color w:val="auto"/>
        </w:rPr>
        <w:t>Limitation on Participant’s Rights</w:t>
      </w:r>
      <w:r>
        <w:rPr>
          <w:rFonts w:ascii="Times New Roman" w:cs="Times New Roman" w:eastAsia="Times New Roman" w:hAnsi="Times New Roman"/>
          <w:sz w:val="17"/>
          <w:szCs w:val="17"/>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Option, and rights no greater than the right to receive the Shares as a general unsecured creditor with respect to the Option, as and when exercised pursuant to the terms of this Agreement.</w:t>
      </w:r>
    </w:p>
    <w:p>
      <w:pPr>
        <w:spacing w:after="0" w:line="172" w:lineRule="exact"/>
        <w:rPr>
          <w:sz w:val="20"/>
          <w:szCs w:val="20"/>
          <w:color w:val="auto"/>
        </w:rPr>
      </w:pPr>
    </w:p>
    <w:p>
      <w:pPr>
        <w:ind w:right="120" w:firstLine="417"/>
        <w:spacing w:after="0" w:line="257" w:lineRule="auto"/>
        <w:rPr>
          <w:sz w:val="20"/>
          <w:szCs w:val="20"/>
          <w:color w:val="auto"/>
        </w:rPr>
      </w:pPr>
      <w:r>
        <w:rPr>
          <w:rFonts w:ascii="Times New Roman" w:cs="Times New Roman" w:eastAsia="Times New Roman" w:hAnsi="Times New Roman"/>
          <w:sz w:val="17"/>
          <w:szCs w:val="17"/>
          <w:color w:val="auto"/>
        </w:rPr>
        <w:t xml:space="preserve">4.11 </w:t>
      </w:r>
      <w:r>
        <w:rPr>
          <w:rFonts w:ascii="Times New Roman" w:cs="Times New Roman" w:eastAsia="Times New Roman" w:hAnsi="Times New Roman"/>
          <w:sz w:val="17"/>
          <w:szCs w:val="17"/>
          <w:u w:val="single" w:color="auto"/>
          <w:color w:val="auto"/>
        </w:rPr>
        <w:t>Rights as a Stockholder</w:t>
      </w:r>
      <w:r>
        <w:rPr>
          <w:rFonts w:ascii="Times New Roman" w:cs="Times New Roman" w:eastAsia="Times New Roman" w:hAnsi="Times New Roman"/>
          <w:sz w:val="17"/>
          <w:szCs w:val="17"/>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w:t>
      </w:r>
    </w:p>
    <w:p>
      <w:pPr>
        <w:spacing w:after="0" w:line="175" w:lineRule="exact"/>
        <w:rPr>
          <w:sz w:val="20"/>
          <w:szCs w:val="20"/>
          <w:color w:val="auto"/>
        </w:rPr>
      </w:pPr>
    </w:p>
    <w:p>
      <w:pPr>
        <w:ind w:right="60" w:firstLine="417"/>
        <w:spacing w:after="0" w:line="261" w:lineRule="auto"/>
        <w:rPr>
          <w:sz w:val="20"/>
          <w:szCs w:val="20"/>
          <w:color w:val="auto"/>
        </w:rPr>
      </w:pPr>
      <w:r>
        <w:rPr>
          <w:rFonts w:ascii="Times New Roman" w:cs="Times New Roman" w:eastAsia="Times New Roman" w:hAnsi="Times New Roman"/>
          <w:sz w:val="17"/>
          <w:szCs w:val="17"/>
          <w:color w:val="auto"/>
        </w:rPr>
        <w:t xml:space="preserve">4.12 </w:t>
      </w:r>
      <w:r>
        <w:rPr>
          <w:rFonts w:ascii="Times New Roman" w:cs="Times New Roman" w:eastAsia="Times New Roman" w:hAnsi="Times New Roman"/>
          <w:sz w:val="17"/>
          <w:szCs w:val="17"/>
          <w:u w:val="single" w:color="auto"/>
          <w:color w:val="auto"/>
        </w:rPr>
        <w:t>Not a Contract of Employment</w:t>
      </w:r>
      <w:r>
        <w:rPr>
          <w:rFonts w:ascii="Times New Roman" w:cs="Times New Roman" w:eastAsia="Times New Roman" w:hAnsi="Times New Roman"/>
          <w:sz w:val="17"/>
          <w:szCs w:val="17"/>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72" w:lineRule="exact"/>
        <w:rPr>
          <w:sz w:val="20"/>
          <w:szCs w:val="20"/>
          <w:color w:val="auto"/>
        </w:rPr>
      </w:pPr>
    </w:p>
    <w:p>
      <w:pPr>
        <w:ind w:right="540" w:firstLine="417"/>
        <w:spacing w:after="0" w:line="283" w:lineRule="auto"/>
        <w:rPr>
          <w:sz w:val="20"/>
          <w:szCs w:val="20"/>
          <w:color w:val="auto"/>
        </w:rPr>
      </w:pPr>
      <w:r>
        <w:rPr>
          <w:rFonts w:ascii="Times New Roman" w:cs="Times New Roman" w:eastAsia="Times New Roman" w:hAnsi="Times New Roman"/>
          <w:sz w:val="17"/>
          <w:szCs w:val="17"/>
          <w:color w:val="auto"/>
        </w:rPr>
        <w:t xml:space="preserve">4.13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52" w:lineRule="exact"/>
        <w:rPr>
          <w:sz w:val="20"/>
          <w:szCs w:val="20"/>
          <w:color w:val="auto"/>
        </w:rPr>
      </w:pPr>
    </w:p>
    <w:p>
      <w:pPr>
        <w:ind w:right="40" w:firstLine="417"/>
        <w:spacing w:after="0" w:line="267" w:lineRule="auto"/>
        <w:rPr>
          <w:sz w:val="20"/>
          <w:szCs w:val="20"/>
          <w:color w:val="auto"/>
        </w:rPr>
      </w:pPr>
      <w:r>
        <w:rPr>
          <w:rFonts w:ascii="Times New Roman" w:cs="Times New Roman" w:eastAsia="Times New Roman" w:hAnsi="Times New Roman"/>
          <w:sz w:val="17"/>
          <w:szCs w:val="17"/>
          <w:color w:val="auto"/>
        </w:rPr>
        <w:t xml:space="preserve">4.14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The provisions of the Plan and all Awards made thereunder, including the Option, shall be governed by and interpreted in accordance with the laws of the State of Delaware, disregarding choice-of-law principles of the law of any state that would require the application of the laws of a jurisdiction other than such state.</w:t>
      </w:r>
    </w:p>
    <w:p>
      <w:pPr>
        <w:spacing w:after="0" w:line="165" w:lineRule="exact"/>
        <w:rPr>
          <w:sz w:val="20"/>
          <w:szCs w:val="20"/>
          <w:color w:val="auto"/>
        </w:rPr>
      </w:pPr>
    </w:p>
    <w:p>
      <w:pPr>
        <w:ind w:right="100" w:firstLine="417"/>
        <w:spacing w:after="0" w:line="283" w:lineRule="auto"/>
        <w:rPr>
          <w:sz w:val="20"/>
          <w:szCs w:val="20"/>
          <w:color w:val="auto"/>
        </w:rPr>
      </w:pPr>
      <w:r>
        <w:rPr>
          <w:rFonts w:ascii="Times New Roman" w:cs="Times New Roman" w:eastAsia="Times New Roman" w:hAnsi="Times New Roman"/>
          <w:sz w:val="17"/>
          <w:szCs w:val="17"/>
          <w:color w:val="auto"/>
        </w:rPr>
        <w:t xml:space="preserve">4.15 </w:t>
      </w:r>
      <w:r>
        <w:rPr>
          <w:rFonts w:ascii="Times New Roman" w:cs="Times New Roman" w:eastAsia="Times New Roman" w:hAnsi="Times New Roman"/>
          <w:sz w:val="17"/>
          <w:szCs w:val="17"/>
          <w:u w:val="single" w:color="auto"/>
          <w:color w:val="auto"/>
        </w:rPr>
        <w:t>Incentive Stock Options</w:t>
      </w:r>
      <w:r>
        <w:rPr>
          <w:rFonts w:ascii="Times New Roman" w:cs="Times New Roman" w:eastAsia="Times New Roman" w:hAnsi="Times New Roman"/>
          <w:sz w:val="17"/>
          <w:szCs w:val="17"/>
          <w:color w:val="auto"/>
        </w:rPr>
        <w:t>. If the Option is designated as an Incentive Stock Option, the following provisions, in addition to the terms set forth in Section 5.6 of the Plan, will apply to the Option:</w:t>
      </w:r>
    </w:p>
    <w:p>
      <w:pPr>
        <w:spacing w:after="0" w:line="152" w:lineRule="exact"/>
        <w:rPr>
          <w:sz w:val="20"/>
          <w:szCs w:val="20"/>
          <w:color w:val="auto"/>
        </w:rPr>
      </w:pPr>
    </w:p>
    <w:p>
      <w:pPr>
        <w:ind w:right="60" w:firstLine="929"/>
        <w:spacing w:after="0" w:line="255" w:lineRule="auto"/>
        <w:tabs>
          <w:tab w:leader="none" w:pos="1170" w:val="left"/>
        </w:tabs>
        <w:numPr>
          <w:ilvl w:val="0"/>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Participant acknowledges that to the extent the aggregate fair market value of shares (determined as of the time the option with respect to the shares is granted) with respect to which stock options intended to qualify as “incentive stock options” under Section 422 of the Code, including the Option, are exercisable for the first time by Participant during any calendar year exceeds $100,000 or if for any other reason such stock options do not qualify or cease to qualify for treatment as “incentive stock options” under Section 422 of the Code, such stock options (including the Option) will be treated as non-qualified stock options. Participant further acknowledges that the rule set forth in the preceding sentence will be applied by taking the Option and other stock options into account in the order in which they were granted, as determined under Section 422(d) of the Code. Participant acknowledges that amendments or modifications made to the Option pursuant to the Plan that would cause the Option to become a Non-Qualified Stock Option will not materially or adversely affect Participant’s rights under the Option, and</w:t>
      </w:r>
    </w:p>
    <w:p>
      <w:pPr>
        <w:sectPr>
          <w:pgSz w:w="11900" w:h="16838" w:orient="portrait"/>
          <w:cols w:equalWidth="0" w:num="1">
            <w:col w:w="10420"/>
          </w:cols>
          <w:pgMar w:left="740" w:top="263" w:right="739" w:bottom="1440" w:gutter="0" w:footer="0" w:header="0"/>
        </w:sectPr>
      </w:pPr>
    </w:p>
    <w:bookmarkStart w:id="401" w:name="page402"/>
    <w:bookmarkEnd w:id="401"/>
    <w:p>
      <w:pPr>
        <w:ind w:right="100"/>
        <w:spacing w:after="0" w:line="26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that any such amendment or modification will not require Participant’s consent. Participant also acknowledges that if the Option is exercised more than three (3) months after Participant’s Termination of Service as an Employee, other than by reason of death or Disability, the Option will be taxed as a Non-Qualified Stock Option. If the Option is an Incentive Stock Option and Participant is a Greater Than 10% Stockholder as of the Grant Date, the term of the Option will not exceed five (5) years from the Grant Date.</w:t>
      </w:r>
    </w:p>
    <w:p>
      <w:pPr>
        <w:spacing w:after="0" w:line="172" w:lineRule="exact"/>
        <w:rPr>
          <w:sz w:val="20"/>
          <w:szCs w:val="20"/>
          <w:color w:val="auto"/>
        </w:rPr>
      </w:pPr>
    </w:p>
    <w:p>
      <w:pPr>
        <w:ind w:right="80" w:firstLine="929"/>
        <w:spacing w:after="0" w:line="261" w:lineRule="auto"/>
        <w:tabs>
          <w:tab w:leader="none" w:pos="1180" w:val="left"/>
        </w:tabs>
        <w:numPr>
          <w:ilvl w:val="0"/>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Participant will give prompt written notice to the Company of any disposition or other transfer of any Shares acquired under this Agreement if such disposition or other transfer is made (a) within two (2) years from the Grant Date or (b) within one (1) year after the transfer of such Shares to Participant. Such notice will specify the date of such disposition or other transfer and the amount realized, in cash, other property, assumption of indebtedness or other consideration, by Participant in such disposition or other transfer.</w:t>
      </w:r>
    </w:p>
    <w:p>
      <w:pPr>
        <w:spacing w:after="0" w:line="172" w:lineRule="exact"/>
        <w:rPr>
          <w:sz w:val="20"/>
          <w:szCs w:val="20"/>
          <w:color w:val="auto"/>
        </w:rPr>
      </w:pPr>
    </w:p>
    <w:p>
      <w:pPr>
        <w:ind w:firstLine="417"/>
        <w:spacing w:after="0" w:line="261" w:lineRule="auto"/>
        <w:rPr>
          <w:sz w:val="20"/>
          <w:szCs w:val="20"/>
          <w:color w:val="auto"/>
        </w:rPr>
      </w:pPr>
      <w:r>
        <w:rPr>
          <w:rFonts w:ascii="Times New Roman" w:cs="Times New Roman" w:eastAsia="Times New Roman" w:hAnsi="Times New Roman"/>
          <w:sz w:val="17"/>
          <w:szCs w:val="17"/>
          <w:color w:val="auto"/>
        </w:rPr>
        <w:t xml:space="preserve">4.16 </w:t>
      </w:r>
      <w:r>
        <w:rPr>
          <w:rFonts w:ascii="Times New Roman" w:cs="Times New Roman" w:eastAsia="Times New Roman" w:hAnsi="Times New Roman"/>
          <w:sz w:val="17"/>
          <w:szCs w:val="17"/>
          <w:u w:val="single" w:color="auto"/>
          <w:color w:val="auto"/>
        </w:rPr>
        <w:t>Electronic Delivery and Acceptance</w:t>
      </w:r>
      <w:r>
        <w:rPr>
          <w:rFonts w:ascii="Times New Roman" w:cs="Times New Roman" w:eastAsia="Times New Roman" w:hAnsi="Times New Roman"/>
          <w:sz w:val="17"/>
          <w:szCs w:val="17"/>
          <w:color w:val="auto"/>
        </w:rPr>
        <w:t>. The Company may, in its sole discretion, decide to deliver any documents related to the Option awarded under the Plan or future options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ectPr>
          <w:pgSz w:w="11900" w:h="16838" w:orient="portrait"/>
          <w:cols w:equalWidth="0" w:num="1">
            <w:col w:w="10400"/>
          </w:cols>
          <w:pgMar w:left="740" w:top="264" w:right="759" w:bottom="1440" w:gutter="0" w:footer="0" w:header="0"/>
        </w:sectPr>
      </w:pPr>
    </w:p>
    <w:bookmarkStart w:id="402" w:name="page403"/>
    <w:bookmarkEnd w:id="402"/>
    <w:p>
      <w:pPr>
        <w:jc w:val="right"/>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162560</wp:posOffset>
            </wp:positionV>
            <wp:extent cx="6624955" cy="33718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0">
                      <a:extLst>
                        <a:ext uri="{28A0092B-C50C-407E-A947-70E740481C1C}"/>
                      </a:extLst>
                    </a:blip>
                    <a:srcRect/>
                    <a:stretch>
                      <a:fillRect/>
                    </a:stretch>
                  </pic:blipFill>
                  <pic:spPr bwMode="auto">
                    <a:xfrm>
                      <a:off x="0" y="0"/>
                      <a:ext cx="6624955" cy="337185"/>
                    </a:xfrm>
                    <a:prstGeom prst="rect">
                      <a:avLst/>
                    </a:prstGeom>
                    <a:noFill/>
                  </pic:spPr>
                </pic:pic>
              </a:graphicData>
            </a:graphic>
          </wp:anchor>
        </w:drawing>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BOUNDLESS BIO, INC.</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2024 EMPLOYEE STOCK PURCHASE PLAN</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PURPOSE</w:t>
      </w:r>
    </w:p>
    <w:p>
      <w:pPr>
        <w:spacing w:after="0" w:line="196" w:lineRule="exact"/>
        <w:rPr>
          <w:sz w:val="20"/>
          <w:szCs w:val="20"/>
          <w:color w:val="auto"/>
        </w:rPr>
      </w:pPr>
    </w:p>
    <w:p>
      <w:pPr>
        <w:ind w:right="60" w:firstLine="417"/>
        <w:spacing w:after="0" w:line="283" w:lineRule="auto"/>
        <w:rPr>
          <w:sz w:val="20"/>
          <w:szCs w:val="20"/>
          <w:color w:val="auto"/>
        </w:rPr>
      </w:pPr>
      <w:r>
        <w:rPr>
          <w:rFonts w:ascii="Times New Roman" w:cs="Times New Roman" w:eastAsia="Times New Roman" w:hAnsi="Times New Roman"/>
          <w:sz w:val="17"/>
          <w:szCs w:val="17"/>
          <w:color w:val="auto"/>
        </w:rPr>
        <w:t>The purpose of this Plan is to assist Eligible Employees of the Company and its Designated Subsidiaries in acquiring a stock ownership interest in the Company.</w:t>
      </w:r>
    </w:p>
    <w:p>
      <w:pPr>
        <w:spacing w:after="0" w:line="152" w:lineRule="exact"/>
        <w:rPr>
          <w:sz w:val="20"/>
          <w:szCs w:val="20"/>
          <w:color w:val="auto"/>
        </w:rPr>
      </w:pPr>
    </w:p>
    <w:p>
      <w:pPr>
        <w:ind w:right="260" w:firstLine="417"/>
        <w:spacing w:after="0" w:line="255" w:lineRule="auto"/>
        <w:rPr>
          <w:sz w:val="20"/>
          <w:szCs w:val="20"/>
          <w:color w:val="auto"/>
        </w:rPr>
      </w:pPr>
      <w:r>
        <w:rPr>
          <w:rFonts w:ascii="Times New Roman" w:cs="Times New Roman" w:eastAsia="Times New Roman" w:hAnsi="Times New Roman"/>
          <w:sz w:val="17"/>
          <w:szCs w:val="17"/>
          <w:color w:val="auto"/>
        </w:rPr>
        <w:t>The Plan consists of two components: (i) the Section 423 Component and (ii) the Non-Section 423 Component. The Section 423 Component is intended to qualify as an “employee stock purchase plan” under Section 423 of the Code and shall be administered, interpreted and construed in a manner consistent with the requirements of Section 423 of the Code. The Non-Section 423 Component authorizes the grant of rights which need not qualify as rights granted pursuant to an “employee stock purchase plan” under Section 423 of the Code. Rights granted under the Non-Section 423 Component shall be granted pursuant to separate Offerings containing such sub-plans, appendices, rules or procedures as may be adopted by the Administrator and designed to achieve tax, securities laws or other objectives for Eligible Employees and Designated Subsidiaries but shall not be intended to qualify as an “employee stock purchase plan” under Section 423 of the Code. Except as otherwise determined by the Administrator or provided herein, the Non-Section 423 Component will operate and be administered in the same manner as the Section 423 Component. Offerings intended to be made under the Non-Section 423 Component will be designated as such by the Administrator at or prior to the time of such Offering.</w:t>
      </w:r>
    </w:p>
    <w:p>
      <w:pPr>
        <w:spacing w:after="0" w:line="175" w:lineRule="exact"/>
        <w:rPr>
          <w:sz w:val="20"/>
          <w:szCs w:val="20"/>
          <w:color w:val="auto"/>
        </w:rPr>
      </w:pPr>
    </w:p>
    <w:p>
      <w:pPr>
        <w:ind w:right="20" w:firstLine="417"/>
        <w:spacing w:after="0" w:line="259" w:lineRule="auto"/>
        <w:rPr>
          <w:sz w:val="20"/>
          <w:szCs w:val="20"/>
          <w:color w:val="auto"/>
        </w:rPr>
      </w:pPr>
      <w:r>
        <w:rPr>
          <w:rFonts w:ascii="Times New Roman" w:cs="Times New Roman" w:eastAsia="Times New Roman" w:hAnsi="Times New Roman"/>
          <w:sz w:val="17"/>
          <w:szCs w:val="17"/>
          <w:color w:val="auto"/>
        </w:rPr>
        <w:t>For purposes of this Plan, the Administrator may designate separate Offerings under the Plan in which Eligible Employees will participate. The terms of these Offerings need not be identical, even if the dates of the applicable Offering Period(s) in each such Offering are identical, provided that the terms of participation are the same within each separate Offering under the Section 423 Component (as determined under Section 423 of the Code). Solely by way of example and without limiting the foregoing, the Company could, but shall not be required to, provide for simultaneous Offerings under the Section 423 Component and the Non-Section 423 Component of the Plan.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DEFINITIONS AND CONSTRUCTION</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Wherever the following terms are used in the Plan they shall have the meanings specified below, unless the context clearly indicates otherwise.</w:t>
      </w:r>
    </w:p>
    <w:p>
      <w:pPr>
        <w:spacing w:after="0" w:line="2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2.1 “</w:t>
      </w:r>
      <w:r>
        <w:rPr>
          <w:rFonts w:ascii="Times New Roman" w:cs="Times New Roman" w:eastAsia="Times New Roman" w:hAnsi="Times New Roman"/>
          <w:sz w:val="17"/>
          <w:szCs w:val="17"/>
          <w:b w:val="1"/>
          <w:bCs w:val="1"/>
          <w:i w:val="1"/>
          <w:iCs w:val="1"/>
          <w:color w:val="auto"/>
        </w:rPr>
        <w:t>Administrator</w:t>
      </w:r>
      <w:r>
        <w:rPr>
          <w:rFonts w:ascii="Times New Roman" w:cs="Times New Roman" w:eastAsia="Times New Roman" w:hAnsi="Times New Roman"/>
          <w:sz w:val="17"/>
          <w:szCs w:val="17"/>
          <w:color w:val="auto"/>
        </w:rPr>
        <w:t>” means the entity that conducts the general administration of the Plan as provided in Article XI.</w:t>
      </w:r>
    </w:p>
    <w:p>
      <w:pPr>
        <w:spacing w:after="0" w:line="213" w:lineRule="exact"/>
        <w:rPr>
          <w:sz w:val="20"/>
          <w:szCs w:val="20"/>
          <w:color w:val="auto"/>
        </w:rPr>
      </w:pPr>
    </w:p>
    <w:p>
      <w:pPr>
        <w:ind w:right="80" w:firstLine="417"/>
        <w:spacing w:after="0" w:line="290" w:lineRule="auto"/>
        <w:rPr>
          <w:sz w:val="20"/>
          <w:szCs w:val="20"/>
          <w:color w:val="auto"/>
        </w:rPr>
      </w:pPr>
      <w:r>
        <w:rPr>
          <w:rFonts w:ascii="Times New Roman" w:cs="Times New Roman" w:eastAsia="Times New Roman" w:hAnsi="Times New Roman"/>
          <w:sz w:val="17"/>
          <w:szCs w:val="17"/>
          <w:color w:val="auto"/>
        </w:rPr>
        <w:t>2.2 “</w:t>
      </w:r>
      <w:r>
        <w:rPr>
          <w:rFonts w:ascii="Times New Roman" w:cs="Times New Roman" w:eastAsia="Times New Roman" w:hAnsi="Times New Roman"/>
          <w:sz w:val="17"/>
          <w:szCs w:val="17"/>
          <w:b w:val="1"/>
          <w:bCs w:val="1"/>
          <w:i w:val="1"/>
          <w:iCs w:val="1"/>
          <w:color w:val="auto"/>
        </w:rPr>
        <w:t>Agent</w:t>
      </w:r>
      <w:r>
        <w:rPr>
          <w:rFonts w:ascii="Times New Roman" w:cs="Times New Roman" w:eastAsia="Times New Roman" w:hAnsi="Times New Roman"/>
          <w:sz w:val="17"/>
          <w:szCs w:val="17"/>
          <w:color w:val="auto"/>
        </w:rPr>
        <w:t>” means the brokerage firm, bank or other financial institution, entity or person(s), if any, engaged, retained, appointed or authorized to act as the agent of the Company or an Employee with regard to the Plan.</w:t>
      </w:r>
    </w:p>
    <w:p>
      <w:pPr>
        <w:spacing w:after="0" w:line="141" w:lineRule="exact"/>
        <w:rPr>
          <w:sz w:val="20"/>
          <w:szCs w:val="20"/>
          <w:color w:val="auto"/>
        </w:rPr>
      </w:pPr>
    </w:p>
    <w:p>
      <w:pPr>
        <w:ind w:right="20" w:firstLine="417"/>
        <w:spacing w:after="0" w:line="270" w:lineRule="auto"/>
        <w:rPr>
          <w:sz w:val="20"/>
          <w:szCs w:val="20"/>
          <w:color w:val="auto"/>
        </w:rPr>
      </w:pPr>
      <w:r>
        <w:rPr>
          <w:rFonts w:ascii="Times New Roman" w:cs="Times New Roman" w:eastAsia="Times New Roman" w:hAnsi="Times New Roman"/>
          <w:sz w:val="17"/>
          <w:szCs w:val="17"/>
          <w:color w:val="auto"/>
        </w:rPr>
        <w:t>2.3 “</w:t>
      </w:r>
      <w:r>
        <w:rPr>
          <w:rFonts w:ascii="Times New Roman" w:cs="Times New Roman" w:eastAsia="Times New Roman" w:hAnsi="Times New Roman"/>
          <w:sz w:val="17"/>
          <w:szCs w:val="17"/>
          <w:b w:val="1"/>
          <w:bCs w:val="1"/>
          <w:i w:val="1"/>
          <w:iCs w:val="1"/>
          <w:color w:val="auto"/>
        </w:rPr>
        <w:t>Applicable Law</w:t>
      </w:r>
      <w:r>
        <w:rPr>
          <w:rFonts w:ascii="Times New Roman" w:cs="Times New Roman" w:eastAsia="Times New Roman" w:hAnsi="Times New Roman"/>
          <w:sz w:val="17"/>
          <w:szCs w:val="17"/>
          <w:color w:val="auto"/>
        </w:rPr>
        <w:t>” means the requirements relating to the administration of equity incentive plans under U.S. federal and state securities, tax and other applicable laws, rules and regulations, the applicable rules of any stock exchange or quotation system on which Shares are listed or quoted and the applicable laws and rules of any foreign country or other jurisdiction where rights under this Plan are granted.</w:t>
      </w:r>
    </w:p>
    <w:p>
      <w:pPr>
        <w:sectPr>
          <w:pgSz w:w="11900" w:h="16838" w:orient="portrait"/>
          <w:cols w:equalWidth="0" w:num="1">
            <w:col w:w="10420"/>
          </w:cols>
          <w:pgMar w:left="740" w:top="119" w:right="739" w:bottom="1440" w:gutter="0" w:footer="0" w:header="0"/>
        </w:sectPr>
      </w:pPr>
    </w:p>
    <w:bookmarkStart w:id="403" w:name="page404"/>
    <w:bookmarkEnd w:id="403"/>
    <w:p>
      <w:pPr>
        <w:ind w:left="40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2.4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means the Board of Directors of the Company.</w:t>
      </w:r>
    </w:p>
    <w:p>
      <w:pPr>
        <w:spacing w:after="0" w:line="213" w:lineRule="exact"/>
        <w:rPr>
          <w:sz w:val="20"/>
          <w:szCs w:val="20"/>
          <w:color w:val="auto"/>
        </w:rPr>
      </w:pPr>
    </w:p>
    <w:p>
      <w:pPr>
        <w:ind w:left="409"/>
        <w:spacing w:after="0"/>
        <w:rPr>
          <w:sz w:val="20"/>
          <w:szCs w:val="20"/>
          <w:color w:val="auto"/>
        </w:rPr>
      </w:pPr>
      <w:r>
        <w:rPr>
          <w:rFonts w:ascii="Times New Roman" w:cs="Times New Roman" w:eastAsia="Times New Roman" w:hAnsi="Times New Roman"/>
          <w:sz w:val="17"/>
          <w:szCs w:val="17"/>
          <w:color w:val="auto"/>
        </w:rPr>
        <w:t>2.5 “</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color w:val="auto"/>
        </w:rPr>
        <w:t>” means the U.S. Internal Revenue Code of 1986, as amended, and the regulations issued thereunder.</w:t>
      </w:r>
    </w:p>
    <w:p>
      <w:pPr>
        <w:spacing w:after="0" w:line="213" w:lineRule="exact"/>
        <w:rPr>
          <w:sz w:val="20"/>
          <w:szCs w:val="20"/>
          <w:color w:val="auto"/>
        </w:rPr>
      </w:pPr>
    </w:p>
    <w:p>
      <w:pPr>
        <w:ind w:left="409"/>
        <w:spacing w:after="0"/>
        <w:rPr>
          <w:sz w:val="20"/>
          <w:szCs w:val="20"/>
          <w:color w:val="auto"/>
        </w:rPr>
      </w:pPr>
      <w:r>
        <w:rPr>
          <w:rFonts w:ascii="Times New Roman" w:cs="Times New Roman" w:eastAsia="Times New Roman" w:hAnsi="Times New Roman"/>
          <w:sz w:val="17"/>
          <w:szCs w:val="17"/>
          <w:color w:val="auto"/>
        </w:rPr>
        <w:t>2.6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means common stock of the Company and such other securities of the Company that may be substituted therefore.</w:t>
      </w:r>
    </w:p>
    <w:p>
      <w:pPr>
        <w:spacing w:after="0" w:line="213" w:lineRule="exact"/>
        <w:rPr>
          <w:sz w:val="20"/>
          <w:szCs w:val="20"/>
          <w:color w:val="auto"/>
        </w:rPr>
      </w:pPr>
    </w:p>
    <w:p>
      <w:pPr>
        <w:ind w:left="409"/>
        <w:spacing w:after="0"/>
        <w:rPr>
          <w:sz w:val="20"/>
          <w:szCs w:val="20"/>
          <w:color w:val="auto"/>
        </w:rPr>
      </w:pPr>
      <w:r>
        <w:rPr>
          <w:rFonts w:ascii="Times New Roman" w:cs="Times New Roman" w:eastAsia="Times New Roman" w:hAnsi="Times New Roman"/>
          <w:sz w:val="17"/>
          <w:szCs w:val="17"/>
          <w:color w:val="auto"/>
        </w:rPr>
        <w:t>2.7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means Boundless Bio, Inc., a Delaware corporation, or any successor.</w:t>
      </w:r>
    </w:p>
    <w:p>
      <w:pPr>
        <w:spacing w:after="0" w:line="213" w:lineRule="exact"/>
        <w:rPr>
          <w:sz w:val="20"/>
          <w:szCs w:val="20"/>
          <w:color w:val="auto"/>
        </w:rPr>
      </w:pPr>
    </w:p>
    <w:p>
      <w:pPr>
        <w:ind w:left="9" w:right="140" w:firstLine="417"/>
        <w:spacing w:after="0" w:line="264" w:lineRule="auto"/>
        <w:rPr>
          <w:sz w:val="20"/>
          <w:szCs w:val="20"/>
          <w:color w:val="auto"/>
        </w:rPr>
      </w:pPr>
      <w:r>
        <w:rPr>
          <w:rFonts w:ascii="Times New Roman" w:cs="Times New Roman" w:eastAsia="Times New Roman" w:hAnsi="Times New Roman"/>
          <w:sz w:val="17"/>
          <w:szCs w:val="17"/>
          <w:color w:val="auto"/>
        </w:rPr>
        <w:t>2.8 “</w:t>
      </w:r>
      <w:r>
        <w:rPr>
          <w:rFonts w:ascii="Times New Roman" w:cs="Times New Roman" w:eastAsia="Times New Roman" w:hAnsi="Times New Roman"/>
          <w:sz w:val="17"/>
          <w:szCs w:val="17"/>
          <w:b w:val="1"/>
          <w:bCs w:val="1"/>
          <w:i w:val="1"/>
          <w:iCs w:val="1"/>
          <w:color w:val="auto"/>
        </w:rPr>
        <w:t>Compensation</w:t>
      </w:r>
      <w:r>
        <w:rPr>
          <w:rFonts w:ascii="Times New Roman" w:cs="Times New Roman" w:eastAsia="Times New Roman" w:hAnsi="Times New Roman"/>
          <w:sz w:val="17"/>
          <w:szCs w:val="17"/>
          <w:color w:val="auto"/>
        </w:rPr>
        <w:t>” of an Eligible Employee means, unless otherwise determined by the Administrator, the gross base compensation or wages received by such Eligible Employee as compensation for services to the Company or any Designated Subsidiary, excluding overtime payments, sales commissions, incentive compensation, bonuses, expense reimbursements, income received in connection with any compensatory equity awards, fringe benefits and other special payments.</w:t>
      </w:r>
    </w:p>
    <w:p>
      <w:pPr>
        <w:spacing w:after="0" w:line="162" w:lineRule="exact"/>
        <w:rPr>
          <w:sz w:val="20"/>
          <w:szCs w:val="20"/>
          <w:color w:val="auto"/>
        </w:rPr>
      </w:pPr>
    </w:p>
    <w:p>
      <w:pPr>
        <w:ind w:left="9" w:right="260" w:firstLine="417"/>
        <w:spacing w:after="0" w:line="258" w:lineRule="auto"/>
        <w:rPr>
          <w:sz w:val="20"/>
          <w:szCs w:val="20"/>
          <w:color w:val="auto"/>
        </w:rPr>
      </w:pPr>
      <w:r>
        <w:rPr>
          <w:rFonts w:ascii="Times New Roman" w:cs="Times New Roman" w:eastAsia="Times New Roman" w:hAnsi="Times New Roman"/>
          <w:sz w:val="17"/>
          <w:szCs w:val="17"/>
          <w:color w:val="auto"/>
        </w:rPr>
        <w:t>2.9 “</w:t>
      </w:r>
      <w:r>
        <w:rPr>
          <w:rFonts w:ascii="Times New Roman" w:cs="Times New Roman" w:eastAsia="Times New Roman" w:hAnsi="Times New Roman"/>
          <w:sz w:val="17"/>
          <w:szCs w:val="17"/>
          <w:b w:val="1"/>
          <w:bCs w:val="1"/>
          <w:i w:val="1"/>
          <w:iCs w:val="1"/>
          <w:color w:val="auto"/>
        </w:rPr>
        <w:t>Designated Subsidiary</w:t>
      </w:r>
      <w:r>
        <w:rPr>
          <w:rFonts w:ascii="Times New Roman" w:cs="Times New Roman" w:eastAsia="Times New Roman" w:hAnsi="Times New Roman"/>
          <w:sz w:val="17"/>
          <w:szCs w:val="17"/>
          <w:color w:val="auto"/>
        </w:rPr>
        <w:t>” means any Subsidiary designated by the Administrator in accordance with Section 11.2(b), such designation to specify whether such participation by Eligible Employees employed by such Designated Subsidiary is in the Section 423 Component or Non-Section 423 Component. All of the Eligible Employees of a Designated Subsidiary may participate in either the Section 423 Component or Non-Section 423 Component, but not both; provided that the Eligible Employees of a Subsidiary that, for U.S. tax purposes, is disregarded from the Company or any Subsidiary that participates in the Section 423 Component shall automatically constitute a Designated Subsidiary that participates in the Section 423 Component.</w:t>
      </w:r>
    </w:p>
    <w:p>
      <w:pPr>
        <w:spacing w:after="0" w:line="170" w:lineRule="exact"/>
        <w:rPr>
          <w:sz w:val="20"/>
          <w:szCs w:val="20"/>
          <w:color w:val="auto"/>
        </w:rPr>
      </w:pPr>
    </w:p>
    <w:p>
      <w:pPr>
        <w:ind w:left="9" w:right="100" w:firstLine="417"/>
        <w:spacing w:after="0" w:line="290" w:lineRule="auto"/>
        <w:rPr>
          <w:sz w:val="20"/>
          <w:szCs w:val="20"/>
          <w:color w:val="auto"/>
        </w:rPr>
      </w:pPr>
      <w:r>
        <w:rPr>
          <w:rFonts w:ascii="Times New Roman" w:cs="Times New Roman" w:eastAsia="Times New Roman" w:hAnsi="Times New Roman"/>
          <w:sz w:val="17"/>
          <w:szCs w:val="17"/>
          <w:color w:val="auto"/>
        </w:rPr>
        <w:t>2.10 “</w:t>
      </w:r>
      <w:r>
        <w:rPr>
          <w:rFonts w:ascii="Times New Roman" w:cs="Times New Roman" w:eastAsia="Times New Roman" w:hAnsi="Times New Roman"/>
          <w:sz w:val="17"/>
          <w:szCs w:val="17"/>
          <w:b w:val="1"/>
          <w:bCs w:val="1"/>
          <w:i w:val="1"/>
          <w:iCs w:val="1"/>
          <w:color w:val="auto"/>
        </w:rPr>
        <w:t>Effectiv</w:t>
      </w:r>
      <w:r>
        <w:rPr>
          <w:rFonts w:ascii="Times New Roman" w:cs="Times New Roman" w:eastAsia="Times New Roman" w:hAnsi="Times New Roman"/>
          <w:sz w:val="17"/>
          <w:szCs w:val="17"/>
          <w:color w:val="auto"/>
        </w:rPr>
        <w:t xml:space="preserve">e </w:t>
      </w:r>
      <w:r>
        <w:rPr>
          <w:rFonts w:ascii="Times New Roman" w:cs="Times New Roman" w:eastAsia="Times New Roman" w:hAnsi="Times New Roman"/>
          <w:sz w:val="17"/>
          <w:szCs w:val="17"/>
          <w:b w:val="1"/>
          <w:bCs w:val="1"/>
          <w:i w:val="1"/>
          <w:iCs w:val="1"/>
          <w:color w:val="auto"/>
        </w:rPr>
        <w:t>Date</w:t>
      </w:r>
      <w:r>
        <w:rPr>
          <w:rFonts w:ascii="Times New Roman" w:cs="Times New Roman" w:eastAsia="Times New Roman" w:hAnsi="Times New Roman"/>
          <w:sz w:val="17"/>
          <w:szCs w:val="17"/>
          <w:color w:val="auto"/>
        </w:rPr>
        <w:t>” means the Pricing Date, provided that the Board and the stockholders of the Company have approved and adopted the Plan prior to or on such date.</w:t>
      </w:r>
    </w:p>
    <w:p>
      <w:pPr>
        <w:spacing w:after="0" w:line="141" w:lineRule="exact"/>
        <w:rPr>
          <w:sz w:val="20"/>
          <w:szCs w:val="20"/>
          <w:color w:val="auto"/>
        </w:rPr>
      </w:pPr>
    </w:p>
    <w:p>
      <w:pPr>
        <w:ind w:left="409"/>
        <w:spacing w:after="0"/>
        <w:rPr>
          <w:sz w:val="20"/>
          <w:szCs w:val="20"/>
          <w:color w:val="auto"/>
        </w:rPr>
      </w:pPr>
      <w:r>
        <w:rPr>
          <w:rFonts w:ascii="Times New Roman" w:cs="Times New Roman" w:eastAsia="Times New Roman" w:hAnsi="Times New Roman"/>
          <w:sz w:val="17"/>
          <w:szCs w:val="17"/>
          <w:color w:val="auto"/>
        </w:rPr>
        <w:t>2.11 “</w:t>
      </w:r>
      <w:r>
        <w:rPr>
          <w:rFonts w:ascii="Times New Roman" w:cs="Times New Roman" w:eastAsia="Times New Roman" w:hAnsi="Times New Roman"/>
          <w:sz w:val="17"/>
          <w:szCs w:val="17"/>
          <w:b w:val="1"/>
          <w:bCs w:val="1"/>
          <w:i w:val="1"/>
          <w:iCs w:val="1"/>
          <w:color w:val="auto"/>
        </w:rPr>
        <w:t>Eligible Employee</w:t>
      </w:r>
      <w:r>
        <w:rPr>
          <w:rFonts w:ascii="Times New Roman" w:cs="Times New Roman" w:eastAsia="Times New Roman" w:hAnsi="Times New Roman"/>
          <w:sz w:val="17"/>
          <w:szCs w:val="17"/>
          <w:color w:val="auto"/>
        </w:rPr>
        <w:t>” means:</w:t>
      </w:r>
    </w:p>
    <w:p>
      <w:pPr>
        <w:spacing w:after="0" w:line="219" w:lineRule="exact"/>
        <w:rPr>
          <w:sz w:val="20"/>
          <w:szCs w:val="20"/>
          <w:color w:val="auto"/>
        </w:rPr>
      </w:pPr>
    </w:p>
    <w:p>
      <w:pPr>
        <w:ind w:left="9" w:firstLine="929"/>
        <w:spacing w:after="0" w:line="259" w:lineRule="auto"/>
        <w:tabs>
          <w:tab w:leader="none" w:pos="1179" w:val="left"/>
        </w:tabs>
        <w:numPr>
          <w:ilvl w:val="1"/>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Employee who does not, immediately after any rights under this Plan are granted, own (directly or through attribution) stock possessing 5% or more of the total combined voting power or value of all classes of Shares and other securities of the Company, a Parent or a Subsidiary (as determined under Section 423(b)(3) of the Code). For purposes of the foregoing, the rules of Section 424(d) of the Code with regard to the attribution of stock ownership shall apply in determining the stock ownership of an individual, and stock that an Employee may purchase under outstanding options shall be treated as stock owned by the Employee.</w:t>
      </w:r>
    </w:p>
    <w:p>
      <w:pPr>
        <w:spacing w:after="0" w:line="171" w:lineRule="exact"/>
        <w:rPr>
          <w:rFonts w:ascii="Times New Roman" w:cs="Times New Roman" w:eastAsia="Times New Roman" w:hAnsi="Times New Roman"/>
          <w:sz w:val="17"/>
          <w:szCs w:val="17"/>
          <w:color w:val="auto"/>
        </w:rPr>
      </w:pPr>
    </w:p>
    <w:p>
      <w:pPr>
        <w:jc w:val="both"/>
        <w:ind w:left="9" w:right="120" w:firstLine="929"/>
        <w:spacing w:after="0" w:line="258" w:lineRule="auto"/>
        <w:tabs>
          <w:tab w:leader="none" w:pos="1189" w:val="left"/>
        </w:tabs>
        <w:numPr>
          <w:ilvl w:val="1"/>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the Administrator may provide in an Offering Document that an Employee shall not be eligible to participate in an Offering Period under the Section 423 Component if: (i) such Employee is a highly compensated employee within the meaning of Section 423(b)(4)(D) of the Code; (ii) such Employee has not met a service requirement designated by the Administrator pursuant to Section 423(b)(4)</w:t>
      </w:r>
    </w:p>
    <w:p>
      <w:pPr>
        <w:ind w:left="9" w:right="20" w:hanging="9"/>
        <w:spacing w:after="0" w:line="252" w:lineRule="auto"/>
        <w:tabs>
          <w:tab w:leader="none" w:pos="288" w:val="left"/>
        </w:tabs>
        <w:numPr>
          <w:ilvl w:val="0"/>
          <w:numId w:val="2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of the Code (which service requirement may not exceed two (2) years); (iii) such Employee’s customary employment is for twenty (20) hours per week or less; (iv) such Employee’s customary employment is for less than five (5) months in any calendar year; and/or (v) such Employee is a citizen or resident of a foreign jurisdiction and the grant of a right to purchase Shares under the Plan to such Employee would be prohibited under the laws of such foreign jurisdiction or the grant of a right to purchase Shares under the Plan to such Employee in compliance with the laws of such foreign jurisdiction would cause the Plan to violate the requirements of Section 423 of the Code, as determined by the Administrator in its sole discretion;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any exclusion in clauses (i), (ii), (iii), (iv) or (v) shall be applied in an identical manner under each Offering Period to all Employees, in accordance with Treas. Reg. Section 1.423-2(e).</w:t>
      </w:r>
    </w:p>
    <w:p>
      <w:pPr>
        <w:sectPr>
          <w:pgSz w:w="11900" w:h="16838" w:orient="portrait"/>
          <w:cols w:equalWidth="0" w:num="1">
            <w:col w:w="10409"/>
          </w:cols>
          <w:pgMar w:left="731" w:top="258" w:right="759" w:bottom="1440" w:gutter="0" w:footer="0" w:header="0"/>
        </w:sectPr>
      </w:pPr>
    </w:p>
    <w:bookmarkStart w:id="404" w:name="page405"/>
    <w:bookmarkEnd w:id="404"/>
    <w:p>
      <w:pPr>
        <w:jc w:val="both"/>
        <w:ind w:left="9" w:right="60" w:firstLine="929"/>
        <w:spacing w:after="0" w:line="261" w:lineRule="auto"/>
        <w:tabs>
          <w:tab w:leader="none" w:pos="1179" w:val="left"/>
        </w:tabs>
        <w:numPr>
          <w:ilvl w:val="0"/>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Further notwithstanding the foregoing, with respect to the Non-Section 423 Component, the first sentence in this definition shall apply in determining who is an “Eligible Employee,” except (i) the Administrator may limit eligibility further within the Company or a Designated Subsidiary so as to only designate some Employees of the Company or a Designated Subsidiary as Eligible Employees, and (ii) to the extent the restrictions in the first sentence in this definition are not consistent with applicable local laws, the applicable local laws shall control.</w:t>
      </w:r>
    </w:p>
    <w:p>
      <w:pPr>
        <w:spacing w:after="0" w:line="166" w:lineRule="exact"/>
        <w:rPr>
          <w:sz w:val="20"/>
          <w:szCs w:val="20"/>
          <w:color w:val="auto"/>
        </w:rPr>
      </w:pPr>
    </w:p>
    <w:p>
      <w:pPr>
        <w:ind w:left="9" w:firstLine="417"/>
        <w:spacing w:after="0" w:line="265" w:lineRule="auto"/>
        <w:rPr>
          <w:sz w:val="20"/>
          <w:szCs w:val="20"/>
          <w:color w:val="auto"/>
        </w:rPr>
      </w:pPr>
      <w:r>
        <w:rPr>
          <w:rFonts w:ascii="Times New Roman" w:cs="Times New Roman" w:eastAsia="Times New Roman" w:hAnsi="Times New Roman"/>
          <w:sz w:val="17"/>
          <w:szCs w:val="17"/>
          <w:color w:val="auto"/>
        </w:rPr>
        <w:t>2.12 “</w:t>
      </w:r>
      <w:r>
        <w:rPr>
          <w:rFonts w:ascii="Times New Roman" w:cs="Times New Roman" w:eastAsia="Times New Roman" w:hAnsi="Times New Roman"/>
          <w:sz w:val="17"/>
          <w:szCs w:val="17"/>
          <w:b w:val="1"/>
          <w:bCs w:val="1"/>
          <w:i w:val="1"/>
          <w:iCs w:val="1"/>
          <w:color w:val="auto"/>
        </w:rPr>
        <w:t>Employee</w:t>
      </w:r>
      <w:r>
        <w:rPr>
          <w:rFonts w:ascii="Times New Roman" w:cs="Times New Roman" w:eastAsia="Times New Roman" w:hAnsi="Times New Roman"/>
          <w:sz w:val="17"/>
          <w:szCs w:val="17"/>
          <w:color w:val="auto"/>
        </w:rPr>
        <w:t>” means any individual who renders services to the Company or any Designated Subsidiary in the status of an employee, and, with respect to the Section 423 Component, a person who is an employee of the Company or any Designated Subsidiary within the meaning of</w:t>
      </w:r>
    </w:p>
    <w:p>
      <w:pPr>
        <w:jc w:val="both"/>
        <w:ind w:left="9" w:right="40"/>
        <w:spacing w:after="0" w:line="250" w:lineRule="auto"/>
        <w:rPr>
          <w:sz w:val="20"/>
          <w:szCs w:val="20"/>
          <w:color w:val="auto"/>
        </w:rPr>
      </w:pPr>
      <w:r>
        <w:rPr>
          <w:rFonts w:ascii="Times New Roman" w:cs="Times New Roman" w:eastAsia="Times New Roman" w:hAnsi="Times New Roman"/>
          <w:sz w:val="17"/>
          <w:szCs w:val="17"/>
          <w:color w:val="auto"/>
        </w:rPr>
        <w:t>Section 3401(c) of the Code. For purposes of an individual’s participation in, or other rights under the Plan, all determinations by the Company shall be final, binding and conclusive, notwithstanding that any court of law or governmental agency subsequently makes a contrary determination. For purposes of the Plan, the employment relationship shall be treated as continuing intact while the individual is on sick leave or other leave of absence approved by the Company or Designated Subsidiary and meeting the requirements of Treas. Reg. Section 1.421-1(h)(2). Where the period of leave exceeds three</w:t>
      </w:r>
    </w:p>
    <w:p>
      <w:pPr>
        <w:spacing w:after="0" w:line="3" w:lineRule="exact"/>
        <w:rPr>
          <w:sz w:val="20"/>
          <w:szCs w:val="20"/>
          <w:color w:val="auto"/>
        </w:rPr>
      </w:pPr>
    </w:p>
    <w:p>
      <w:pPr>
        <w:ind w:left="9" w:right="200" w:hanging="9"/>
        <w:spacing w:after="0" w:line="256" w:lineRule="auto"/>
        <w:tabs>
          <w:tab w:leader="none" w:pos="250" w:val="left"/>
        </w:tabs>
        <w:numPr>
          <w:ilvl w:val="0"/>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(or such other period specified in Treas. Reg. Section 1.421-1(h)(2)) and the individual’s right to reemployment is not guaranteed either by statute or by contract, the employment relationship shall be deemed to have terminated on the first day immediately following such three (3)-month period.</w:t>
      </w:r>
    </w:p>
    <w:p>
      <w:pPr>
        <w:spacing w:after="0" w:line="169" w:lineRule="exact"/>
        <w:rPr>
          <w:sz w:val="20"/>
          <w:szCs w:val="20"/>
          <w:color w:val="auto"/>
        </w:rPr>
      </w:pPr>
    </w:p>
    <w:p>
      <w:pPr>
        <w:ind w:left="9" w:right="240" w:firstLine="417"/>
        <w:spacing w:after="0" w:line="290" w:lineRule="auto"/>
        <w:rPr>
          <w:sz w:val="20"/>
          <w:szCs w:val="20"/>
          <w:color w:val="auto"/>
        </w:rPr>
      </w:pPr>
      <w:r>
        <w:rPr>
          <w:rFonts w:ascii="Times New Roman" w:cs="Times New Roman" w:eastAsia="Times New Roman" w:hAnsi="Times New Roman"/>
          <w:sz w:val="17"/>
          <w:szCs w:val="17"/>
          <w:color w:val="auto"/>
        </w:rPr>
        <w:t>2.13 “</w:t>
      </w:r>
      <w:r>
        <w:rPr>
          <w:rFonts w:ascii="Times New Roman" w:cs="Times New Roman" w:eastAsia="Times New Roman" w:hAnsi="Times New Roman"/>
          <w:sz w:val="17"/>
          <w:szCs w:val="17"/>
          <w:b w:val="1"/>
          <w:bCs w:val="1"/>
          <w:i w:val="1"/>
          <w:iCs w:val="1"/>
          <w:color w:val="auto"/>
        </w:rPr>
        <w:t>Enrollment Date</w:t>
      </w:r>
      <w:r>
        <w:rPr>
          <w:rFonts w:ascii="Times New Roman" w:cs="Times New Roman" w:eastAsia="Times New Roman" w:hAnsi="Times New Roman"/>
          <w:sz w:val="17"/>
          <w:szCs w:val="17"/>
          <w:color w:val="auto"/>
        </w:rPr>
        <w:t>” means the first Trading Day of each Offering Period; provided that, the Enrollment Date for the Initial Offering Period shall be the Pricing Date.</w:t>
      </w:r>
    </w:p>
    <w:p>
      <w:pPr>
        <w:spacing w:after="0" w:line="141" w:lineRule="exact"/>
        <w:rPr>
          <w:sz w:val="20"/>
          <w:szCs w:val="20"/>
          <w:color w:val="auto"/>
        </w:rPr>
      </w:pPr>
    </w:p>
    <w:p>
      <w:pPr>
        <w:ind w:left="9" w:right="100" w:firstLine="417"/>
        <w:spacing w:after="0" w:line="256" w:lineRule="auto"/>
        <w:rPr>
          <w:sz w:val="20"/>
          <w:szCs w:val="20"/>
          <w:color w:val="auto"/>
        </w:rPr>
      </w:pPr>
      <w:r>
        <w:rPr>
          <w:rFonts w:ascii="Times New Roman" w:cs="Times New Roman" w:eastAsia="Times New Roman" w:hAnsi="Times New Roman"/>
          <w:sz w:val="17"/>
          <w:szCs w:val="17"/>
          <w:color w:val="auto"/>
        </w:rPr>
        <w:t>2.14 “</w:t>
      </w:r>
      <w:r>
        <w:rPr>
          <w:rFonts w:ascii="Times New Roman" w:cs="Times New Roman" w:eastAsia="Times New Roman" w:hAnsi="Times New Roman"/>
          <w:sz w:val="17"/>
          <w:szCs w:val="17"/>
          <w:b w:val="1"/>
          <w:bCs w:val="1"/>
          <w:i w:val="1"/>
          <w:iCs w:val="1"/>
          <w:color w:val="auto"/>
        </w:rPr>
        <w:t>Fair Market Value</w:t>
      </w:r>
      <w:r>
        <w:rPr>
          <w:rFonts w:ascii="Times New Roman" w:cs="Times New Roman" w:eastAsia="Times New Roman" w:hAnsi="Times New Roman"/>
          <w:sz w:val="17"/>
          <w:szCs w:val="17"/>
          <w:color w:val="auto"/>
        </w:rPr>
        <w:t>” means, as of any date, the value of Shares determined as follows: (i) if the Shares are listed on any established stock exchange, its Fair Market Value will be the closing sales price for such Shares as quoted on such exchange for such date, or if no sale occurred on such date, the last day preceding such date during which a sale occurred, as reported in The Wall Street Journal or another source the Administrator deems reliable; (ii) if the Shares are not traded on a stock exchange but are quoted on a national market or other quotation system, the closing sales price on such date, or if no sales occurred on such date, then on the last date preceding such date during which a sale occurred, as reported in The Wall Street Journal or another source the Administrator deems reliable; (iii) without an established market for the Shares, the Administrator may determine the Fair Market Value in its discretion; or (iv) with respect to the Initial Offering Period, the Fair Market Value as specified in the Offering Document approved by the Administrator with respect to the Initial Offering Period.</w:t>
      </w:r>
    </w:p>
    <w:p>
      <w:pPr>
        <w:spacing w:after="0" w:line="172" w:lineRule="exact"/>
        <w:rPr>
          <w:sz w:val="20"/>
          <w:szCs w:val="20"/>
          <w:color w:val="auto"/>
        </w:rPr>
      </w:pPr>
    </w:p>
    <w:p>
      <w:pPr>
        <w:ind w:left="9" w:right="460" w:firstLine="417"/>
        <w:spacing w:after="0" w:line="290" w:lineRule="auto"/>
        <w:rPr>
          <w:sz w:val="20"/>
          <w:szCs w:val="20"/>
          <w:color w:val="auto"/>
        </w:rPr>
      </w:pPr>
      <w:r>
        <w:rPr>
          <w:rFonts w:ascii="Times New Roman" w:cs="Times New Roman" w:eastAsia="Times New Roman" w:hAnsi="Times New Roman"/>
          <w:sz w:val="17"/>
          <w:szCs w:val="17"/>
          <w:color w:val="auto"/>
        </w:rPr>
        <w:t>2.15 “</w:t>
      </w:r>
      <w:r>
        <w:rPr>
          <w:rFonts w:ascii="Times New Roman" w:cs="Times New Roman" w:eastAsia="Times New Roman" w:hAnsi="Times New Roman"/>
          <w:sz w:val="17"/>
          <w:szCs w:val="17"/>
          <w:b w:val="1"/>
          <w:bCs w:val="1"/>
          <w:i w:val="1"/>
          <w:iCs w:val="1"/>
          <w:color w:val="auto"/>
        </w:rPr>
        <w:t>Initial Offering Period</w:t>
      </w:r>
      <w:r>
        <w:rPr>
          <w:rFonts w:ascii="Times New Roman" w:cs="Times New Roman" w:eastAsia="Times New Roman" w:hAnsi="Times New Roman"/>
          <w:sz w:val="17"/>
          <w:szCs w:val="17"/>
          <w:color w:val="auto"/>
        </w:rPr>
        <w:t>” means the period commencing on the Pricing Date and ending on the date set forth in the Offering Document approved by the Administrator with respect to the Initial Offering Period.</w:t>
      </w:r>
    </w:p>
    <w:p>
      <w:pPr>
        <w:spacing w:after="0" w:line="141" w:lineRule="exact"/>
        <w:rPr>
          <w:sz w:val="20"/>
          <w:szCs w:val="20"/>
          <w:color w:val="auto"/>
        </w:rPr>
      </w:pPr>
    </w:p>
    <w:p>
      <w:pPr>
        <w:jc w:val="both"/>
        <w:ind w:left="9" w:right="160" w:firstLine="417"/>
        <w:spacing w:after="0" w:line="264" w:lineRule="auto"/>
        <w:rPr>
          <w:sz w:val="20"/>
          <w:szCs w:val="20"/>
          <w:color w:val="auto"/>
        </w:rPr>
      </w:pPr>
      <w:r>
        <w:rPr>
          <w:rFonts w:ascii="Times New Roman" w:cs="Times New Roman" w:eastAsia="Times New Roman" w:hAnsi="Times New Roman"/>
          <w:sz w:val="17"/>
          <w:szCs w:val="17"/>
          <w:color w:val="auto"/>
        </w:rPr>
        <w:t>2.16 “</w:t>
      </w:r>
      <w:r>
        <w:rPr>
          <w:rFonts w:ascii="Times New Roman" w:cs="Times New Roman" w:eastAsia="Times New Roman" w:hAnsi="Times New Roman"/>
          <w:sz w:val="17"/>
          <w:szCs w:val="17"/>
          <w:b w:val="1"/>
          <w:bCs w:val="1"/>
          <w:i w:val="1"/>
          <w:iCs w:val="1"/>
          <w:color w:val="auto"/>
        </w:rPr>
        <w:t>Non-Section 423 Component</w:t>
      </w:r>
      <w:r>
        <w:rPr>
          <w:rFonts w:ascii="Times New Roman" w:cs="Times New Roman" w:eastAsia="Times New Roman" w:hAnsi="Times New Roman"/>
          <w:sz w:val="17"/>
          <w:szCs w:val="17"/>
          <w:color w:val="auto"/>
        </w:rPr>
        <w:t>” means those Offerings under the Plan, together with the sub-plans, appendices, rules or procedures, if any, adopted by the Administrator as a part of this Plan, in each case, pursuant to which rights to purchase Shares during an Offering Period may be granted to Eligible Employees that need not satisfy the requirements for rights to purchase Shares granted pursuant to an “employee stock purchase plan” that are set forth under Section 423 of the Code.</w:t>
      </w:r>
    </w:p>
    <w:p>
      <w:pPr>
        <w:sectPr>
          <w:pgSz w:w="11900" w:h="16838" w:orient="portrait"/>
          <w:cols w:equalWidth="0" w:num="1">
            <w:col w:w="10429"/>
          </w:cols>
          <w:pgMar w:left="731" w:top="264" w:right="739" w:bottom="1440" w:gutter="0" w:footer="0" w:header="0"/>
        </w:sectPr>
      </w:pPr>
    </w:p>
    <w:bookmarkStart w:id="405" w:name="page406"/>
    <w:bookmarkEnd w:id="405"/>
    <w:p>
      <w:pPr>
        <w:ind w:right="40" w:firstLine="417"/>
        <w:spacing w:after="0" w:line="25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2.17 “</w:t>
      </w:r>
      <w:r>
        <w:rPr>
          <w:rFonts w:ascii="Times New Roman" w:cs="Times New Roman" w:eastAsia="Times New Roman" w:hAnsi="Times New Roman"/>
          <w:sz w:val="17"/>
          <w:szCs w:val="17"/>
          <w:b w:val="1"/>
          <w:bCs w:val="1"/>
          <w:i w:val="1"/>
          <w:iCs w:val="1"/>
          <w:color w:val="auto"/>
        </w:rPr>
        <w:t>Offering</w:t>
      </w:r>
      <w:r>
        <w:rPr>
          <w:rFonts w:ascii="Times New Roman" w:cs="Times New Roman" w:eastAsia="Times New Roman" w:hAnsi="Times New Roman"/>
          <w:sz w:val="17"/>
          <w:szCs w:val="17"/>
          <w:color w:val="auto"/>
        </w:rPr>
        <w:t>” means an offer under the Plan of a right to purchase Shares that may be exercised during an Offering Period as further described in Article IV hereof. Unless otherwise specified by the Administrator, (a) Offerings under the Section 423 Component and the Non-Section 423 Component shall be treated as separate and distinct Offerings under separate and distinct plans; and (b) each Offering to the Eligible Employees of the Company or a Designated Subsidiary shall be deemed a separate and distinct Offering under a separate and distinct plan, even if the dates and other terms of the applicable Offering Periods of each such Offering are identical, and the provisions of the Plan will separately apply to each Offering. To the extent permitted by Treas. Reg. Section 1.423-2(a)(1), the terms of each separate Offering under the Section 423 Component need not be identical, provided that the terms of the Section 423 Component and an Offering thereunder together satisfy Treas. Reg. Section 1.423-2(a)(2) and (a)(3). To the extent the terms of any Offering under the Section 423 Component do not satisfy the requirements for rights to purchase Shares granted pursuant to an “employee stock purchase plan” as set forth under Section 423 of the Code, then the Plan and such Offering shall be deemed to be amended to accomplish the objectives of the terms as originally written to the fullest extent permitted by law and in compliance with Section 423 of the Code.</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2.18 “</w:t>
      </w:r>
      <w:r>
        <w:rPr>
          <w:rFonts w:ascii="Times New Roman" w:cs="Times New Roman" w:eastAsia="Times New Roman" w:hAnsi="Times New Roman"/>
          <w:sz w:val="17"/>
          <w:szCs w:val="17"/>
          <w:b w:val="1"/>
          <w:bCs w:val="1"/>
          <w:i w:val="1"/>
          <w:iCs w:val="1"/>
          <w:color w:val="auto"/>
        </w:rPr>
        <w:t>Offering Document</w:t>
      </w:r>
      <w:r>
        <w:rPr>
          <w:rFonts w:ascii="Times New Roman" w:cs="Times New Roman" w:eastAsia="Times New Roman" w:hAnsi="Times New Roman"/>
          <w:sz w:val="17"/>
          <w:szCs w:val="17"/>
          <w:color w:val="auto"/>
        </w:rPr>
        <w:t>” has the meaning given to such term in Section 4.1.</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2.19 “</w:t>
      </w:r>
      <w:r>
        <w:rPr>
          <w:rFonts w:ascii="Times New Roman" w:cs="Times New Roman" w:eastAsia="Times New Roman" w:hAnsi="Times New Roman"/>
          <w:sz w:val="17"/>
          <w:szCs w:val="17"/>
          <w:b w:val="1"/>
          <w:bCs w:val="1"/>
          <w:i w:val="1"/>
          <w:iCs w:val="1"/>
          <w:color w:val="auto"/>
        </w:rPr>
        <w:t>Offering Period</w:t>
      </w:r>
      <w:r>
        <w:rPr>
          <w:rFonts w:ascii="Times New Roman" w:cs="Times New Roman" w:eastAsia="Times New Roman" w:hAnsi="Times New Roman"/>
          <w:sz w:val="17"/>
          <w:szCs w:val="17"/>
          <w:color w:val="auto"/>
        </w:rPr>
        <w:t>” has the meaning given to such term in Section 4.1.</w:t>
      </w:r>
    </w:p>
    <w:p>
      <w:pPr>
        <w:spacing w:after="0" w:line="213" w:lineRule="exact"/>
        <w:rPr>
          <w:sz w:val="20"/>
          <w:szCs w:val="20"/>
          <w:color w:val="auto"/>
        </w:rPr>
      </w:pPr>
    </w:p>
    <w:p>
      <w:pPr>
        <w:ind w:right="180" w:firstLine="417"/>
        <w:spacing w:after="0" w:line="270" w:lineRule="auto"/>
        <w:rPr>
          <w:sz w:val="20"/>
          <w:szCs w:val="20"/>
          <w:color w:val="auto"/>
        </w:rPr>
      </w:pPr>
      <w:r>
        <w:rPr>
          <w:rFonts w:ascii="Times New Roman" w:cs="Times New Roman" w:eastAsia="Times New Roman" w:hAnsi="Times New Roman"/>
          <w:sz w:val="17"/>
          <w:szCs w:val="17"/>
          <w:color w:val="auto"/>
        </w:rPr>
        <w:t>2.20 “</w:t>
      </w:r>
      <w:r>
        <w:rPr>
          <w:rFonts w:ascii="Times New Roman" w:cs="Times New Roman" w:eastAsia="Times New Roman" w:hAnsi="Times New Roman"/>
          <w:sz w:val="17"/>
          <w:szCs w:val="17"/>
          <w:b w:val="1"/>
          <w:bCs w:val="1"/>
          <w:i w:val="1"/>
          <w:iCs w:val="1"/>
          <w:color w:val="auto"/>
        </w:rPr>
        <w:t>Parent</w:t>
      </w:r>
      <w:r>
        <w:rPr>
          <w:rFonts w:ascii="Times New Roman" w:cs="Times New Roman" w:eastAsia="Times New Roman" w:hAnsi="Times New Roman"/>
          <w:sz w:val="17"/>
          <w:szCs w:val="17"/>
          <w:color w:val="auto"/>
        </w:rPr>
        <w:t>” means any corporation, other than the Company, in an unbroken chain of corporations ending with the Company if, at the time of the determination, each of the corporations other than the Company owns stock possessing 50% or more of the total combined voting power of all classes of stock in one of the other corporations in such chain.</w:t>
      </w:r>
    </w:p>
    <w:p>
      <w:pPr>
        <w:spacing w:after="0" w:line="158" w:lineRule="exact"/>
        <w:rPr>
          <w:sz w:val="20"/>
          <w:szCs w:val="20"/>
          <w:color w:val="auto"/>
        </w:rPr>
      </w:pPr>
    </w:p>
    <w:p>
      <w:pPr>
        <w:ind w:firstLine="417"/>
        <w:spacing w:after="0" w:line="270" w:lineRule="auto"/>
        <w:rPr>
          <w:sz w:val="20"/>
          <w:szCs w:val="20"/>
          <w:color w:val="auto"/>
        </w:rPr>
      </w:pPr>
      <w:r>
        <w:rPr>
          <w:rFonts w:ascii="Times New Roman" w:cs="Times New Roman" w:eastAsia="Times New Roman" w:hAnsi="Times New Roman"/>
          <w:sz w:val="17"/>
          <w:szCs w:val="17"/>
          <w:color w:val="auto"/>
        </w:rPr>
        <w:t>2.21 “</w:t>
      </w:r>
      <w:r>
        <w:rPr>
          <w:rFonts w:ascii="Times New Roman" w:cs="Times New Roman" w:eastAsia="Times New Roman" w:hAnsi="Times New Roman"/>
          <w:sz w:val="17"/>
          <w:szCs w:val="17"/>
          <w:b w:val="1"/>
          <w:bCs w:val="1"/>
          <w:i w:val="1"/>
          <w:iCs w:val="1"/>
          <w:color w:val="auto"/>
        </w:rPr>
        <w:t>Participant</w:t>
      </w:r>
      <w:r>
        <w:rPr>
          <w:rFonts w:ascii="Times New Roman" w:cs="Times New Roman" w:eastAsia="Times New Roman" w:hAnsi="Times New Roman"/>
          <w:sz w:val="17"/>
          <w:szCs w:val="17"/>
          <w:color w:val="auto"/>
        </w:rPr>
        <w:t>” means any Eligible Employee who has executed a subscription agreement (which may be electronic) and been granted rights to purchase Shares pursuant to the Plan (or, with respect to the Initial Offering Period, those Participants specified in the Offering Document approved by the Administrator with respect to the Initial Offering Period).</w:t>
      </w:r>
    </w:p>
    <w:p>
      <w:pPr>
        <w:spacing w:after="0" w:line="158" w:lineRule="exact"/>
        <w:rPr>
          <w:sz w:val="20"/>
          <w:szCs w:val="20"/>
          <w:color w:val="auto"/>
        </w:rPr>
      </w:pPr>
    </w:p>
    <w:p>
      <w:pPr>
        <w:ind w:right="80" w:firstLine="417"/>
        <w:spacing w:after="0" w:line="290" w:lineRule="auto"/>
        <w:rPr>
          <w:sz w:val="20"/>
          <w:szCs w:val="20"/>
          <w:color w:val="auto"/>
        </w:rPr>
      </w:pPr>
      <w:r>
        <w:rPr>
          <w:rFonts w:ascii="Times New Roman" w:cs="Times New Roman" w:eastAsia="Times New Roman" w:hAnsi="Times New Roman"/>
          <w:sz w:val="17"/>
          <w:szCs w:val="17"/>
          <w:color w:val="auto"/>
        </w:rPr>
        <w:t>2.22 “</w:t>
      </w:r>
      <w:r>
        <w:rPr>
          <w:rFonts w:ascii="Times New Roman" w:cs="Times New Roman" w:eastAsia="Times New Roman" w:hAnsi="Times New Roman"/>
          <w:sz w:val="17"/>
          <w:szCs w:val="17"/>
          <w:b w:val="1"/>
          <w:bCs w:val="1"/>
          <w:i w:val="1"/>
          <w:iCs w:val="1"/>
          <w:color w:val="auto"/>
        </w:rPr>
        <w:t>Payday</w:t>
      </w:r>
      <w:r>
        <w:rPr>
          <w:rFonts w:ascii="Times New Roman" w:cs="Times New Roman" w:eastAsia="Times New Roman" w:hAnsi="Times New Roman"/>
          <w:sz w:val="17"/>
          <w:szCs w:val="17"/>
          <w:color w:val="auto"/>
        </w:rPr>
        <w:t>” means the regular and recurring established day for payment of Compensation to an Employee of the Company or any Designated Subsidiary.</w:t>
      </w:r>
    </w:p>
    <w:p>
      <w:pPr>
        <w:spacing w:after="0" w:line="141" w:lineRule="exact"/>
        <w:rPr>
          <w:sz w:val="20"/>
          <w:szCs w:val="20"/>
          <w:color w:val="auto"/>
        </w:rPr>
      </w:pPr>
    </w:p>
    <w:p>
      <w:pPr>
        <w:ind w:right="220" w:firstLine="417"/>
        <w:spacing w:after="0" w:line="290" w:lineRule="auto"/>
        <w:rPr>
          <w:sz w:val="20"/>
          <w:szCs w:val="20"/>
          <w:color w:val="auto"/>
        </w:rPr>
      </w:pPr>
      <w:r>
        <w:rPr>
          <w:rFonts w:ascii="Times New Roman" w:cs="Times New Roman" w:eastAsia="Times New Roman" w:hAnsi="Times New Roman"/>
          <w:sz w:val="17"/>
          <w:szCs w:val="17"/>
          <w:color w:val="auto"/>
        </w:rPr>
        <w:t>2.23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means this 2024 Employee Stock Purchase Plan, including both the Section 423 Component and Non-Section 423 Component and any other sub-plans or appendices hereto, as amended from time to time.</w:t>
      </w:r>
    </w:p>
    <w:p>
      <w:pPr>
        <w:spacing w:after="0" w:line="141" w:lineRule="exact"/>
        <w:rPr>
          <w:sz w:val="20"/>
          <w:szCs w:val="20"/>
          <w:color w:val="auto"/>
        </w:rPr>
      </w:pPr>
    </w:p>
    <w:p>
      <w:pPr>
        <w:ind w:right="480" w:firstLine="417"/>
        <w:spacing w:after="0" w:line="290" w:lineRule="auto"/>
        <w:rPr>
          <w:sz w:val="20"/>
          <w:szCs w:val="20"/>
          <w:color w:val="auto"/>
        </w:rPr>
      </w:pPr>
      <w:r>
        <w:rPr>
          <w:rFonts w:ascii="Times New Roman" w:cs="Times New Roman" w:eastAsia="Times New Roman" w:hAnsi="Times New Roman"/>
          <w:sz w:val="17"/>
          <w:szCs w:val="17"/>
          <w:color w:val="auto"/>
        </w:rPr>
        <w:t>2.24 “</w:t>
      </w:r>
      <w:r>
        <w:rPr>
          <w:rFonts w:ascii="Times New Roman" w:cs="Times New Roman" w:eastAsia="Times New Roman" w:hAnsi="Times New Roman"/>
          <w:sz w:val="17"/>
          <w:szCs w:val="17"/>
          <w:b w:val="1"/>
          <w:bCs w:val="1"/>
          <w:i w:val="1"/>
          <w:iCs w:val="1"/>
          <w:color w:val="auto"/>
        </w:rPr>
        <w:t>Pricing Date</w:t>
      </w:r>
      <w:r>
        <w:rPr>
          <w:rFonts w:ascii="Times New Roman" w:cs="Times New Roman" w:eastAsia="Times New Roman" w:hAnsi="Times New Roman"/>
          <w:sz w:val="17"/>
          <w:szCs w:val="17"/>
          <w:color w:val="auto"/>
        </w:rPr>
        <w:t>” means the date upon which the Company’s Registration Statement on Form S-1 filed with the Securities and Exchange Commission relating to the underwritten public offering of shares of Common Stock becomes effective.</w:t>
      </w:r>
    </w:p>
    <w:p>
      <w:pPr>
        <w:spacing w:after="0" w:line="141" w:lineRule="exact"/>
        <w:rPr>
          <w:sz w:val="20"/>
          <w:szCs w:val="20"/>
          <w:color w:val="auto"/>
        </w:rPr>
      </w:pPr>
    </w:p>
    <w:p>
      <w:pPr>
        <w:ind w:right="100" w:firstLine="417"/>
        <w:spacing w:after="0" w:line="290" w:lineRule="auto"/>
        <w:rPr>
          <w:sz w:val="20"/>
          <w:szCs w:val="20"/>
          <w:color w:val="auto"/>
        </w:rPr>
      </w:pPr>
      <w:r>
        <w:rPr>
          <w:rFonts w:ascii="Times New Roman" w:cs="Times New Roman" w:eastAsia="Times New Roman" w:hAnsi="Times New Roman"/>
          <w:sz w:val="17"/>
          <w:szCs w:val="17"/>
          <w:color w:val="auto"/>
        </w:rPr>
        <w:t>2.25 “</w:t>
      </w:r>
      <w:r>
        <w:rPr>
          <w:rFonts w:ascii="Times New Roman" w:cs="Times New Roman" w:eastAsia="Times New Roman" w:hAnsi="Times New Roman"/>
          <w:sz w:val="17"/>
          <w:szCs w:val="17"/>
          <w:b w:val="1"/>
          <w:bCs w:val="1"/>
          <w:i w:val="1"/>
          <w:iCs w:val="1"/>
          <w:color w:val="auto"/>
        </w:rPr>
        <w:t>Purchase Date</w:t>
      </w:r>
      <w:r>
        <w:rPr>
          <w:rFonts w:ascii="Times New Roman" w:cs="Times New Roman" w:eastAsia="Times New Roman" w:hAnsi="Times New Roman"/>
          <w:sz w:val="17"/>
          <w:szCs w:val="17"/>
          <w:color w:val="auto"/>
        </w:rPr>
        <w:t>” means the last Trading Day of each Purchase Period or such other date as determined by the Administrator and set forth in the Offering Document.</w:t>
      </w:r>
    </w:p>
    <w:p>
      <w:pPr>
        <w:spacing w:after="0" w:line="141" w:lineRule="exact"/>
        <w:rPr>
          <w:sz w:val="20"/>
          <w:szCs w:val="20"/>
          <w:color w:val="auto"/>
        </w:rPr>
      </w:pPr>
    </w:p>
    <w:p>
      <w:pPr>
        <w:ind w:right="180" w:firstLine="417"/>
        <w:spacing w:after="0" w:line="270" w:lineRule="auto"/>
        <w:rPr>
          <w:sz w:val="20"/>
          <w:szCs w:val="20"/>
          <w:color w:val="auto"/>
        </w:rPr>
      </w:pPr>
      <w:r>
        <w:rPr>
          <w:rFonts w:ascii="Times New Roman" w:cs="Times New Roman" w:eastAsia="Times New Roman" w:hAnsi="Times New Roman"/>
          <w:sz w:val="17"/>
          <w:szCs w:val="17"/>
          <w:color w:val="auto"/>
        </w:rPr>
        <w:t>2.26 “</w:t>
      </w:r>
      <w:r>
        <w:rPr>
          <w:rFonts w:ascii="Times New Roman" w:cs="Times New Roman" w:eastAsia="Times New Roman" w:hAnsi="Times New Roman"/>
          <w:sz w:val="17"/>
          <w:szCs w:val="17"/>
          <w:b w:val="1"/>
          <w:bCs w:val="1"/>
          <w:i w:val="1"/>
          <w:iCs w:val="1"/>
          <w:color w:val="auto"/>
        </w:rPr>
        <w:t>Purchase Period</w:t>
      </w:r>
      <w:r>
        <w:rPr>
          <w:rFonts w:ascii="Times New Roman" w:cs="Times New Roman" w:eastAsia="Times New Roman" w:hAnsi="Times New Roman"/>
          <w:sz w:val="17"/>
          <w:szCs w:val="17"/>
          <w:color w:val="auto"/>
        </w:rPr>
        <w:t xml:space="preserve">” shall refer to one or more periods within an Offering Period, as designated in the applicable Offering Document;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the event no Purchase Period is designated by the Administrator in the applicable Offering Document, the Purchase Period for each Offering Period covered by such Offering Document shall be the same as the applicable Offering Period.</w:t>
      </w:r>
    </w:p>
    <w:p>
      <w:pPr>
        <w:spacing w:after="0" w:line="158" w:lineRule="exact"/>
        <w:rPr>
          <w:sz w:val="20"/>
          <w:szCs w:val="20"/>
          <w:color w:val="auto"/>
        </w:rPr>
      </w:pPr>
    </w:p>
    <w:p>
      <w:pPr>
        <w:ind w:firstLine="417"/>
        <w:spacing w:after="0" w:line="258" w:lineRule="auto"/>
        <w:rPr>
          <w:sz w:val="20"/>
          <w:szCs w:val="20"/>
          <w:color w:val="auto"/>
        </w:rPr>
      </w:pPr>
      <w:r>
        <w:rPr>
          <w:rFonts w:ascii="Times New Roman" w:cs="Times New Roman" w:eastAsia="Times New Roman" w:hAnsi="Times New Roman"/>
          <w:sz w:val="17"/>
          <w:szCs w:val="17"/>
          <w:color w:val="auto"/>
        </w:rPr>
        <w:t>2.27 “</w:t>
      </w:r>
      <w:r>
        <w:rPr>
          <w:rFonts w:ascii="Times New Roman" w:cs="Times New Roman" w:eastAsia="Times New Roman" w:hAnsi="Times New Roman"/>
          <w:sz w:val="17"/>
          <w:szCs w:val="17"/>
          <w:b w:val="1"/>
          <w:bCs w:val="1"/>
          <w:i w:val="1"/>
          <w:iCs w:val="1"/>
          <w:color w:val="auto"/>
        </w:rPr>
        <w:t>Purchase Price</w:t>
      </w:r>
      <w:r>
        <w:rPr>
          <w:rFonts w:ascii="Times New Roman" w:cs="Times New Roman" w:eastAsia="Times New Roman" w:hAnsi="Times New Roman"/>
          <w:sz w:val="17"/>
          <w:szCs w:val="17"/>
          <w:color w:val="auto"/>
        </w:rPr>
        <w:t xml:space="preserve">” means the purchase price designated by the Administrator in the applicable Offering Document (which purchase price, for purposes of the Section 423 Component, shall not be less than 85% of the Fair Market Value of a Share on the Enrollment Date or on the Purchase Date, whichever is lower);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in the event no purchase price is designated by the Administrator in the applicable Offering Document, the purchase price for the Offering Periods covered by such Offering Document shall be 85% of the Fair Market Value of a Share on the Enrollment Date or on the Purchase Date, whichever is lower;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the Purchase Price may be adjusted by the Administrator pursuant to Article VIII and shall not be less than the par value of a Share.</w:t>
      </w:r>
    </w:p>
    <w:p>
      <w:pPr>
        <w:sectPr>
          <w:pgSz w:w="11900" w:h="16838" w:orient="portrait"/>
          <w:cols w:equalWidth="0" w:num="1">
            <w:col w:w="10400"/>
          </w:cols>
          <w:pgMar w:left="740" w:top="258" w:right="759" w:bottom="1440" w:gutter="0" w:footer="0" w:header="0"/>
        </w:sectPr>
      </w:pPr>
    </w:p>
    <w:bookmarkStart w:id="406" w:name="page407"/>
    <w:bookmarkEnd w:id="406"/>
    <w:p>
      <w:pPr>
        <w:ind w:left="9" w:right="40" w:firstLine="417"/>
        <w:spacing w:after="0" w:line="25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2.28 “</w:t>
      </w:r>
      <w:r>
        <w:rPr>
          <w:rFonts w:ascii="Times New Roman" w:cs="Times New Roman" w:eastAsia="Times New Roman" w:hAnsi="Times New Roman"/>
          <w:sz w:val="17"/>
          <w:szCs w:val="17"/>
          <w:b w:val="1"/>
          <w:bCs w:val="1"/>
          <w:i w:val="1"/>
          <w:iCs w:val="1"/>
          <w:color w:val="auto"/>
        </w:rPr>
        <w:t>Section 423 Component</w:t>
      </w:r>
      <w:r>
        <w:rPr>
          <w:rFonts w:ascii="Times New Roman" w:cs="Times New Roman" w:eastAsia="Times New Roman" w:hAnsi="Times New Roman"/>
          <w:sz w:val="17"/>
          <w:szCs w:val="17"/>
          <w:color w:val="auto"/>
        </w:rPr>
        <w:t>” means those Offerings under the Plan, together with the sub-plans, appendices, rules or procedures, if any, adopted by the Administrator as a part of this Plan, in each case, pursuant to which rights to purchase Shares during an Offering Period may be granted to Eligible Employees that are intended to satisfy the requirements for rights to purchase Shares granted pursuant to an “employee stock purchase plan” that are set forth under Section 423 of the Code. To the extent any provision of the Plan with respect to the Section 423 Component does not satisfy the requirements for rights to purchase Shares granted pursuant to an “employee stock purchase plan” as set forth under Section 423 of the Code, then the Plan shall be deemed to be amended to accomplish the objectives of the terms as originally written to the fullest extent permitted by law and in compliance with Section 423 of the Code</w:t>
      </w:r>
    </w:p>
    <w:p>
      <w:pPr>
        <w:spacing w:after="0" w:line="170" w:lineRule="exact"/>
        <w:rPr>
          <w:sz w:val="20"/>
          <w:szCs w:val="20"/>
          <w:color w:val="auto"/>
        </w:rPr>
      </w:pPr>
    </w:p>
    <w:p>
      <w:pPr>
        <w:ind w:left="409"/>
        <w:spacing w:after="0"/>
        <w:rPr>
          <w:sz w:val="20"/>
          <w:szCs w:val="20"/>
          <w:color w:val="auto"/>
        </w:rPr>
      </w:pPr>
      <w:r>
        <w:rPr>
          <w:rFonts w:ascii="Times New Roman" w:cs="Times New Roman" w:eastAsia="Times New Roman" w:hAnsi="Times New Roman"/>
          <w:sz w:val="17"/>
          <w:szCs w:val="17"/>
          <w:color w:val="auto"/>
        </w:rPr>
        <w:t>2.29 “</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means the U.S. Securities Act of 1933, as amended.</w:t>
      </w:r>
    </w:p>
    <w:p>
      <w:pPr>
        <w:spacing w:after="0" w:line="213" w:lineRule="exact"/>
        <w:rPr>
          <w:sz w:val="20"/>
          <w:szCs w:val="20"/>
          <w:color w:val="auto"/>
        </w:rPr>
      </w:pPr>
    </w:p>
    <w:p>
      <w:pPr>
        <w:ind w:left="409"/>
        <w:spacing w:after="0"/>
        <w:rPr>
          <w:sz w:val="20"/>
          <w:szCs w:val="20"/>
          <w:color w:val="auto"/>
        </w:rPr>
      </w:pPr>
      <w:r>
        <w:rPr>
          <w:rFonts w:ascii="Times New Roman" w:cs="Times New Roman" w:eastAsia="Times New Roman" w:hAnsi="Times New Roman"/>
          <w:sz w:val="17"/>
          <w:szCs w:val="17"/>
          <w:color w:val="auto"/>
        </w:rPr>
        <w:t>2.30 “</w:t>
      </w:r>
      <w:r>
        <w:rPr>
          <w:rFonts w:ascii="Times New Roman" w:cs="Times New Roman" w:eastAsia="Times New Roman" w:hAnsi="Times New Roman"/>
          <w:sz w:val="17"/>
          <w:szCs w:val="17"/>
          <w:b w:val="1"/>
          <w:bCs w:val="1"/>
          <w:i w:val="1"/>
          <w:iCs w:val="1"/>
          <w:color w:val="auto"/>
        </w:rPr>
        <w:t>Share</w:t>
      </w:r>
      <w:r>
        <w:rPr>
          <w:rFonts w:ascii="Times New Roman" w:cs="Times New Roman" w:eastAsia="Times New Roman" w:hAnsi="Times New Roman"/>
          <w:sz w:val="17"/>
          <w:szCs w:val="17"/>
          <w:color w:val="auto"/>
        </w:rPr>
        <w:t>” means a share of Common Stock.</w:t>
      </w:r>
    </w:p>
    <w:p>
      <w:pPr>
        <w:spacing w:after="0" w:line="213" w:lineRule="exact"/>
        <w:rPr>
          <w:sz w:val="20"/>
          <w:szCs w:val="20"/>
          <w:color w:val="auto"/>
        </w:rPr>
      </w:pPr>
    </w:p>
    <w:p>
      <w:pPr>
        <w:ind w:left="9" w:right="60" w:firstLine="417"/>
        <w:spacing w:after="0" w:line="255" w:lineRule="auto"/>
        <w:rPr>
          <w:sz w:val="20"/>
          <w:szCs w:val="20"/>
          <w:color w:val="auto"/>
        </w:rPr>
      </w:pPr>
      <w:r>
        <w:rPr>
          <w:rFonts w:ascii="Times New Roman" w:cs="Times New Roman" w:eastAsia="Times New Roman" w:hAnsi="Times New Roman"/>
          <w:sz w:val="17"/>
          <w:szCs w:val="17"/>
          <w:color w:val="auto"/>
        </w:rPr>
        <w:t>2.31 “</w:t>
      </w:r>
      <w:r>
        <w:rPr>
          <w:rFonts w:ascii="Times New Roman" w:cs="Times New Roman" w:eastAsia="Times New Roman" w:hAnsi="Times New Roman"/>
          <w:sz w:val="17"/>
          <w:szCs w:val="17"/>
          <w:b w:val="1"/>
          <w:bCs w:val="1"/>
          <w:i w:val="1"/>
          <w:iCs w:val="1"/>
          <w:color w:val="auto"/>
        </w:rPr>
        <w:t>Subsidiary</w:t>
      </w:r>
      <w:r>
        <w:rPr>
          <w:rFonts w:ascii="Times New Roman" w:cs="Times New Roman" w:eastAsia="Times New Roman" w:hAnsi="Times New Roman"/>
          <w:sz w:val="17"/>
          <w:szCs w:val="17"/>
          <w:color w:val="auto"/>
        </w:rPr>
        <w:t xml:space="preserve">” means any corporation, other than the Company, in an unbroken chain of corporations beginning with the Company if, at the time of the determination, each of the corporations other than the last corporation in an unbroken chain owns stock possessing 50% or more of the total combined voting power of all classes of stock in one of the other corporations in such chain;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however, that a limited liability company or partnership may be treated as a Subsidiary to the extent either (a) such entity is treated as a disregarded entity under Treas. Reg. Section 301.7701-3(a) by reason of the Company or any other Subsidiary that is a corporation being the sole owner of such entity, or (b) such entity elects to be classified as a corporation under Treas. Reg. Section 301.7701-3(a) and such entity would otherwise qualify as a Subsidiary. In addition, with respect to the Non-Section 423 Component, Subsidiary shall include any corporate or non-corporate entity in which the Company has a direct or indirect equity interest or significant business relationship that constitutes a “parent” or “subsidiary” of the Company for purposes of Form S-8 of the Securities Act and whose employees are eligible to be offered securities registrable on Form S-8 of the Securities Act.</w:t>
      </w:r>
    </w:p>
    <w:p>
      <w:pPr>
        <w:spacing w:after="0" w:line="175" w:lineRule="exact"/>
        <w:rPr>
          <w:sz w:val="20"/>
          <w:szCs w:val="20"/>
          <w:color w:val="auto"/>
        </w:rPr>
      </w:pPr>
    </w:p>
    <w:p>
      <w:pPr>
        <w:ind w:left="409"/>
        <w:spacing w:after="0"/>
        <w:rPr>
          <w:sz w:val="20"/>
          <w:szCs w:val="20"/>
          <w:color w:val="auto"/>
        </w:rPr>
      </w:pPr>
      <w:r>
        <w:rPr>
          <w:rFonts w:ascii="Times New Roman" w:cs="Times New Roman" w:eastAsia="Times New Roman" w:hAnsi="Times New Roman"/>
          <w:sz w:val="17"/>
          <w:szCs w:val="17"/>
          <w:color w:val="auto"/>
        </w:rPr>
        <w:t>2.32 “</w:t>
      </w:r>
      <w:r>
        <w:rPr>
          <w:rFonts w:ascii="Times New Roman" w:cs="Times New Roman" w:eastAsia="Times New Roman" w:hAnsi="Times New Roman"/>
          <w:sz w:val="17"/>
          <w:szCs w:val="17"/>
          <w:b w:val="1"/>
          <w:bCs w:val="1"/>
          <w:i w:val="1"/>
          <w:iCs w:val="1"/>
          <w:color w:val="auto"/>
        </w:rPr>
        <w:t>Trading Day</w:t>
      </w:r>
      <w:r>
        <w:rPr>
          <w:rFonts w:ascii="Times New Roman" w:cs="Times New Roman" w:eastAsia="Times New Roman" w:hAnsi="Times New Roman"/>
          <w:sz w:val="17"/>
          <w:szCs w:val="17"/>
          <w:color w:val="auto"/>
        </w:rPr>
        <w:t>” means a day on which national stock exchanges in the United States are open for trading.</w:t>
      </w:r>
    </w:p>
    <w:p>
      <w:pPr>
        <w:spacing w:after="0" w:line="213" w:lineRule="exact"/>
        <w:rPr>
          <w:sz w:val="20"/>
          <w:szCs w:val="20"/>
          <w:color w:val="auto"/>
        </w:rPr>
      </w:pPr>
    </w:p>
    <w:p>
      <w:pPr>
        <w:ind w:left="409"/>
        <w:spacing w:after="0"/>
        <w:rPr>
          <w:sz w:val="20"/>
          <w:szCs w:val="20"/>
          <w:color w:val="auto"/>
        </w:rPr>
      </w:pPr>
      <w:r>
        <w:rPr>
          <w:rFonts w:ascii="Times New Roman" w:cs="Times New Roman" w:eastAsia="Times New Roman" w:hAnsi="Times New Roman"/>
          <w:sz w:val="17"/>
          <w:szCs w:val="17"/>
          <w:color w:val="auto"/>
        </w:rPr>
        <w:t>2.33 “</w:t>
      </w:r>
      <w:r>
        <w:rPr>
          <w:rFonts w:ascii="Times New Roman" w:cs="Times New Roman" w:eastAsia="Times New Roman" w:hAnsi="Times New Roman"/>
          <w:sz w:val="17"/>
          <w:szCs w:val="17"/>
          <w:b w:val="1"/>
          <w:bCs w:val="1"/>
          <w:i w:val="1"/>
          <w:iCs w:val="1"/>
          <w:color w:val="auto"/>
        </w:rPr>
        <w:t>Treas. Reg.</w:t>
      </w:r>
      <w:r>
        <w:rPr>
          <w:rFonts w:ascii="Times New Roman" w:cs="Times New Roman" w:eastAsia="Times New Roman" w:hAnsi="Times New Roman"/>
          <w:sz w:val="17"/>
          <w:szCs w:val="17"/>
          <w:color w:val="auto"/>
        </w:rPr>
        <w:t>” means U.S. Department of the Treasury regulations.</w:t>
      </w:r>
    </w:p>
    <w:p>
      <w:pPr>
        <w:spacing w:after="0" w:line="200" w:lineRule="exact"/>
        <w:rPr>
          <w:sz w:val="20"/>
          <w:szCs w:val="20"/>
          <w:color w:val="auto"/>
        </w:rPr>
      </w:pPr>
    </w:p>
    <w:p>
      <w:pPr>
        <w:spacing w:after="0" w:line="220" w:lineRule="exact"/>
        <w:rPr>
          <w:sz w:val="20"/>
          <w:szCs w:val="20"/>
          <w:color w:val="auto"/>
        </w:rPr>
      </w:pPr>
    </w:p>
    <w:p>
      <w:pPr>
        <w:jc w:val="center"/>
        <w:ind w:right="-48"/>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30" w:lineRule="exact"/>
        <w:rPr>
          <w:sz w:val="20"/>
          <w:szCs w:val="20"/>
          <w:color w:val="auto"/>
        </w:rPr>
      </w:pPr>
    </w:p>
    <w:p>
      <w:pPr>
        <w:jc w:val="center"/>
        <w:ind w:right="-48"/>
        <w:spacing w:after="0"/>
        <w:rPr>
          <w:sz w:val="20"/>
          <w:szCs w:val="20"/>
          <w:color w:val="auto"/>
        </w:rPr>
      </w:pPr>
      <w:r>
        <w:rPr>
          <w:rFonts w:ascii="Times New Roman" w:cs="Times New Roman" w:eastAsia="Times New Roman" w:hAnsi="Times New Roman"/>
          <w:sz w:val="17"/>
          <w:szCs w:val="17"/>
          <w:b w:val="1"/>
          <w:bCs w:val="1"/>
          <w:color w:val="auto"/>
        </w:rPr>
        <w:t>SHARES SUBJECT TO THE PLAN</w:t>
      </w:r>
    </w:p>
    <w:p>
      <w:pPr>
        <w:spacing w:after="0" w:line="196" w:lineRule="exact"/>
        <w:rPr>
          <w:sz w:val="20"/>
          <w:szCs w:val="20"/>
          <w:color w:val="auto"/>
        </w:rPr>
      </w:pPr>
    </w:p>
    <w:p>
      <w:pPr>
        <w:ind w:left="9" w:right="120" w:firstLine="417"/>
        <w:spacing w:after="0" w:line="222" w:lineRule="auto"/>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Number of Shares</w:t>
      </w:r>
      <w:r>
        <w:rPr>
          <w:rFonts w:ascii="Times New Roman" w:cs="Times New Roman" w:eastAsia="Times New Roman" w:hAnsi="Times New Roman"/>
          <w:sz w:val="16"/>
          <w:szCs w:val="16"/>
          <w:color w:val="auto"/>
        </w:rPr>
        <w:t>. Subject to Article VIII, the aggregate number of Shares that may be issued pursuant to rights granted under the Plan shall be equal to [_____] Shares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6"/>
          <w:szCs w:val="16"/>
          <w:color w:val="auto"/>
        </w:rPr>
        <w:t>. In addition to the foregoing, subject to Article VIII, on the first day of each calendar year beginning on and including</w:t>
      </w:r>
    </w:p>
    <w:p>
      <w:pPr>
        <w:spacing w:after="0" w:line="1" w:lineRule="exact"/>
        <w:rPr>
          <w:sz w:val="20"/>
          <w:szCs w:val="20"/>
          <w:color w:val="auto"/>
        </w:rPr>
      </w:pPr>
    </w:p>
    <w:p>
      <w:pPr>
        <w:ind w:left="9"/>
        <w:spacing w:after="0" w:line="252" w:lineRule="auto"/>
        <w:rPr>
          <w:sz w:val="20"/>
          <w:szCs w:val="20"/>
          <w:color w:val="auto"/>
        </w:rPr>
      </w:pPr>
      <w:r>
        <w:rPr>
          <w:rFonts w:ascii="Times New Roman" w:cs="Times New Roman" w:eastAsia="Times New Roman" w:hAnsi="Times New Roman"/>
          <w:sz w:val="17"/>
          <w:szCs w:val="17"/>
          <w:color w:val="auto"/>
        </w:rPr>
        <w:t>January 1, 2025 and ending on and including January 1, 2034, the number of Shares available for issuance under the Plan shall be increased by that number of Shares equal to the lesser of (a) 1% of the aggregate number of shares of Common Stock of the Company outstanding on the final day of the immediately preceding calendar year, or (b) such smaller number of Shares as determined by the Administrator. If any right granted under the Plan shall for any reason terminate without having been exercised, the Shares not purchased under such right shall again become available for issuance under the Plan. Notwithstanding anything in this Section 3.1 to the contrary, the number of Shares that may be issued or transferred pursuant to the rights granted under the Plan shall not exceed an aggregate of 100,000,000 Shares, subject to Article VIII. All or any portion of such maximum number of Shares may be issued under the Section 423 Component.</w:t>
      </w:r>
    </w:p>
    <w:p>
      <w:pPr>
        <w:spacing w:after="0" w:line="200" w:lineRule="exact"/>
        <w:rPr>
          <w:sz w:val="20"/>
          <w:szCs w:val="20"/>
          <w:color w:val="auto"/>
        </w:rPr>
      </w:pPr>
    </w:p>
    <w:p>
      <w:pPr>
        <w:ind w:left="409" w:hanging="409"/>
        <w:spacing w:after="0" w:line="232" w:lineRule="auto"/>
        <w:tabs>
          <w:tab w:leader="none" w:pos="409" w:val="left"/>
        </w:tabs>
        <w:numPr>
          <w:ilvl w:val="0"/>
          <w:numId w:val="28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Number to be equal to 1% of the aggregate number of Pricing Date Common Shares Outstanding. “</w:t>
      </w:r>
      <w:r>
        <w:rPr>
          <w:rFonts w:ascii="Times New Roman" w:cs="Times New Roman" w:eastAsia="Times New Roman" w:hAnsi="Times New Roman"/>
          <w:sz w:val="17"/>
          <w:szCs w:val="17"/>
          <w:b w:val="1"/>
          <w:bCs w:val="1"/>
          <w:i w:val="1"/>
          <w:iCs w:val="1"/>
          <w:color w:val="auto"/>
        </w:rPr>
        <w:t>Pricing Date Common Shares Outstanding</w:t>
      </w:r>
      <w:r>
        <w:rPr>
          <w:rFonts w:ascii="Times New Roman" w:cs="Times New Roman" w:eastAsia="Times New Roman" w:hAnsi="Times New Roman"/>
          <w:sz w:val="17"/>
          <w:szCs w:val="17"/>
          <w:color w:val="auto"/>
        </w:rPr>
        <w:t>” means, as of the Pricing Date, the number of Shares outstanding on such date (calculated on the Pricing Date on an as-converted basis after giving effect to the conversion of the Company’s outstanding securities into Shares in connection with the initial public offering and after giving effect to the issuance of Shares to be sold in the initial public offering (assuming the exercise in full of the underwriters’ option to purchase additional Shares in such initial public offering)).</w:t>
      </w:r>
    </w:p>
    <w:p>
      <w:pPr>
        <w:sectPr>
          <w:pgSz w:w="11900" w:h="16838" w:orient="portrait"/>
          <w:cols w:equalWidth="0" w:num="1">
            <w:col w:w="10369"/>
          </w:cols>
          <w:pgMar w:left="731" w:top="257" w:right="799" w:bottom="1440" w:gutter="0" w:footer="0" w:header="0"/>
        </w:sectPr>
      </w:pPr>
    </w:p>
    <w:bookmarkStart w:id="407" w:name="page408"/>
    <w:bookmarkEnd w:id="407"/>
    <w:p>
      <w:pPr>
        <w:ind w:right="160" w:firstLine="417"/>
        <w:spacing w:after="0" w:line="28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3.2 </w:t>
      </w:r>
      <w:r>
        <w:rPr>
          <w:rFonts w:ascii="Times New Roman" w:cs="Times New Roman" w:eastAsia="Times New Roman" w:hAnsi="Times New Roman"/>
          <w:sz w:val="17"/>
          <w:szCs w:val="17"/>
          <w:u w:val="single" w:color="auto"/>
          <w:color w:val="auto"/>
        </w:rPr>
        <w:t>Shares Distributed</w:t>
      </w:r>
      <w:r>
        <w:rPr>
          <w:rFonts w:ascii="Times New Roman" w:cs="Times New Roman" w:eastAsia="Times New Roman" w:hAnsi="Times New Roman"/>
          <w:sz w:val="17"/>
          <w:szCs w:val="17"/>
          <w:color w:val="auto"/>
        </w:rPr>
        <w:t>. Any Shares distributed pursuant to the Plan may consist, in whole or in part, of authorized and unissued Shares, treasury shares or Shares purchased on the open market.</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OFFERING PERIODS; OFFERING DOCUMENTS; PURCHASE DATES</w:t>
      </w:r>
    </w:p>
    <w:p>
      <w:pPr>
        <w:spacing w:after="0" w:line="196" w:lineRule="exact"/>
        <w:rPr>
          <w:sz w:val="20"/>
          <w:szCs w:val="20"/>
          <w:color w:val="auto"/>
        </w:rPr>
      </w:pPr>
    </w:p>
    <w:p>
      <w:pPr>
        <w:ind w:right="20" w:firstLine="417"/>
        <w:spacing w:after="0" w:line="256"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Offering Periods</w:t>
      </w:r>
      <w:r>
        <w:rPr>
          <w:rFonts w:ascii="Times New Roman" w:cs="Times New Roman" w:eastAsia="Times New Roman" w:hAnsi="Times New Roman"/>
          <w:sz w:val="17"/>
          <w:szCs w:val="17"/>
          <w:color w:val="auto"/>
        </w:rPr>
        <w:t>. The Administrator may from time to time grant or provide for the grant of rights to purchase Shares under the Plan to Eligible Employees during one or more periods (each, an “</w:t>
      </w:r>
      <w:r>
        <w:rPr>
          <w:rFonts w:ascii="Times New Roman" w:cs="Times New Roman" w:eastAsia="Times New Roman" w:hAnsi="Times New Roman"/>
          <w:sz w:val="17"/>
          <w:szCs w:val="17"/>
          <w:b w:val="1"/>
          <w:bCs w:val="1"/>
          <w:i w:val="1"/>
          <w:iCs w:val="1"/>
          <w:color w:val="auto"/>
        </w:rPr>
        <w:t>Offering Period</w:t>
      </w:r>
      <w:r>
        <w:rPr>
          <w:rFonts w:ascii="Times New Roman" w:cs="Times New Roman" w:eastAsia="Times New Roman" w:hAnsi="Times New Roman"/>
          <w:sz w:val="17"/>
          <w:szCs w:val="17"/>
          <w:color w:val="auto"/>
        </w:rPr>
        <w:t>”) selected by the Administrator. The terms and conditions applicable to each Offering Period shall be set forth in an “</w:t>
      </w:r>
      <w:r>
        <w:rPr>
          <w:rFonts w:ascii="Times New Roman" w:cs="Times New Roman" w:eastAsia="Times New Roman" w:hAnsi="Times New Roman"/>
          <w:sz w:val="17"/>
          <w:szCs w:val="17"/>
          <w:b w:val="1"/>
          <w:bCs w:val="1"/>
          <w:i w:val="1"/>
          <w:iCs w:val="1"/>
          <w:color w:val="auto"/>
        </w:rPr>
        <w:t>Offering Document</w:t>
      </w:r>
      <w:r>
        <w:rPr>
          <w:rFonts w:ascii="Times New Roman" w:cs="Times New Roman" w:eastAsia="Times New Roman" w:hAnsi="Times New Roman"/>
          <w:sz w:val="17"/>
          <w:szCs w:val="17"/>
          <w:color w:val="auto"/>
        </w:rPr>
        <w:t>” adopted by the Administrator, which Offering Document shall be in such form and shall contain such terms and conditions as the Administrator shall deem appropriate and shall be incorporated by reference into and made part of the Plan and shall be attached hereto as part of the Plan. The Administrator shall establish in each Offering Document one or more Purchase Periods during such Offering Period during which rights granted under the Plan shall be exercised and purchases of Shares carried out during such Offering Period in accordance with such Offering Document and the Plan. The provisions of separate Offerings or Offering Periods under the Plan need not be identical.</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Offering Documents</w:t>
      </w:r>
      <w:r>
        <w:rPr>
          <w:rFonts w:ascii="Times New Roman" w:cs="Times New Roman" w:eastAsia="Times New Roman" w:hAnsi="Times New Roman"/>
          <w:sz w:val="17"/>
          <w:szCs w:val="17"/>
          <w:color w:val="auto"/>
        </w:rPr>
        <w:t>. Each Offering Document with respect to an Offering Period shall specify (through incorporation of the provisions of this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Plan by reference or otherwise):</w:t>
      </w:r>
    </w:p>
    <w:p>
      <w:pPr>
        <w:spacing w:after="0" w:line="196" w:lineRule="exact"/>
        <w:rPr>
          <w:sz w:val="20"/>
          <w:szCs w:val="20"/>
          <w:color w:val="auto"/>
        </w:rPr>
      </w:pPr>
    </w:p>
    <w:p>
      <w:pPr>
        <w:ind w:left="1160" w:hanging="231"/>
        <w:spacing w:after="0"/>
        <w:tabs>
          <w:tab w:leader="none" w:pos="1160" w:val="left"/>
        </w:tabs>
        <w:numPr>
          <w:ilvl w:val="0"/>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length of the Offering Period, which period shall not exceed twenty-seven (27) months;</w:t>
      </w:r>
    </w:p>
    <w:p>
      <w:pPr>
        <w:spacing w:after="0" w:line="213" w:lineRule="exact"/>
        <w:rPr>
          <w:rFonts w:ascii="Times New Roman" w:cs="Times New Roman" w:eastAsia="Times New Roman" w:hAnsi="Times New Roman"/>
          <w:sz w:val="17"/>
          <w:szCs w:val="17"/>
          <w:color w:val="auto"/>
        </w:rPr>
      </w:pPr>
    </w:p>
    <w:p>
      <w:pPr>
        <w:ind w:left="1180" w:hanging="251"/>
        <w:spacing w:after="0"/>
        <w:tabs>
          <w:tab w:leader="none" w:pos="1180" w:val="left"/>
        </w:tabs>
        <w:numPr>
          <w:ilvl w:val="0"/>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length of the Purchase Period(s) within the Offering Period;</w:t>
      </w:r>
    </w:p>
    <w:p>
      <w:pPr>
        <w:spacing w:after="0" w:line="213" w:lineRule="exact"/>
        <w:rPr>
          <w:rFonts w:ascii="Times New Roman" w:cs="Times New Roman" w:eastAsia="Times New Roman" w:hAnsi="Times New Roman"/>
          <w:sz w:val="17"/>
          <w:szCs w:val="17"/>
          <w:color w:val="auto"/>
        </w:rPr>
      </w:pPr>
    </w:p>
    <w:p>
      <w:pPr>
        <w:ind w:right="140" w:firstLine="929"/>
        <w:spacing w:after="0" w:line="283" w:lineRule="auto"/>
        <w:tabs>
          <w:tab w:leader="none" w:pos="1170" w:val="left"/>
        </w:tabs>
        <w:numPr>
          <w:ilvl w:val="0"/>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number of Shares that may be purchased by any Eligible Employee during such Offering Period, which, in the absence of a contrary designation by the Administrator, shall be 100,000 Shares;</w:t>
      </w:r>
    </w:p>
    <w:p>
      <w:pPr>
        <w:spacing w:after="0" w:line="152" w:lineRule="exact"/>
        <w:rPr>
          <w:rFonts w:ascii="Times New Roman" w:cs="Times New Roman" w:eastAsia="Times New Roman" w:hAnsi="Times New Roman"/>
          <w:sz w:val="17"/>
          <w:szCs w:val="17"/>
          <w:color w:val="auto"/>
        </w:rPr>
      </w:pPr>
    </w:p>
    <w:p>
      <w:pPr>
        <w:jc w:val="both"/>
        <w:ind w:firstLine="929"/>
        <w:spacing w:after="0" w:line="267" w:lineRule="auto"/>
        <w:tabs>
          <w:tab w:leader="none" w:pos="1180" w:val="left"/>
        </w:tabs>
        <w:numPr>
          <w:ilvl w:val="0"/>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each Offering Period that contains more than one Purchase Period, the maximum aggregate number of shares which may be purchased by any Eligible Employee during each Purchase Period, which, in the absence of a contrary designation by the Administrator, shall be 100,000 Shares; and</w:t>
      </w:r>
    </w:p>
    <w:p>
      <w:pPr>
        <w:spacing w:after="0" w:line="165" w:lineRule="exact"/>
        <w:rPr>
          <w:rFonts w:ascii="Times New Roman" w:cs="Times New Roman" w:eastAsia="Times New Roman" w:hAnsi="Times New Roman"/>
          <w:sz w:val="17"/>
          <w:szCs w:val="17"/>
          <w:color w:val="auto"/>
        </w:rPr>
      </w:pPr>
    </w:p>
    <w:p>
      <w:pPr>
        <w:ind w:left="1160" w:hanging="231"/>
        <w:spacing w:after="0"/>
        <w:tabs>
          <w:tab w:leader="none" w:pos="1160" w:val="left"/>
        </w:tabs>
        <w:numPr>
          <w:ilvl w:val="0"/>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other provisions as the Administrator determines are appropriate, subject to the Plan.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ELIGIBILITY AND PARTICIPATION</w:t>
      </w:r>
    </w:p>
    <w:p>
      <w:pPr>
        <w:spacing w:after="0" w:line="196" w:lineRule="exact"/>
        <w:rPr>
          <w:sz w:val="20"/>
          <w:szCs w:val="20"/>
          <w:color w:val="auto"/>
        </w:rPr>
      </w:pPr>
    </w:p>
    <w:p>
      <w:pPr>
        <w:ind w:right="300" w:firstLine="417"/>
        <w:spacing w:after="0" w:line="267"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Eligibility</w:t>
      </w:r>
      <w:r>
        <w:rPr>
          <w:rFonts w:ascii="Times New Roman" w:cs="Times New Roman" w:eastAsia="Times New Roman" w:hAnsi="Times New Roman"/>
          <w:sz w:val="17"/>
          <w:szCs w:val="17"/>
          <w:color w:val="auto"/>
        </w:rPr>
        <w:t>. Any Eligible Employee who shall be employed by the Company or a Designated Subsidiary on a given Enrollment Date for an Offering Period shall be eligible to participate in the Plan during such Offering Period, subject to the requirements of this Article V and, for the Section 423 Component, the limitations imposed by Section 423(b) of the Code.</w:t>
      </w:r>
    </w:p>
    <w:p>
      <w:pPr>
        <w:sectPr>
          <w:pgSz w:w="11900" w:h="16838" w:orient="portrait"/>
          <w:cols w:equalWidth="0" w:num="1">
            <w:col w:w="10380"/>
          </w:cols>
          <w:pgMar w:left="740" w:top="263" w:right="779" w:bottom="1440" w:gutter="0" w:footer="0" w:header="0"/>
        </w:sectPr>
      </w:pPr>
    </w:p>
    <w:bookmarkStart w:id="408" w:name="page409"/>
    <w:bookmarkEnd w:id="408"/>
    <w:p>
      <w:pPr>
        <w:ind w:left="4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5.2 </w:t>
      </w:r>
      <w:r>
        <w:rPr>
          <w:rFonts w:ascii="Times New Roman" w:cs="Times New Roman" w:eastAsia="Times New Roman" w:hAnsi="Times New Roman"/>
          <w:sz w:val="17"/>
          <w:szCs w:val="17"/>
          <w:u w:val="single" w:color="auto"/>
          <w:color w:val="auto"/>
        </w:rPr>
        <w:t>Enrollment in Plan</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ind w:right="60" w:firstLine="929"/>
        <w:spacing w:after="0" w:line="267" w:lineRule="auto"/>
        <w:tabs>
          <w:tab w:leader="none" w:pos="1170"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set forth in an Offering Document or determined by the Administrator, an Eligible Employee may become a Participant in the Plan for an Offering Period by delivering a subscription agreement to the Company by such time prior to the Enrollment Date for such Offering Period (or such other date specified in the Offering Document) designated by the Administrator and in such form as the Company provides.</w:t>
      </w:r>
    </w:p>
    <w:p>
      <w:pPr>
        <w:spacing w:after="0" w:line="165" w:lineRule="exact"/>
        <w:rPr>
          <w:rFonts w:ascii="Times New Roman" w:cs="Times New Roman" w:eastAsia="Times New Roman" w:hAnsi="Times New Roman"/>
          <w:sz w:val="17"/>
          <w:szCs w:val="17"/>
          <w:color w:val="auto"/>
        </w:rPr>
      </w:pPr>
    </w:p>
    <w:p>
      <w:pPr>
        <w:ind w:firstLine="929"/>
        <w:spacing w:after="0" w:line="257" w:lineRule="auto"/>
        <w:tabs>
          <w:tab w:leader="none" w:pos="1180"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determined by the Administrator, each subscription agreement shall designate a whole percentage of such Eligible Employee’s Compensation to be withheld by the Company or the Designated Subsidiary employing such Eligible Employee on each Payday during the Offering Period as payroll deductions under the Plan. The percentage of Compensation designated by an Eligible Employee may not be less than 1% and may not be more than the maximum percentage specified by the Administrator in the applicable Offering Document (which percentage shall be 15% in the absence of any such designation) as payroll deductions. The payroll deductions made for each Participant shall be credited to an account for such Participant under the Plan and shall be deposited with the general funds of the Company.</w:t>
      </w:r>
    </w:p>
    <w:p>
      <w:pPr>
        <w:spacing w:after="0" w:line="175" w:lineRule="exact"/>
        <w:rPr>
          <w:rFonts w:ascii="Times New Roman" w:cs="Times New Roman" w:eastAsia="Times New Roman" w:hAnsi="Times New Roman"/>
          <w:sz w:val="17"/>
          <w:szCs w:val="17"/>
          <w:color w:val="auto"/>
        </w:rPr>
      </w:pPr>
    </w:p>
    <w:p>
      <w:pPr>
        <w:ind w:firstLine="929"/>
        <w:spacing w:after="0" w:line="254" w:lineRule="auto"/>
        <w:tabs>
          <w:tab w:leader="none" w:pos="1170"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Participant may increase or decrease the percentage of Compensation designated in his or her subscription agreement, subject to the limits of this Section 5.2, or may suspend his or her payroll deductions, at any time during an Offering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Administrator may limit the number of changes a Participant may make to his or her payroll deduction elections during each Purchase Period in the applicable Offering Document (and in the absence of any specific designation by the Administrator, a Participant shall be allowed to decrease (but not increase) or suspend his or her payroll deduction elections one time during each Purchase Period). Any such change or suspension of payroll deductions shall be effective with the first full payroll period following five (5) business days after the Company’s receipt of the new subscription agreement (or such shorter or longer period as may be specified by the Administrator in the applicable Offering Document). In the event a Participant suspends his or her payroll deductions, such Participant’s cumulative payroll deductions prior to the suspension shall remain in his or her account and shall be applied to the purchase of Shares on the next occurring Purchase Date and shall not be paid to such Participant unless he or she withdraws from participation in the Plan pursuant to Article VII.</w:t>
      </w:r>
    </w:p>
    <w:p>
      <w:pPr>
        <w:spacing w:after="0" w:line="179" w:lineRule="exact"/>
        <w:rPr>
          <w:rFonts w:ascii="Times New Roman" w:cs="Times New Roman" w:eastAsia="Times New Roman" w:hAnsi="Times New Roman"/>
          <w:sz w:val="17"/>
          <w:szCs w:val="17"/>
          <w:color w:val="auto"/>
        </w:rPr>
      </w:pPr>
    </w:p>
    <w:p>
      <w:pPr>
        <w:ind w:right="260" w:firstLine="929"/>
        <w:spacing w:after="0" w:line="283" w:lineRule="auto"/>
        <w:tabs>
          <w:tab w:leader="none" w:pos="1180"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set forth in an Offering Document or determined by the Administrator, a Participant may participate in the Plan only by means of payroll deduction and may not make contributions by lump sum payment for any Offering Period.</w:t>
      </w:r>
    </w:p>
    <w:p>
      <w:pPr>
        <w:spacing w:after="0" w:line="152" w:lineRule="exact"/>
        <w:rPr>
          <w:sz w:val="20"/>
          <w:szCs w:val="20"/>
          <w:color w:val="auto"/>
        </w:rPr>
      </w:pPr>
    </w:p>
    <w:p>
      <w:pPr>
        <w:ind w:right="20" w:firstLine="417"/>
        <w:spacing w:after="0" w:line="255" w:lineRule="auto"/>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u w:val="single" w:color="auto"/>
          <w:color w:val="auto"/>
        </w:rPr>
        <w:t>Payroll Deductions</w:t>
      </w:r>
      <w:r>
        <w:rPr>
          <w:rFonts w:ascii="Times New Roman" w:cs="Times New Roman" w:eastAsia="Times New Roman" w:hAnsi="Times New Roman"/>
          <w:sz w:val="17"/>
          <w:szCs w:val="17"/>
          <w:color w:val="auto"/>
        </w:rPr>
        <w:t>. Except as otherwise provided in the applicable Offering Document or determined by the Administrator, payroll deductions for a Participant shall commence on the first Payday following the Enrollment Date and shall end on the last Payday in the Offering Period to which the Participant’s authorization is applicable, unless sooner terminated by the Participant as provided in Article VII or suspended by the Participant or the Administrator as provided in Section 5.2 and Section 5.6, respectively. Notwithstanding any other provisions of the Plan to the contrary, in non-U.S. jurisdictions where participation in the Plan through payroll deductions is prohibited, the Administrator may provide that an Eligible Employee may elect to participate through contributions to the Participant’s account under the Plan in a form acceptable to the Administrator in lieu of or in addition to payroll deductions; provided, however, that, for any Offering under the Section 423 Component, the Administrator shall take into consideration any limitations under Section 423 of the Code when applying an alternative method of contribution.</w:t>
      </w:r>
    </w:p>
    <w:p>
      <w:pPr>
        <w:spacing w:after="0" w:line="178" w:lineRule="exact"/>
        <w:rPr>
          <w:sz w:val="20"/>
          <w:szCs w:val="20"/>
          <w:color w:val="auto"/>
        </w:rPr>
      </w:pPr>
    </w:p>
    <w:p>
      <w:pPr>
        <w:ind w:right="40" w:firstLine="417"/>
        <w:spacing w:after="0" w:line="267" w:lineRule="auto"/>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7"/>
          <w:szCs w:val="17"/>
          <w:u w:val="single" w:color="auto"/>
          <w:color w:val="auto"/>
        </w:rPr>
        <w:t>Effect of Enrollment</w:t>
      </w:r>
      <w:r>
        <w:rPr>
          <w:rFonts w:ascii="Times New Roman" w:cs="Times New Roman" w:eastAsia="Times New Roman" w:hAnsi="Times New Roman"/>
          <w:sz w:val="17"/>
          <w:szCs w:val="17"/>
          <w:color w:val="auto"/>
        </w:rPr>
        <w:t>. A Participant’s completion of a subscription agreement will enroll such Participant in the Plan for each subsequent Offering Period on the terms contained therein until the Participant either submits a new subscription agreement, withdraws from participation under the Plan as provided in Article VII or otherwise becomes ineligible to participate in the Plan.</w:t>
      </w:r>
    </w:p>
    <w:p>
      <w:pPr>
        <w:sectPr>
          <w:pgSz w:w="11900" w:h="16838" w:orient="portrait"/>
          <w:cols w:equalWidth="0" w:num="1">
            <w:col w:w="10420"/>
          </w:cols>
          <w:pgMar w:left="740" w:top="264" w:right="739" w:bottom="1440" w:gutter="0" w:footer="0" w:header="0"/>
        </w:sectPr>
      </w:pPr>
    </w:p>
    <w:bookmarkStart w:id="409" w:name="page410"/>
    <w:bookmarkEnd w:id="409"/>
    <w:p>
      <w:pPr>
        <w:ind w:left="9" w:right="40" w:firstLine="417"/>
        <w:spacing w:after="0" w:line="25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5.5 </w:t>
      </w:r>
      <w:r>
        <w:rPr>
          <w:rFonts w:ascii="Times New Roman" w:cs="Times New Roman" w:eastAsia="Times New Roman" w:hAnsi="Times New Roman"/>
          <w:sz w:val="17"/>
          <w:szCs w:val="17"/>
          <w:u w:val="single" w:color="auto"/>
          <w:color w:val="auto"/>
        </w:rPr>
        <w:t>Limitation on Purchase of Shares</w:t>
      </w:r>
      <w:r>
        <w:rPr>
          <w:rFonts w:ascii="Times New Roman" w:cs="Times New Roman" w:eastAsia="Times New Roman" w:hAnsi="Times New Roman"/>
          <w:sz w:val="17"/>
          <w:szCs w:val="17"/>
          <w:color w:val="auto"/>
        </w:rPr>
        <w:t>. An Eligible Employee may be granted rights under the Section 423 Component only if such rights, together with any other rights granted to such Eligible Employee under “employee stock purchase plans” of the Company, any Parent or any Subsidiary, as specified by Section 423(b)(8) of the Code, do not permit such employee’s rights to purchase stock of the Company or any Parent or Subsidiary to accrue at a rate that exceeds $25,000 of the fair market value of such stock (determined as of the first day of the Offering Period during which such rights are granted) for each calendar year in which such rights are outstanding at any time. This limitation shall be applied in accordance with Section 423(b)(8) of the Code.</w:t>
      </w:r>
    </w:p>
    <w:p>
      <w:pPr>
        <w:spacing w:after="0" w:line="175" w:lineRule="exact"/>
        <w:rPr>
          <w:sz w:val="20"/>
          <w:szCs w:val="20"/>
          <w:color w:val="auto"/>
        </w:rPr>
      </w:pPr>
    </w:p>
    <w:p>
      <w:pPr>
        <w:ind w:left="9" w:firstLine="417"/>
        <w:spacing w:after="0" w:line="259" w:lineRule="auto"/>
        <w:rPr>
          <w:sz w:val="20"/>
          <w:szCs w:val="20"/>
          <w:color w:val="auto"/>
        </w:rPr>
      </w:pPr>
      <w:r>
        <w:rPr>
          <w:rFonts w:ascii="Times New Roman" w:cs="Times New Roman" w:eastAsia="Times New Roman" w:hAnsi="Times New Roman"/>
          <w:sz w:val="17"/>
          <w:szCs w:val="17"/>
          <w:color w:val="auto"/>
        </w:rPr>
        <w:t xml:space="preserve">5.6 </w:t>
      </w:r>
      <w:r>
        <w:rPr>
          <w:rFonts w:ascii="Times New Roman" w:cs="Times New Roman" w:eastAsia="Times New Roman" w:hAnsi="Times New Roman"/>
          <w:sz w:val="17"/>
          <w:szCs w:val="17"/>
          <w:u w:val="single" w:color="auto"/>
          <w:color w:val="auto"/>
        </w:rPr>
        <w:t>Suspension of Payroll Deductions</w:t>
      </w:r>
      <w:r>
        <w:rPr>
          <w:rFonts w:ascii="Times New Roman" w:cs="Times New Roman" w:eastAsia="Times New Roman" w:hAnsi="Times New Roman"/>
          <w:sz w:val="17"/>
          <w:szCs w:val="17"/>
          <w:color w:val="auto"/>
        </w:rPr>
        <w:t>. Notwithstanding the foregoing, to the extent necessary to comply with Section 423(b)(8) of the Code and Section 5.5 (with respect to the Section 423 Component) or the other limitations set forth in this Plan, a Participant’s payroll deductions may be suspended by the Administrator at any time during an Offering Period. The balance of the amount credited to the account of each Participant that has not been applied to the purchase of Shares by reason of Section 423(b)(8) of the Code, Section 5.5 or the other limitations set forth in this Plan shall be paid to such Participant in one lump sum in cash as soon as reasonably practicable after the Purchase Date.</w:t>
      </w:r>
    </w:p>
    <w:p>
      <w:pPr>
        <w:spacing w:after="0" w:line="172" w:lineRule="exact"/>
        <w:rPr>
          <w:sz w:val="20"/>
          <w:szCs w:val="20"/>
          <w:color w:val="auto"/>
        </w:rPr>
      </w:pPr>
    </w:p>
    <w:p>
      <w:pPr>
        <w:ind w:left="9" w:firstLine="417"/>
        <w:spacing w:after="0" w:line="253" w:lineRule="auto"/>
        <w:rPr>
          <w:sz w:val="20"/>
          <w:szCs w:val="20"/>
          <w:color w:val="auto"/>
        </w:rPr>
      </w:pPr>
      <w:r>
        <w:rPr>
          <w:rFonts w:ascii="Times New Roman" w:cs="Times New Roman" w:eastAsia="Times New Roman" w:hAnsi="Times New Roman"/>
          <w:sz w:val="17"/>
          <w:szCs w:val="17"/>
          <w:color w:val="auto"/>
        </w:rPr>
        <w:t xml:space="preserve">5.7 </w:t>
      </w:r>
      <w:r>
        <w:rPr>
          <w:rFonts w:ascii="Times New Roman" w:cs="Times New Roman" w:eastAsia="Times New Roman" w:hAnsi="Times New Roman"/>
          <w:sz w:val="17"/>
          <w:szCs w:val="17"/>
          <w:u w:val="single" w:color="auto"/>
          <w:color w:val="auto"/>
        </w:rPr>
        <w:t>Foreign Employees</w:t>
      </w:r>
      <w:r>
        <w:rPr>
          <w:rFonts w:ascii="Times New Roman" w:cs="Times New Roman" w:eastAsia="Times New Roman" w:hAnsi="Times New Roman"/>
          <w:sz w:val="17"/>
          <w:szCs w:val="17"/>
          <w:color w:val="auto"/>
        </w:rPr>
        <w:t>. In order to facilitate participation in the Plan, the Administrator may provide for such special terms applicable to Participants who are citizens or residents of a foreign jurisdiction, or who are employed by a Designated Subsidiary outside of the United States, as the Administrator may consider necessary or appropriate to accommodate differences in local law, tax policy or custom. Except as permitted by Section 423 of the Code, with respect to the Section 423 Component, such special terms may not be more favorable than the terms of rights granted under the Section 423 Component to Eligible Employees who are residents of the United States. Such special terms may be set forth in an addendum to the Plan in the form of an appendix or sub-plan (which appendix or sub-plan may be designed to govern Offerings under the Section 423 Component or the Non-Section 423 Component, as determined by the Administrator). To the extent that the terms and conditions set forth in an appendix or sub-plan conflict with any provisions of the Plan, the provisions of the appendix or sub-plan shall govern. The adoption of any such appendix or sub-plan shall be pursuant to Section 11.2(g). Without limiting the foregoing, the Administrator is specifically authorized to adopt rules and procedures, with respect to Participants who are foreign nationals or employed in non-U.S. jurisdictions, regarding the exclusion of particular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establishment of bank or trust accounts to hold payroll deductions or contributions.</w:t>
      </w:r>
    </w:p>
    <w:p>
      <w:pPr>
        <w:spacing w:after="0" w:line="38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ARTICLE VI.</w:t>
      </w:r>
    </w:p>
    <w:p>
      <w:pPr>
        <w:spacing w:after="0" w:line="3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GRANT AND EXERCISE OF RIGHTS</w:t>
      </w:r>
    </w:p>
    <w:p>
      <w:pPr>
        <w:spacing w:after="0" w:line="196" w:lineRule="exact"/>
        <w:rPr>
          <w:sz w:val="20"/>
          <w:szCs w:val="20"/>
          <w:color w:val="auto"/>
        </w:rPr>
      </w:pPr>
    </w:p>
    <w:p>
      <w:pPr>
        <w:ind w:left="9" w:right="180" w:firstLine="417"/>
        <w:spacing w:after="0" w:line="274" w:lineRule="auto"/>
        <w:rPr>
          <w:sz w:val="20"/>
          <w:szCs w:val="20"/>
          <w:color w:val="auto"/>
        </w:rPr>
      </w:pPr>
      <w:r>
        <w:rPr>
          <w:rFonts w:ascii="Times New Roman" w:cs="Times New Roman" w:eastAsia="Times New Roman" w:hAnsi="Times New Roman"/>
          <w:sz w:val="16"/>
          <w:szCs w:val="16"/>
          <w:color w:val="auto"/>
        </w:rPr>
        <w:t xml:space="preserve">6.1 </w:t>
      </w:r>
      <w:r>
        <w:rPr>
          <w:rFonts w:ascii="Times New Roman" w:cs="Times New Roman" w:eastAsia="Times New Roman" w:hAnsi="Times New Roman"/>
          <w:sz w:val="16"/>
          <w:szCs w:val="16"/>
          <w:u w:val="single" w:color="auto"/>
          <w:color w:val="auto"/>
        </w:rPr>
        <w:t>Grant of Rights</w:t>
      </w:r>
      <w:r>
        <w:rPr>
          <w:rFonts w:ascii="Times New Roman" w:cs="Times New Roman" w:eastAsia="Times New Roman" w:hAnsi="Times New Roman"/>
          <w:sz w:val="16"/>
          <w:szCs w:val="16"/>
          <w:color w:val="auto"/>
        </w:rPr>
        <w:t>. On the Enrollment Date of each Offering Period, each Eligible Employee participating in such Offering Period shall be granted a right to purchase the maximum number of Shares specified under Section 4.2, subject to the limits in Section 5.5, and shall have the right to buy, on each Purchase Date during such Offering Period (at the applicable Purchase Price), such number of whole Shares as is determined by dividing</w:t>
      </w:r>
    </w:p>
    <w:p>
      <w:pPr>
        <w:ind w:left="229" w:hanging="229"/>
        <w:spacing w:after="0"/>
        <w:tabs>
          <w:tab w:leader="none" w:pos="229" w:val="left"/>
        </w:tabs>
        <w:numPr>
          <w:ilvl w:val="0"/>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Participant’s payroll deductions accumulated prior to such Purchase Date and retained in the Participant’s account as of the Purchase Date, by</w:t>
      </w:r>
    </w:p>
    <w:p>
      <w:pPr>
        <w:spacing w:after="0" w:line="8" w:lineRule="exact"/>
        <w:rPr>
          <w:rFonts w:ascii="Times New Roman" w:cs="Times New Roman" w:eastAsia="Times New Roman" w:hAnsi="Times New Roman"/>
          <w:sz w:val="17"/>
          <w:szCs w:val="17"/>
          <w:color w:val="auto"/>
        </w:rPr>
      </w:pPr>
    </w:p>
    <w:p>
      <w:pPr>
        <w:ind w:left="9" w:right="20" w:hanging="9"/>
        <w:spacing w:after="0" w:line="261" w:lineRule="auto"/>
        <w:tabs>
          <w:tab w:leader="none" w:pos="250" w:val="left"/>
        </w:tabs>
        <w:numPr>
          <w:ilvl w:val="0"/>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applicable Purchase Price (rounded down to the nearest Share). The right shall expire on the earliest of: (x) the last Purchase Date of the Offering Period, (y) the last day of the Offering Period, and (z) the date on which the Participant withdraws in accordance with Section 7.1 or Section 7.3.</w:t>
      </w:r>
    </w:p>
    <w:p>
      <w:pPr>
        <w:sectPr>
          <w:pgSz w:w="11900" w:h="16838" w:orient="portrait"/>
          <w:cols w:equalWidth="0" w:num="1">
            <w:col w:w="10409"/>
          </w:cols>
          <w:pgMar w:left="731" w:top="264" w:right="759" w:bottom="1440" w:gutter="0" w:footer="0" w:header="0"/>
        </w:sectPr>
      </w:pPr>
    </w:p>
    <w:bookmarkStart w:id="410" w:name="page411"/>
    <w:bookmarkEnd w:id="410"/>
    <w:p>
      <w:pPr>
        <w:ind w:left="9" w:right="100" w:firstLine="417"/>
        <w:spacing w:after="0" w:line="25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6.2 </w:t>
      </w:r>
      <w:r>
        <w:rPr>
          <w:rFonts w:ascii="Times New Roman" w:cs="Times New Roman" w:eastAsia="Times New Roman" w:hAnsi="Times New Roman"/>
          <w:sz w:val="17"/>
          <w:szCs w:val="17"/>
          <w:u w:val="single" w:color="auto"/>
          <w:color w:val="auto"/>
        </w:rPr>
        <w:t>Exercise of Rights</w:t>
      </w:r>
      <w:r>
        <w:rPr>
          <w:rFonts w:ascii="Times New Roman" w:cs="Times New Roman" w:eastAsia="Times New Roman" w:hAnsi="Times New Roman"/>
          <w:sz w:val="17"/>
          <w:szCs w:val="17"/>
          <w:color w:val="auto"/>
        </w:rPr>
        <w:t>. On each Purchase Date, each Participant’s accumulated payroll deductions and any other additional payments specifically provided for in the applicable Offering Document will be applied to the purchase of whole Shares, up to the maximum number of Shares permitted pursuant to the terms of the Plan and the applicable Offering Document, at the Purchase Price. No fractional Shares shall be issued upon the exercise of rights granted under the Plan, unless the Offering Document specifically provides otherwise. Any cash in lieu of fractional Shares remaining after the purchase of whole Shares upon exercise of a purchase right will be credited to a Participant’s account and carried forward and applied toward the purchase of whole Shares for the next following Offering Period, unless the Administrator provides that such amounts should be returned to the Participant in one lump sum payment in a subsequent payroll check. Shares issued pursuant to the Plan may be evidenced in such manner as the Administrator may determine and may be issued in certificated form or issued pursuant to book-entry procedures.</w:t>
      </w:r>
    </w:p>
    <w:p>
      <w:pPr>
        <w:spacing w:after="0" w:line="178" w:lineRule="exact"/>
        <w:rPr>
          <w:sz w:val="20"/>
          <w:szCs w:val="20"/>
          <w:color w:val="auto"/>
        </w:rPr>
      </w:pPr>
    </w:p>
    <w:p>
      <w:pPr>
        <w:ind w:left="9" w:right="40" w:firstLine="417"/>
        <w:spacing w:after="0" w:line="254" w:lineRule="auto"/>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u w:val="single" w:color="auto"/>
          <w:color w:val="auto"/>
        </w:rPr>
        <w:t>Pro Rata Allocation of Shares</w:t>
      </w:r>
      <w:r>
        <w:rPr>
          <w:rFonts w:ascii="Times New Roman" w:cs="Times New Roman" w:eastAsia="Times New Roman" w:hAnsi="Times New Roman"/>
          <w:sz w:val="17"/>
          <w:szCs w:val="17"/>
          <w:color w:val="auto"/>
        </w:rPr>
        <w:t>. If the Administrator determines that, on a given Purchase Date, the number of Shares with respect to which rights are to be exercised may exceed (a) the number of Shares that were available for issuance under the Plan on the Enrollment Date of the applicable Offering Period, or (b) the number of Shares available for issuance under the Plan on such Purchase Date, the Administrator may in its sole discretion provide that the Company shall make a pro rata allocation of the Shares available for purchase on such Enrollment Date or Purchase Date, as applicable, in as uniform a manner as shall be practicable and as it shall determine in its sole discretion to be equitable among all Participants for whom rights to purchase Shares are to be exercised pursuant to this Article VI on such Purchase Date, and shall either (i) continue all Offering Periods then in effect, or</w:t>
      </w:r>
    </w:p>
    <w:p>
      <w:pPr>
        <w:spacing w:after="0" w:line="3" w:lineRule="exact"/>
        <w:rPr>
          <w:sz w:val="20"/>
          <w:szCs w:val="20"/>
          <w:color w:val="auto"/>
        </w:rPr>
      </w:pPr>
    </w:p>
    <w:p>
      <w:pPr>
        <w:ind w:left="9" w:right="60" w:hanging="9"/>
        <w:spacing w:after="0" w:line="253" w:lineRule="auto"/>
        <w:tabs>
          <w:tab w:leader="none" w:pos="260" w:val="left"/>
        </w:tabs>
        <w:numPr>
          <w:ilvl w:val="0"/>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terminate any or all Offering Periods then in effect pursuant to Article IX. The Company may make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 The balance of the amount credited to the account of each Participant that has not been applied to the purchase of Shares shall be paid to such Participant in one lump sum in cash as soon as reasonably practicable after the Purchase Date or such earlier date as determined by the Administrator.</w:t>
      </w:r>
    </w:p>
    <w:p>
      <w:pPr>
        <w:spacing w:after="0" w:line="179" w:lineRule="exact"/>
        <w:rPr>
          <w:sz w:val="20"/>
          <w:szCs w:val="20"/>
          <w:color w:val="auto"/>
        </w:rPr>
      </w:pPr>
    </w:p>
    <w:p>
      <w:pPr>
        <w:ind w:left="9" w:firstLine="417"/>
        <w:spacing w:after="0" w:line="257" w:lineRule="auto"/>
        <w:rPr>
          <w:sz w:val="20"/>
          <w:szCs w:val="20"/>
          <w:color w:val="auto"/>
        </w:rPr>
      </w:pPr>
      <w:r>
        <w:rPr>
          <w:rFonts w:ascii="Times New Roman" w:cs="Times New Roman" w:eastAsia="Times New Roman" w:hAnsi="Times New Roman"/>
          <w:sz w:val="17"/>
          <w:szCs w:val="17"/>
          <w:color w:val="auto"/>
        </w:rPr>
        <w:t xml:space="preserve">6.4 </w:t>
      </w:r>
      <w:r>
        <w:rPr>
          <w:rFonts w:ascii="Times New Roman" w:cs="Times New Roman" w:eastAsia="Times New Roman" w:hAnsi="Times New Roman"/>
          <w:sz w:val="17"/>
          <w:szCs w:val="17"/>
          <w:u w:val="single" w:color="auto"/>
          <w:color w:val="auto"/>
        </w:rPr>
        <w:t>Withholding</w:t>
      </w:r>
      <w:r>
        <w:rPr>
          <w:rFonts w:ascii="Times New Roman" w:cs="Times New Roman" w:eastAsia="Times New Roman" w:hAnsi="Times New Roman"/>
          <w:sz w:val="17"/>
          <w:szCs w:val="17"/>
          <w:color w:val="auto"/>
        </w:rPr>
        <w:t>. At the time a Participant’s rights under the Plan are exercised, in whole or in part, or at the time some or all of the Shares issued under the Plan is disposed of, the Participant must make adequate provision for the Company’s federal, state, or other tax withholding obligations, if any, that arise upon the exercise of the right or the disposition of the Shares. At any time, the Company may, but shall not be obligated to, withhold from the Participant’s compensation or Shares received pursuant to the Plan the amount necessary for the Company to meet applicable withholding obligations, including any withholding required to make available to the Company any tax deductions or benefits attributable to sale or early disposition of Shares by the Participant.</w:t>
      </w:r>
    </w:p>
    <w:p>
      <w:pPr>
        <w:spacing w:after="0" w:line="175" w:lineRule="exact"/>
        <w:rPr>
          <w:sz w:val="20"/>
          <w:szCs w:val="20"/>
          <w:color w:val="auto"/>
        </w:rPr>
      </w:pPr>
    </w:p>
    <w:p>
      <w:pPr>
        <w:ind w:left="9" w:right="140" w:firstLine="417"/>
        <w:spacing w:after="0" w:line="255" w:lineRule="auto"/>
        <w:rPr>
          <w:sz w:val="20"/>
          <w:szCs w:val="20"/>
          <w:color w:val="auto"/>
        </w:rPr>
      </w:pPr>
      <w:r>
        <w:rPr>
          <w:rFonts w:ascii="Times New Roman" w:cs="Times New Roman" w:eastAsia="Times New Roman" w:hAnsi="Times New Roman"/>
          <w:sz w:val="17"/>
          <w:szCs w:val="17"/>
          <w:color w:val="auto"/>
        </w:rPr>
        <w:t xml:space="preserve">6.5 </w:t>
      </w:r>
      <w:r>
        <w:rPr>
          <w:rFonts w:ascii="Times New Roman" w:cs="Times New Roman" w:eastAsia="Times New Roman" w:hAnsi="Times New Roman"/>
          <w:sz w:val="17"/>
          <w:szCs w:val="17"/>
          <w:u w:val="single" w:color="auto"/>
          <w:color w:val="auto"/>
        </w:rPr>
        <w:t>Conditions to Issuance of</w:t>
      </w:r>
      <w:r>
        <w:rPr>
          <w:rFonts w:ascii="Times New Roman" w:cs="Times New Roman" w:eastAsia="Times New Roman" w:hAnsi="Times New Roman"/>
          <w:sz w:val="17"/>
          <w:szCs w:val="17"/>
          <w:color w:val="auto"/>
        </w:rPr>
        <w:t xml:space="preserve"> 6.6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The Company shall not be required to issue or deliver any certificate or certificates for, or make any book entries evidencing, Shares purchased upon the exercise of rights under the Plan prior to fulfillment of all of the following conditions: (a) the admission of such Shares to listing on all stock exchanges, if any, on which the Shares are then listed; (b) the completion of any registration or other qualification of such Shares under any state or federal law or under the rulings or regulations of the Securities and Exchange Commission or any other governmental regulatory body, that the Administrator shall, in its absolute discretion, deem necessary or advisable; (c) the obtaining of any approval or other clearance from any state or federal governmental agency that the Administrator shall, in its absolute discretion, determine to be necessary or advisable; (d) the payment to the Company of all amounts that it is required to withhold under federal, state or local law upon exercise of the rights, if any; and (e) the lapse of such reasonable period of time following the exercise of the rights as the Administrator may from time to time establish for reasons of administrative convenience.</w:t>
      </w:r>
    </w:p>
    <w:p>
      <w:pPr>
        <w:sectPr>
          <w:pgSz w:w="11900" w:h="16838" w:orient="portrait"/>
          <w:cols w:equalWidth="0" w:num="1">
            <w:col w:w="10429"/>
          </w:cols>
          <w:pgMar w:left="731" w:top="264" w:right="739" w:bottom="1440" w:gutter="0" w:footer="0" w:header="0"/>
        </w:sectPr>
      </w:pPr>
    </w:p>
    <w:bookmarkStart w:id="411" w:name="page412"/>
    <w:bookmarkEnd w:id="411"/>
    <w:p>
      <w:pPr>
        <w:jc w:val="center"/>
        <w:ind w:right="-8"/>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ARTICLE VII.</w:t>
      </w:r>
    </w:p>
    <w:p>
      <w:pPr>
        <w:spacing w:after="0" w:line="3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WITHDRAWAL; CESSATION OF ELIGIBILITY</w:t>
      </w:r>
    </w:p>
    <w:p>
      <w:pPr>
        <w:spacing w:after="0" w:line="196" w:lineRule="exact"/>
        <w:rPr>
          <w:sz w:val="20"/>
          <w:szCs w:val="20"/>
          <w:color w:val="auto"/>
        </w:rPr>
      </w:pPr>
    </w:p>
    <w:p>
      <w:pPr>
        <w:ind w:left="9" w:right="260" w:firstLine="417"/>
        <w:spacing w:after="0" w:line="277" w:lineRule="auto"/>
        <w:rPr>
          <w:sz w:val="20"/>
          <w:szCs w:val="20"/>
          <w:color w:val="auto"/>
        </w:rPr>
      </w:pPr>
      <w:r>
        <w:rPr>
          <w:rFonts w:ascii="Times New Roman" w:cs="Times New Roman" w:eastAsia="Times New Roman" w:hAnsi="Times New Roman"/>
          <w:sz w:val="16"/>
          <w:szCs w:val="16"/>
          <w:color w:val="auto"/>
        </w:rPr>
        <w:t xml:space="preserve">7.1 </w:t>
      </w:r>
      <w:r>
        <w:rPr>
          <w:rFonts w:ascii="Times New Roman" w:cs="Times New Roman" w:eastAsia="Times New Roman" w:hAnsi="Times New Roman"/>
          <w:sz w:val="16"/>
          <w:szCs w:val="16"/>
          <w:u w:val="single" w:color="auto"/>
          <w:color w:val="auto"/>
        </w:rPr>
        <w:t>Withdrawal</w:t>
      </w:r>
      <w:r>
        <w:rPr>
          <w:rFonts w:ascii="Times New Roman" w:cs="Times New Roman" w:eastAsia="Times New Roman" w:hAnsi="Times New Roman"/>
          <w:sz w:val="16"/>
          <w:szCs w:val="16"/>
          <w:color w:val="auto"/>
        </w:rPr>
        <w:t>. A Participant may withdraw all but not less than all of the payroll deductions credited to his or her account and not yet used to exercise his or her rights under the Plan at any time by giving written notice to the Company in a form acceptable to the Company no later than one</w:t>
      </w:r>
    </w:p>
    <w:p>
      <w:pPr>
        <w:spacing w:after="0" w:line="1" w:lineRule="exact"/>
        <w:rPr>
          <w:sz w:val="20"/>
          <w:szCs w:val="20"/>
          <w:color w:val="auto"/>
        </w:rPr>
      </w:pPr>
    </w:p>
    <w:p>
      <w:pPr>
        <w:ind w:left="9" w:hanging="9"/>
        <w:spacing w:after="0" w:line="253" w:lineRule="auto"/>
        <w:tabs>
          <w:tab w:leader="none" w:pos="250" w:val="left"/>
        </w:tabs>
        <w:numPr>
          <w:ilvl w:val="0"/>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week prior to the end of the Offering Period (or such shorter or longer period as may be specified by the Administrator in the applicable Offering Document). All of the Participant’s payroll deductions credited to his or her account during an Offering Period shall be paid to such Participant as soon as reasonably practicable after receipt of notice of withdrawal and such Participant’s rights for the Offering Period shall be automatically terminated, and no further payroll deductions for the purchase of Shares shall be made for such Offering Period. If a Participant withdraws from an Offering Period, payroll deductions shall not resume at the beginning of the next Offering Period unless the Participant is an Eligible Employee and timely delivers to the Company a new subscription agreement.</w:t>
      </w:r>
    </w:p>
    <w:p>
      <w:pPr>
        <w:spacing w:after="0" w:line="177" w:lineRule="exact"/>
        <w:rPr>
          <w:sz w:val="20"/>
          <w:szCs w:val="20"/>
          <w:color w:val="auto"/>
        </w:rPr>
      </w:pPr>
    </w:p>
    <w:p>
      <w:pPr>
        <w:jc w:val="both"/>
        <w:ind w:left="9" w:right="180" w:firstLine="417"/>
        <w:spacing w:after="0" w:line="267"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u w:val="single" w:color="auto"/>
          <w:color w:val="auto"/>
        </w:rPr>
        <w:t>Future Participation</w:t>
      </w:r>
      <w:r>
        <w:rPr>
          <w:rFonts w:ascii="Times New Roman" w:cs="Times New Roman" w:eastAsia="Times New Roman" w:hAnsi="Times New Roman"/>
          <w:sz w:val="17"/>
          <w:szCs w:val="17"/>
          <w:color w:val="auto"/>
        </w:rPr>
        <w:t>. A Participant’s withdrawal from an Offering Period shall not have any effect upon his or her eligibility to participate in any similar plan that may hereafter be adopted by the Company or a Designated Subsidiary or in subsequent Offering Periods that commence after the termination of the Offering Period from which the Participant withdraws.</w:t>
      </w:r>
    </w:p>
    <w:p>
      <w:pPr>
        <w:spacing w:after="0" w:line="165" w:lineRule="exact"/>
        <w:rPr>
          <w:sz w:val="20"/>
          <w:szCs w:val="20"/>
          <w:color w:val="auto"/>
        </w:rPr>
      </w:pPr>
    </w:p>
    <w:p>
      <w:pPr>
        <w:ind w:left="9" w:right="20" w:firstLine="417"/>
        <w:spacing w:after="0" w:line="270" w:lineRule="auto"/>
        <w:rPr>
          <w:sz w:val="20"/>
          <w:szCs w:val="20"/>
          <w:color w:val="auto"/>
        </w:rPr>
      </w:pPr>
      <w:r>
        <w:rPr>
          <w:rFonts w:ascii="Times New Roman" w:cs="Times New Roman" w:eastAsia="Times New Roman" w:hAnsi="Times New Roman"/>
          <w:sz w:val="16"/>
          <w:szCs w:val="16"/>
          <w:color w:val="auto"/>
        </w:rPr>
        <w:t xml:space="preserve">7.3 </w:t>
      </w:r>
      <w:r>
        <w:rPr>
          <w:rFonts w:ascii="Times New Roman" w:cs="Times New Roman" w:eastAsia="Times New Roman" w:hAnsi="Times New Roman"/>
          <w:sz w:val="16"/>
          <w:szCs w:val="16"/>
          <w:u w:val="single" w:color="auto"/>
          <w:color w:val="auto"/>
        </w:rPr>
        <w:t>Cessation of Eligibility</w:t>
      </w:r>
      <w:r>
        <w:rPr>
          <w:rFonts w:ascii="Times New Roman" w:cs="Times New Roman" w:eastAsia="Times New Roman" w:hAnsi="Times New Roman"/>
          <w:sz w:val="16"/>
          <w:szCs w:val="16"/>
          <w:color w:val="auto"/>
        </w:rPr>
        <w:t>. Upon a Participant’s ceasing to be an Eligible Employee for any reason, he or she shall be deemed to have elected to withdraw from the Plan pursuant to this Article VII and the payroll deductions credited to such Participant’s account during the Offering Period shall be paid to such Participant or, in the case of his or her death, to the person or persons entitled thereto under Section 12.4, as soon as reasonably practicable, and such Participant’s rights for the Offering Period shall be automatically terminated. If a Participant transfers employment from the Company or any Designated Subsidiary participating in the Section 423 Component to any Designated Subsidiary participating in the Non-Section 423 Component, such transfer shall not be treated as a termination of employment under the Plan, but the Participant shall immediately cease to participate in the Section 423 Component; however, any contributions made for the Offering Period in which such transfer occurs shall be transferred to the Non-Section 423 Component, and such Participant shall immediately join the then-current Offering under the Non-Section 423 Component upon the same terms and conditions in effect for the Participant’s participation in the Section 423 Component, except for such modifications otherwise applicable for Participants in such Offering. A Participant who transfers employment from any Designated Subsidiary participating in the Non-Section 423 Component to the Company or any Designated Subsidiary participating in the Section 423 Component shall not be treated as terminating the Participant’s employment under the Plan and shall remain a Participant in the Non-Section 423 Component until the earlier of (i) the end of the current Offering Period under the Non-Section 423 Component or (ii) the Enrollment Date of the first Offering Period in which the Participant is eligible to participate following such transfer. Notwithstanding the foregoing, the Administrator may establish different rules to govern transfers of employment between entities participating in the Section 423 Component and the Non-Section 423 Component, consistent with the applicable requirements of Section 423 of the Code.</w:t>
      </w:r>
    </w:p>
    <w:p>
      <w:pPr>
        <w:spacing w:after="0" w:line="36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ARTICLE VIII.</w:t>
      </w:r>
    </w:p>
    <w:p>
      <w:pPr>
        <w:spacing w:after="0" w:line="3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ADJUSTMENTS UPON CHANGES IN SHARES</w:t>
      </w:r>
    </w:p>
    <w:p>
      <w:pPr>
        <w:spacing w:after="0" w:line="196" w:lineRule="exact"/>
        <w:rPr>
          <w:sz w:val="20"/>
          <w:szCs w:val="20"/>
          <w:color w:val="auto"/>
        </w:rPr>
      </w:pPr>
    </w:p>
    <w:p>
      <w:pPr>
        <w:ind w:left="9" w:right="160" w:firstLine="417"/>
        <w:spacing w:after="0" w:line="261" w:lineRule="auto"/>
        <w:rPr>
          <w:sz w:val="20"/>
          <w:szCs w:val="20"/>
          <w:color w:val="auto"/>
        </w:rPr>
      </w:pPr>
      <w:r>
        <w:rPr>
          <w:rFonts w:ascii="Times New Roman" w:cs="Times New Roman" w:eastAsia="Times New Roman" w:hAnsi="Times New Roman"/>
          <w:sz w:val="17"/>
          <w:szCs w:val="17"/>
          <w:color w:val="auto"/>
        </w:rPr>
        <w:t xml:space="preserve">8.1 </w:t>
      </w:r>
      <w:r>
        <w:rPr>
          <w:rFonts w:ascii="Times New Roman" w:cs="Times New Roman" w:eastAsia="Times New Roman" w:hAnsi="Times New Roman"/>
          <w:sz w:val="17"/>
          <w:szCs w:val="17"/>
          <w:u w:val="single" w:color="auto"/>
          <w:color w:val="auto"/>
        </w:rPr>
        <w:t>Changes in Capitalization</w:t>
      </w:r>
      <w:r>
        <w:rPr>
          <w:rFonts w:ascii="Times New Roman" w:cs="Times New Roman" w:eastAsia="Times New Roman" w:hAnsi="Times New Roman"/>
          <w:sz w:val="17"/>
          <w:szCs w:val="17"/>
          <w:color w:val="auto"/>
        </w:rPr>
        <w:t>. Subject to Section 8.3, in the event that the Administrator determines that any dividend or other distribution (whether in the form of cash, Shares, other securities, or other property), change in control, reorganization, merger, amalgamation, consolidation, combination, repurchase, redemption, recapitalization, liquidation, dissolution, or sale, transfer, exchange or other disposition of all or substantially all of the assets of the Company, or sale or exchange of Shares or other</w:t>
      </w:r>
    </w:p>
    <w:p>
      <w:pPr>
        <w:sectPr>
          <w:pgSz w:w="11900" w:h="16838" w:orient="portrait"/>
          <w:cols w:equalWidth="0" w:num="1">
            <w:col w:w="10409"/>
          </w:cols>
          <w:pgMar w:left="731" w:top="259" w:right="759" w:bottom="1440" w:gutter="0" w:footer="0" w:header="0"/>
        </w:sectPr>
      </w:pPr>
    </w:p>
    <w:bookmarkStart w:id="412" w:name="page413"/>
    <w:bookmarkEnd w:id="412"/>
    <w:p>
      <w:pPr>
        <w:ind w:right="40"/>
        <w:spacing w:after="0" w:line="25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securities of the Company, issuance of warrants or other rights to purchase Shares or other securities of the Company, or other similar corporate transaction or event, as determined by the Administrator, affects the Shares such that an adjustment is determined by the Administrator to be appropriate in order to prevent dilution or enlargement of the benefits or potential benefits intended by the Company to be made available under the Plan or with respect to any outstanding purchase rights under the Plan, the Administrator shall make equitable adjustments, if any, to reflect such change with respect to (a) the aggregate number and type of Shares (or other securities or property) that may be issued under the Plan (including, but not limited to, adjustments of the limitations in Section 3.1 and the limitations established in each Offering Document pursuant to Section 4.2 on the maximum number of Shares that may be purchased); (b) the class(es) and number of Shares and price per Share subject to outstanding rights; and (c) the Purchase Price with respect to any outstanding rights.</w:t>
      </w:r>
    </w:p>
    <w:p>
      <w:pPr>
        <w:spacing w:after="0" w:line="178" w:lineRule="exact"/>
        <w:rPr>
          <w:sz w:val="20"/>
          <w:szCs w:val="20"/>
          <w:color w:val="auto"/>
        </w:rPr>
      </w:pPr>
    </w:p>
    <w:p>
      <w:pPr>
        <w:ind w:firstLine="417"/>
        <w:spacing w:after="0" w:line="257" w:lineRule="auto"/>
        <w:rPr>
          <w:sz w:val="20"/>
          <w:szCs w:val="20"/>
          <w:color w:val="auto"/>
        </w:rPr>
      </w:pPr>
      <w:r>
        <w:rPr>
          <w:rFonts w:ascii="Times New Roman" w:cs="Times New Roman" w:eastAsia="Times New Roman" w:hAnsi="Times New Roman"/>
          <w:sz w:val="17"/>
          <w:szCs w:val="17"/>
          <w:color w:val="auto"/>
        </w:rPr>
        <w:t xml:space="preserve">8.2 </w:t>
      </w:r>
      <w:r>
        <w:rPr>
          <w:rFonts w:ascii="Times New Roman" w:cs="Times New Roman" w:eastAsia="Times New Roman" w:hAnsi="Times New Roman"/>
          <w:sz w:val="17"/>
          <w:szCs w:val="17"/>
          <w:u w:val="single" w:color="auto"/>
          <w:color w:val="auto"/>
        </w:rPr>
        <w:t>Other Adjustments</w:t>
      </w:r>
      <w:r>
        <w:rPr>
          <w:rFonts w:ascii="Times New Roman" w:cs="Times New Roman" w:eastAsia="Times New Roman" w:hAnsi="Times New Roman"/>
          <w:sz w:val="17"/>
          <w:szCs w:val="17"/>
          <w:color w:val="auto"/>
        </w:rPr>
        <w:t>. Subject to Section 8.3, in the event of any transaction or event described in Section 8.1 or any unusual or nonrecurring transactions or events affecting the Company, any affiliate of the Company, or the financial statements of the Company or any affiliate,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to facilitate such transactions or events or to give effect to such changes in laws, regulations or principles:</w:t>
      </w:r>
    </w:p>
    <w:p>
      <w:pPr>
        <w:spacing w:after="0" w:line="175" w:lineRule="exact"/>
        <w:rPr>
          <w:sz w:val="20"/>
          <w:szCs w:val="20"/>
          <w:color w:val="auto"/>
        </w:rPr>
      </w:pPr>
    </w:p>
    <w:p>
      <w:pPr>
        <w:jc w:val="both"/>
        <w:ind w:right="80" w:firstLine="929"/>
        <w:spacing w:after="0" w:line="267" w:lineRule="auto"/>
        <w:tabs>
          <w:tab w:leader="none" w:pos="1170"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either (i) termination of any outstanding right in exchange for an amount of cash, if any, equal to the amount that would have been obtained upon the exercise of such right had such right been currently exercisable or (ii) the replacement of such outstanding right with other rights or property selected by the Administrator in its sole discretion;</w:t>
      </w:r>
    </w:p>
    <w:p>
      <w:pPr>
        <w:spacing w:after="0" w:line="165" w:lineRule="exact"/>
        <w:rPr>
          <w:rFonts w:ascii="Times New Roman" w:cs="Times New Roman" w:eastAsia="Times New Roman" w:hAnsi="Times New Roman"/>
          <w:sz w:val="17"/>
          <w:szCs w:val="17"/>
          <w:color w:val="auto"/>
        </w:rPr>
      </w:pPr>
    </w:p>
    <w:p>
      <w:pPr>
        <w:ind w:right="440" w:firstLine="929"/>
        <w:spacing w:after="0" w:line="267" w:lineRule="auto"/>
        <w:tabs>
          <w:tab w:leader="none" w:pos="1180"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that the outstanding rights under the Plan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w:t>
      </w:r>
    </w:p>
    <w:p>
      <w:pPr>
        <w:spacing w:after="0" w:line="165" w:lineRule="exact"/>
        <w:rPr>
          <w:rFonts w:ascii="Times New Roman" w:cs="Times New Roman" w:eastAsia="Times New Roman" w:hAnsi="Times New Roman"/>
          <w:sz w:val="17"/>
          <w:szCs w:val="17"/>
          <w:color w:val="auto"/>
        </w:rPr>
      </w:pPr>
    </w:p>
    <w:p>
      <w:pPr>
        <w:ind w:right="340" w:firstLine="929"/>
        <w:spacing w:after="0" w:line="283" w:lineRule="auto"/>
        <w:tabs>
          <w:tab w:leader="none" w:pos="1170"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adjustments in the number and type of Shares (or other securities or property) subject to outstanding rights under the Plan and/or in the terms and conditions of outstanding rights and rights that may be granted in the future;</w:t>
      </w:r>
    </w:p>
    <w:p>
      <w:pPr>
        <w:spacing w:after="0" w:line="152" w:lineRule="exact"/>
        <w:rPr>
          <w:rFonts w:ascii="Times New Roman" w:cs="Times New Roman" w:eastAsia="Times New Roman" w:hAnsi="Times New Roman"/>
          <w:sz w:val="17"/>
          <w:szCs w:val="17"/>
          <w:color w:val="auto"/>
        </w:rPr>
      </w:pPr>
    </w:p>
    <w:p>
      <w:pPr>
        <w:ind w:right="40" w:firstLine="929"/>
        <w:spacing w:after="0" w:line="267" w:lineRule="auto"/>
        <w:tabs>
          <w:tab w:leader="none" w:pos="1180"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that Participants’ accumulated payroll deductions may be used to purchase Shares prior to the next occurring Purchase Date on such date as the Administrator determines in its sole discretion and the Participants’ rights under the ongoing Offering Period(s) shall be terminated; and</w:t>
      </w:r>
    </w:p>
    <w:p>
      <w:pPr>
        <w:spacing w:after="0" w:line="165" w:lineRule="exact"/>
        <w:rPr>
          <w:rFonts w:ascii="Times New Roman" w:cs="Times New Roman" w:eastAsia="Times New Roman" w:hAnsi="Times New Roman"/>
          <w:sz w:val="17"/>
          <w:szCs w:val="17"/>
          <w:color w:val="auto"/>
        </w:rPr>
      </w:pPr>
    </w:p>
    <w:p>
      <w:pPr>
        <w:ind w:left="1160" w:hanging="231"/>
        <w:spacing w:after="0"/>
        <w:tabs>
          <w:tab w:leader="none" w:pos="1160"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that all outstanding rights shall terminate without being exercised.</w:t>
      </w:r>
    </w:p>
    <w:p>
      <w:pPr>
        <w:spacing w:after="0" w:line="213" w:lineRule="exact"/>
        <w:rPr>
          <w:sz w:val="20"/>
          <w:szCs w:val="20"/>
          <w:color w:val="auto"/>
        </w:rPr>
      </w:pPr>
    </w:p>
    <w:p>
      <w:pPr>
        <w:ind w:right="300" w:firstLine="417"/>
        <w:spacing w:after="0" w:line="267" w:lineRule="auto"/>
        <w:rPr>
          <w:sz w:val="20"/>
          <w:szCs w:val="20"/>
          <w:color w:val="auto"/>
        </w:rPr>
      </w:pPr>
      <w:r>
        <w:rPr>
          <w:rFonts w:ascii="Times New Roman" w:cs="Times New Roman" w:eastAsia="Times New Roman" w:hAnsi="Times New Roman"/>
          <w:sz w:val="17"/>
          <w:szCs w:val="17"/>
          <w:color w:val="auto"/>
        </w:rPr>
        <w:t xml:space="preserve">8.3 </w:t>
      </w:r>
      <w:r>
        <w:rPr>
          <w:rFonts w:ascii="Times New Roman" w:cs="Times New Roman" w:eastAsia="Times New Roman" w:hAnsi="Times New Roman"/>
          <w:sz w:val="17"/>
          <w:szCs w:val="17"/>
          <w:u w:val="single" w:color="auto"/>
          <w:color w:val="auto"/>
        </w:rPr>
        <w:t>No Adjustment Under Certain Circumstances</w:t>
      </w:r>
      <w:r>
        <w:rPr>
          <w:rFonts w:ascii="Times New Roman" w:cs="Times New Roman" w:eastAsia="Times New Roman" w:hAnsi="Times New Roman"/>
          <w:sz w:val="17"/>
          <w:szCs w:val="17"/>
          <w:color w:val="auto"/>
        </w:rPr>
        <w:t>. Unless determined otherwise by the Administrator, no adjustment or action described in this Article VIII or in any other provision of the Plan shall be authorized to the extent that such adjustment or action would cause the Section 423 Component of the Plan to fail to satisfy the requirements of Section 423 of the Code.</w:t>
      </w:r>
    </w:p>
    <w:p>
      <w:pPr>
        <w:spacing w:after="0" w:line="165" w:lineRule="exact"/>
        <w:rPr>
          <w:sz w:val="20"/>
          <w:szCs w:val="20"/>
          <w:color w:val="auto"/>
        </w:rPr>
      </w:pPr>
    </w:p>
    <w:p>
      <w:pPr>
        <w:ind w:right="140" w:firstLine="417"/>
        <w:spacing w:after="0" w:line="257" w:lineRule="auto"/>
        <w:rPr>
          <w:sz w:val="20"/>
          <w:szCs w:val="20"/>
          <w:color w:val="auto"/>
        </w:rPr>
      </w:pPr>
      <w:r>
        <w:rPr>
          <w:rFonts w:ascii="Times New Roman" w:cs="Times New Roman" w:eastAsia="Times New Roman" w:hAnsi="Times New Roman"/>
          <w:sz w:val="17"/>
          <w:szCs w:val="17"/>
          <w:color w:val="auto"/>
        </w:rPr>
        <w:t xml:space="preserve">8.4 </w:t>
      </w:r>
      <w:r>
        <w:rPr>
          <w:rFonts w:ascii="Times New Roman" w:cs="Times New Roman" w:eastAsia="Times New Roman" w:hAnsi="Times New Roman"/>
          <w:sz w:val="17"/>
          <w:szCs w:val="17"/>
          <w:u w:val="single" w:color="auto"/>
          <w:color w:val="auto"/>
        </w:rPr>
        <w:t>No Other Rights</w:t>
      </w:r>
      <w:r>
        <w:rPr>
          <w:rFonts w:ascii="Times New Roman" w:cs="Times New Roman" w:eastAsia="Times New Roman" w:hAnsi="Times New Roman"/>
          <w:sz w:val="17"/>
          <w:szCs w:val="17"/>
          <w:color w:val="auto"/>
        </w:rPr>
        <w:t>.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subject to outstanding rights under the Plan or the Purchase Price with respect to any outstanding rights.</w:t>
      </w:r>
    </w:p>
    <w:p>
      <w:pPr>
        <w:sectPr>
          <w:pgSz w:w="11900" w:h="16838" w:orient="portrait"/>
          <w:cols w:equalWidth="0" w:num="1">
            <w:col w:w="10420"/>
          </w:cols>
          <w:pgMar w:left="740" w:top="264" w:right="739" w:bottom="1440" w:gutter="0" w:footer="0" w:header="0"/>
        </w:sectPr>
      </w:pPr>
    </w:p>
    <w:bookmarkStart w:id="413" w:name="page414"/>
    <w:bookmarkEnd w:id="413"/>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ARTICLE IX.</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AMENDMENT, MODIFICATION AND TERMINATION</w:t>
      </w:r>
    </w:p>
    <w:p>
      <w:pPr>
        <w:spacing w:after="0" w:line="196" w:lineRule="exact"/>
        <w:rPr>
          <w:sz w:val="20"/>
          <w:szCs w:val="20"/>
          <w:color w:val="auto"/>
        </w:rPr>
      </w:pPr>
    </w:p>
    <w:p>
      <w:pPr>
        <w:ind w:firstLine="417"/>
        <w:spacing w:after="0" w:line="261" w:lineRule="auto"/>
        <w:rPr>
          <w:sz w:val="20"/>
          <w:szCs w:val="20"/>
          <w:color w:val="auto"/>
        </w:rPr>
      </w:pPr>
      <w:r>
        <w:rPr>
          <w:rFonts w:ascii="Times New Roman" w:cs="Times New Roman" w:eastAsia="Times New Roman" w:hAnsi="Times New Roman"/>
          <w:sz w:val="17"/>
          <w:szCs w:val="17"/>
          <w:color w:val="auto"/>
        </w:rPr>
        <w:t xml:space="preserve">9.1 </w:t>
      </w:r>
      <w:r>
        <w:rPr>
          <w:rFonts w:ascii="Times New Roman" w:cs="Times New Roman" w:eastAsia="Times New Roman" w:hAnsi="Times New Roman"/>
          <w:sz w:val="17"/>
          <w:szCs w:val="17"/>
          <w:u w:val="single" w:color="auto"/>
          <w:color w:val="auto"/>
        </w:rPr>
        <w:t>Amendment, Modification and Termination</w:t>
      </w:r>
      <w:r>
        <w:rPr>
          <w:rFonts w:ascii="Times New Roman" w:cs="Times New Roman" w:eastAsia="Times New Roman" w:hAnsi="Times New Roman"/>
          <w:sz w:val="17"/>
          <w:szCs w:val="17"/>
          <w:color w:val="auto"/>
        </w:rPr>
        <w:t xml:space="preserve">. The Administrator may amend, suspend or terminate the Plan at any time and from time to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approval of the Company’s stockholders shall be required to amend the Plan to: (a) increase the aggregate number, or change the type, of shares that may be sold pursuant to rights under the Plan under Section 3.1 (other than an adjustment as provided by Article VIII) or (b) change the corporations or classes of corporations whose employees may be granted rights under the Plan.</w:t>
      </w:r>
    </w:p>
    <w:p>
      <w:pPr>
        <w:spacing w:after="0" w:line="172" w:lineRule="exact"/>
        <w:rPr>
          <w:sz w:val="20"/>
          <w:szCs w:val="20"/>
          <w:color w:val="auto"/>
        </w:rPr>
      </w:pPr>
    </w:p>
    <w:p>
      <w:pPr>
        <w:ind w:right="80" w:firstLine="417"/>
        <w:spacing w:after="0" w:line="255" w:lineRule="auto"/>
        <w:rPr>
          <w:sz w:val="20"/>
          <w:szCs w:val="20"/>
          <w:color w:val="auto"/>
        </w:rPr>
      </w:pPr>
      <w:r>
        <w:rPr>
          <w:rFonts w:ascii="Times New Roman" w:cs="Times New Roman" w:eastAsia="Times New Roman" w:hAnsi="Times New Roman"/>
          <w:sz w:val="17"/>
          <w:szCs w:val="17"/>
          <w:color w:val="auto"/>
        </w:rPr>
        <w:t xml:space="preserve">9.2 </w:t>
      </w:r>
      <w:r>
        <w:rPr>
          <w:rFonts w:ascii="Times New Roman" w:cs="Times New Roman" w:eastAsia="Times New Roman" w:hAnsi="Times New Roman"/>
          <w:sz w:val="17"/>
          <w:szCs w:val="17"/>
          <w:u w:val="single" w:color="auto"/>
          <w:color w:val="auto"/>
        </w:rPr>
        <w:t>Certain Changes to Plan</w:t>
      </w:r>
      <w:r>
        <w:rPr>
          <w:rFonts w:ascii="Times New Roman" w:cs="Times New Roman" w:eastAsia="Times New Roman" w:hAnsi="Times New Roman"/>
          <w:sz w:val="17"/>
          <w:szCs w:val="17"/>
          <w:color w:val="auto"/>
        </w:rPr>
        <w:t>. Without stockholder consent and without regard to whether any Participant rights may be considered to have been adversely affected (and, with respect to the Section 423 Component of the Plan, after taking into account Section 423 of the Code), the Administrator shall be entitled to change or terminate the Offering Periods, limit the frequency and/or number of changes in the amount withheld from Compensation during an Offering Period, establish the exchange ratio applicable to amounts withheld in a currency other than U.S. dollars, permit payroll withholding in excess of the amount designated by a Participant in order to adjust for delays or mistakes in the Company’s processing of payroll withholding elections, establish reasonable waiting and adjustment periods and/or accounting and crediting procedures to ensure that amounts applied toward the purchase of Shares for each Participant properly correspond with amounts withheld from the Participant’s Compensation, and establish such other limitations or procedures as the Administrator determines in its sole discretion to be advisable that are consistent with the Plan.</w:t>
      </w:r>
    </w:p>
    <w:p>
      <w:pPr>
        <w:spacing w:after="0" w:line="178" w:lineRule="exact"/>
        <w:rPr>
          <w:sz w:val="20"/>
          <w:szCs w:val="20"/>
          <w:color w:val="auto"/>
        </w:rPr>
      </w:pPr>
    </w:p>
    <w:p>
      <w:pPr>
        <w:ind w:right="140" w:firstLine="417"/>
        <w:spacing w:after="0" w:line="267" w:lineRule="auto"/>
        <w:rPr>
          <w:sz w:val="20"/>
          <w:szCs w:val="20"/>
          <w:color w:val="auto"/>
        </w:rPr>
      </w:pPr>
      <w:r>
        <w:rPr>
          <w:rFonts w:ascii="Times New Roman" w:cs="Times New Roman" w:eastAsia="Times New Roman" w:hAnsi="Times New Roman"/>
          <w:sz w:val="17"/>
          <w:szCs w:val="17"/>
          <w:color w:val="auto"/>
        </w:rPr>
        <w:t xml:space="preserve">9.3 </w:t>
      </w:r>
      <w:r>
        <w:rPr>
          <w:rFonts w:ascii="Times New Roman" w:cs="Times New Roman" w:eastAsia="Times New Roman" w:hAnsi="Times New Roman"/>
          <w:sz w:val="17"/>
          <w:szCs w:val="17"/>
          <w:u w:val="single" w:color="auto"/>
          <w:color w:val="auto"/>
        </w:rPr>
        <w:t>Actions In the Event of Unfavorable Financial Accounting Consequences</w:t>
      </w:r>
      <w:r>
        <w:rPr>
          <w:rFonts w:ascii="Times New Roman" w:cs="Times New Roman" w:eastAsia="Times New Roman" w:hAnsi="Times New Roman"/>
          <w:sz w:val="17"/>
          <w:szCs w:val="17"/>
          <w:color w:val="auto"/>
        </w:rPr>
        <w:t>. In the event the Administrator determines that the ongoing operation of the Plan may result in unfavorable financial accounting consequences, the Administrator may, in its discretion and, to the extent necessary or desirable, modify or amend the Plan to reduce or eliminate such accounting consequence including, but not limited to:</w:t>
      </w:r>
    </w:p>
    <w:p>
      <w:pPr>
        <w:spacing w:after="0" w:line="165" w:lineRule="exact"/>
        <w:rPr>
          <w:sz w:val="20"/>
          <w:szCs w:val="20"/>
          <w:color w:val="auto"/>
        </w:rPr>
      </w:pPr>
    </w:p>
    <w:p>
      <w:pPr>
        <w:ind w:left="1160" w:hanging="231"/>
        <w:spacing w:after="0"/>
        <w:tabs>
          <w:tab w:leader="none" w:pos="1160" w:val="left"/>
        </w:tabs>
        <w:numPr>
          <w:ilvl w:val="0"/>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altering the Purchase Price for any Offering Period including an Offering Period underway at the time of the change in Purchase Price;</w:t>
      </w:r>
    </w:p>
    <w:p>
      <w:pPr>
        <w:spacing w:after="0" w:line="213" w:lineRule="exact"/>
        <w:rPr>
          <w:rFonts w:ascii="Times New Roman" w:cs="Times New Roman" w:eastAsia="Times New Roman" w:hAnsi="Times New Roman"/>
          <w:sz w:val="17"/>
          <w:szCs w:val="17"/>
          <w:color w:val="auto"/>
        </w:rPr>
      </w:pPr>
    </w:p>
    <w:p>
      <w:pPr>
        <w:ind w:right="60" w:firstLine="929"/>
        <w:spacing w:after="0" w:line="283" w:lineRule="auto"/>
        <w:tabs>
          <w:tab w:leader="none" w:pos="1180" w:val="left"/>
        </w:tabs>
        <w:numPr>
          <w:ilvl w:val="0"/>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shortening any Offering Period so that the Offering Period ends on a new Purchase Date, including an Offering Period underway at the time of the Administrator action; and</w:t>
      </w:r>
    </w:p>
    <w:p>
      <w:pPr>
        <w:spacing w:after="0" w:line="152" w:lineRule="exact"/>
        <w:rPr>
          <w:rFonts w:ascii="Times New Roman" w:cs="Times New Roman" w:eastAsia="Times New Roman" w:hAnsi="Times New Roman"/>
          <w:sz w:val="17"/>
          <w:szCs w:val="17"/>
          <w:color w:val="auto"/>
        </w:rPr>
      </w:pPr>
    </w:p>
    <w:p>
      <w:pPr>
        <w:ind w:left="1160" w:hanging="231"/>
        <w:spacing w:after="0"/>
        <w:tabs>
          <w:tab w:leader="none" w:pos="1160" w:val="left"/>
        </w:tabs>
        <w:numPr>
          <w:ilvl w:val="0"/>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allocating Shares.</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Such modifications or amendments shall not require stockholder approval or the consent of any Participant.</w:t>
      </w:r>
    </w:p>
    <w:p>
      <w:pPr>
        <w:spacing w:after="0" w:line="213" w:lineRule="exact"/>
        <w:rPr>
          <w:sz w:val="20"/>
          <w:szCs w:val="20"/>
          <w:color w:val="auto"/>
        </w:rPr>
      </w:pPr>
    </w:p>
    <w:p>
      <w:pPr>
        <w:ind w:right="60" w:firstLine="417"/>
        <w:spacing w:after="0" w:line="267" w:lineRule="auto"/>
        <w:rPr>
          <w:sz w:val="20"/>
          <w:szCs w:val="20"/>
          <w:color w:val="auto"/>
        </w:rPr>
      </w:pPr>
      <w:r>
        <w:rPr>
          <w:rFonts w:ascii="Times New Roman" w:cs="Times New Roman" w:eastAsia="Times New Roman" w:hAnsi="Times New Roman"/>
          <w:sz w:val="17"/>
          <w:szCs w:val="17"/>
          <w:color w:val="auto"/>
        </w:rPr>
        <w:t xml:space="preserve">9.4 </w:t>
      </w:r>
      <w:r>
        <w:rPr>
          <w:rFonts w:ascii="Times New Roman" w:cs="Times New Roman" w:eastAsia="Times New Roman" w:hAnsi="Times New Roman"/>
          <w:sz w:val="17"/>
          <w:szCs w:val="17"/>
          <w:u w:val="single" w:color="auto"/>
          <w:color w:val="auto"/>
        </w:rPr>
        <w:t>Payments Upon Termination of Plan</w:t>
      </w:r>
      <w:r>
        <w:rPr>
          <w:rFonts w:ascii="Times New Roman" w:cs="Times New Roman" w:eastAsia="Times New Roman" w:hAnsi="Times New Roman"/>
          <w:sz w:val="17"/>
          <w:szCs w:val="17"/>
          <w:color w:val="auto"/>
        </w:rPr>
        <w:t>. Upon termination of the Plan, the balance in each Participant’s Plan account shall be refunded as soon as practicable after such termination, without any interest thereon, or the Offering Period may be shortened so that the purchase of Shares occurs prior to the termination of the Plan.</w:t>
      </w:r>
    </w:p>
    <w:p>
      <w:pPr>
        <w:sectPr>
          <w:pgSz w:w="11900" w:h="16838" w:orient="portrait"/>
          <w:cols w:equalWidth="0" w:num="1">
            <w:col w:w="10420"/>
          </w:cols>
          <w:pgMar w:left="740" w:top="259" w:right="739" w:bottom="1440" w:gutter="0" w:footer="0" w:header="0"/>
        </w:sectPr>
      </w:pPr>
    </w:p>
    <w:bookmarkStart w:id="414" w:name="page415"/>
    <w:bookmarkEnd w:id="414"/>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ARTICLE X.</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TERM OF PLAN</w:t>
      </w:r>
    </w:p>
    <w:p>
      <w:pPr>
        <w:spacing w:after="0" w:line="196" w:lineRule="exact"/>
        <w:rPr>
          <w:sz w:val="20"/>
          <w:szCs w:val="20"/>
          <w:color w:val="auto"/>
        </w:rPr>
      </w:pPr>
    </w:p>
    <w:p>
      <w:pPr>
        <w:ind w:right="80" w:firstLine="417"/>
        <w:spacing w:after="0" w:line="261" w:lineRule="auto"/>
        <w:rPr>
          <w:sz w:val="20"/>
          <w:szCs w:val="20"/>
          <w:color w:val="auto"/>
        </w:rPr>
      </w:pPr>
      <w:r>
        <w:rPr>
          <w:rFonts w:ascii="Times New Roman" w:cs="Times New Roman" w:eastAsia="Times New Roman" w:hAnsi="Times New Roman"/>
          <w:sz w:val="17"/>
          <w:szCs w:val="17"/>
          <w:color w:val="auto"/>
        </w:rPr>
        <w:t>The Plan shall become effective on the Effective Date. The effectiveness of the Plan shall be subject to approval of the Plan by the Company’s stockholders within twelve (12) months following the date the Plan is first approved by the Board. No right may be granted under the Plan prior to such stockholder approval. The Plan shall remain in effect until terminated under Section 9.1. No rights may be granted under the Plan during any period of suspension of the Plan or after termination of the Plan.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XI.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ADMINISTRATION</w:t>
      </w:r>
    </w:p>
    <w:p>
      <w:pPr>
        <w:spacing w:after="0" w:line="196" w:lineRule="exact"/>
        <w:rPr>
          <w:sz w:val="20"/>
          <w:szCs w:val="20"/>
          <w:color w:val="auto"/>
        </w:rPr>
      </w:pPr>
    </w:p>
    <w:p>
      <w:pPr>
        <w:ind w:firstLine="417"/>
        <w:spacing w:after="0" w:line="259" w:lineRule="auto"/>
        <w:rPr>
          <w:sz w:val="20"/>
          <w:szCs w:val="20"/>
          <w:color w:val="auto"/>
        </w:rPr>
      </w:pPr>
      <w:r>
        <w:rPr>
          <w:rFonts w:ascii="Times New Roman" w:cs="Times New Roman" w:eastAsia="Times New Roman" w:hAnsi="Times New Roman"/>
          <w:sz w:val="17"/>
          <w:szCs w:val="17"/>
          <w:color w:val="auto"/>
        </w:rPr>
        <w:t xml:space="preserve">11.1 </w:t>
      </w:r>
      <w:r>
        <w:rPr>
          <w:rFonts w:ascii="Times New Roman" w:cs="Times New Roman" w:eastAsia="Times New Roman" w:hAnsi="Times New Roman"/>
          <w:sz w:val="17"/>
          <w:szCs w:val="17"/>
          <w:u w:val="single" w:color="auto"/>
          <w:color w:val="auto"/>
        </w:rPr>
        <w:t>Administrator</w:t>
      </w:r>
      <w:r>
        <w:rPr>
          <w:rFonts w:ascii="Times New Roman" w:cs="Times New Roman" w:eastAsia="Times New Roman" w:hAnsi="Times New Roman"/>
          <w:sz w:val="17"/>
          <w:szCs w:val="17"/>
          <w:color w:val="auto"/>
        </w:rPr>
        <w:t>. Unless otherwise determined by the Board, the Administrator of the Plan shall be the Compensation Committee of the Board (or another committee or a subcommittee of the Board to which the Board delegates administration of the Plan). The Board may at any time vest in the Board any authority or duties for administration of the Plan. The Administrator may delegate administrative tasks under the Plan to the services of an Agent or Employees to assist in the administration of the Plan, including establishing and maintaining an individual securities account under the Plan for each Participant.</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11.2 </w:t>
      </w:r>
      <w:r>
        <w:rPr>
          <w:rFonts w:ascii="Times New Roman" w:cs="Times New Roman" w:eastAsia="Times New Roman" w:hAnsi="Times New Roman"/>
          <w:sz w:val="17"/>
          <w:szCs w:val="17"/>
          <w:u w:val="single" w:color="auto"/>
          <w:color w:val="auto"/>
        </w:rPr>
        <w:t>Authority of Administrator</w:t>
      </w:r>
      <w:r>
        <w:rPr>
          <w:rFonts w:ascii="Times New Roman" w:cs="Times New Roman" w:eastAsia="Times New Roman" w:hAnsi="Times New Roman"/>
          <w:sz w:val="17"/>
          <w:szCs w:val="17"/>
          <w:color w:val="auto"/>
        </w:rPr>
        <w:t>. The Administrator shall have the power, subject to, and within the limitations of, the express provisions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Plan:</w:t>
      </w:r>
    </w:p>
    <w:p>
      <w:pPr>
        <w:spacing w:after="0" w:line="196" w:lineRule="exact"/>
        <w:rPr>
          <w:sz w:val="20"/>
          <w:szCs w:val="20"/>
          <w:color w:val="auto"/>
        </w:rPr>
      </w:pPr>
    </w:p>
    <w:p>
      <w:pPr>
        <w:ind w:left="1160" w:hanging="231"/>
        <w:spacing w:after="0"/>
        <w:tabs>
          <w:tab w:leader="none" w:pos="1160"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when and how rights to purchase Shares shall be granted and the provisions of each offering of such rights (which need</w:t>
      </w:r>
    </w:p>
    <w:p>
      <w:pPr>
        <w:spacing w:after="0" w:line="2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be identical).</w:t>
      </w:r>
    </w:p>
    <w:p>
      <w:pPr>
        <w:spacing w:after="0" w:line="196" w:lineRule="exact"/>
        <w:rPr>
          <w:rFonts w:ascii="Times New Roman" w:cs="Times New Roman" w:eastAsia="Times New Roman" w:hAnsi="Times New Roman"/>
          <w:sz w:val="17"/>
          <w:szCs w:val="17"/>
          <w:color w:val="auto"/>
        </w:rPr>
      </w:pPr>
    </w:p>
    <w:p>
      <w:pPr>
        <w:ind w:right="120" w:firstLine="929"/>
        <w:spacing w:after="0" w:line="283" w:lineRule="auto"/>
        <w:tabs>
          <w:tab w:leader="none" w:pos="1180"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designate from time to time which Subsidiaries of the Company shall be Designated Subsidiaries, which designation may be made without the approval of the stockholders of the Company.</w:t>
      </w:r>
    </w:p>
    <w:p>
      <w:pPr>
        <w:spacing w:after="0" w:line="152" w:lineRule="exact"/>
        <w:rPr>
          <w:rFonts w:ascii="Times New Roman" w:cs="Times New Roman" w:eastAsia="Times New Roman" w:hAnsi="Times New Roman"/>
          <w:sz w:val="17"/>
          <w:szCs w:val="17"/>
          <w:color w:val="auto"/>
        </w:rPr>
      </w:pPr>
    </w:p>
    <w:p>
      <w:pPr>
        <w:ind w:right="200" w:firstLine="929"/>
        <w:spacing w:after="0" w:line="283" w:lineRule="auto"/>
        <w:tabs>
          <w:tab w:leader="none" w:pos="1170"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impose a mandatory holding period pursuant to which Employees may not dispose of or transfer Shares purchased under the Plan for a period of time determined by the Administrator in its discretion.</w:t>
      </w:r>
    </w:p>
    <w:p>
      <w:pPr>
        <w:spacing w:after="0" w:line="152" w:lineRule="exact"/>
        <w:rPr>
          <w:rFonts w:ascii="Times New Roman" w:cs="Times New Roman" w:eastAsia="Times New Roman" w:hAnsi="Times New Roman"/>
          <w:sz w:val="17"/>
          <w:szCs w:val="17"/>
          <w:color w:val="auto"/>
        </w:rPr>
      </w:pPr>
    </w:p>
    <w:p>
      <w:pPr>
        <w:ind w:right="220" w:firstLine="929"/>
        <w:spacing w:after="0" w:line="267" w:lineRule="auto"/>
        <w:tabs>
          <w:tab w:leader="none" w:pos="1180"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construe and interpret the Plan and rights granted under it, and to establish, amend and revoke rules and regulations for its administration. The Administrator, in the exercise of this power, may correct any defect, omission or inconsistency in the Plan, in a manner and to the extent it shall deem necessary or expedient to make the Plan fully effective.</w:t>
      </w:r>
    </w:p>
    <w:p>
      <w:pPr>
        <w:spacing w:after="0" w:line="165" w:lineRule="exact"/>
        <w:rPr>
          <w:rFonts w:ascii="Times New Roman" w:cs="Times New Roman" w:eastAsia="Times New Roman" w:hAnsi="Times New Roman"/>
          <w:sz w:val="17"/>
          <w:szCs w:val="17"/>
          <w:color w:val="auto"/>
        </w:rPr>
      </w:pPr>
    </w:p>
    <w:p>
      <w:pPr>
        <w:ind w:left="1160" w:hanging="231"/>
        <w:spacing w:after="0"/>
        <w:tabs>
          <w:tab w:leader="none" w:pos="1160"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amend, suspend or terminate the Plan as provided in Article IX.</w:t>
      </w:r>
    </w:p>
    <w:p>
      <w:pPr>
        <w:spacing w:after="0" w:line="213" w:lineRule="exact"/>
        <w:rPr>
          <w:rFonts w:ascii="Times New Roman" w:cs="Times New Roman" w:eastAsia="Times New Roman" w:hAnsi="Times New Roman"/>
          <w:sz w:val="17"/>
          <w:szCs w:val="17"/>
          <w:color w:val="auto"/>
        </w:rPr>
      </w:pPr>
    </w:p>
    <w:p>
      <w:pPr>
        <w:ind w:right="320" w:firstLine="929"/>
        <w:spacing w:after="0" w:line="267" w:lineRule="auto"/>
        <w:tabs>
          <w:tab w:leader="none" w:pos="1151"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Generally, to exercise such powers and to perform such acts as the Administrator deems necessary or expedient to promote the best interests of the Company and its Subsidiaries and to carry out the intent that the Plan be treated as an “employee stock purchase plan” within the meaning of Section 423 of the Code for the Section 423 Component.</w:t>
      </w:r>
    </w:p>
    <w:p>
      <w:pPr>
        <w:spacing w:after="0" w:line="165" w:lineRule="exact"/>
        <w:rPr>
          <w:rFonts w:ascii="Times New Roman" w:cs="Times New Roman" w:eastAsia="Times New Roman" w:hAnsi="Times New Roman"/>
          <w:sz w:val="17"/>
          <w:szCs w:val="17"/>
          <w:color w:val="auto"/>
        </w:rPr>
      </w:pPr>
    </w:p>
    <w:p>
      <w:pPr>
        <w:ind w:firstLine="929"/>
        <w:spacing w:after="0" w:line="261" w:lineRule="auto"/>
        <w:tabs>
          <w:tab w:leader="none" w:pos="1180"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Administrator may adopt sub-plans applicable to particular Designated Subsidiaries or locations, which sub-plans may be designed to be outside the scope of Section 423 of the Code. The rules of such sub-plans may take precedence over other provisions of this Plan, with the exception of Section 3.1 hereof, but unless otherwise superseded by the terms of such sub-plan, the provisions of this Plan shall govern the operation of such sub-plan.</w:t>
      </w:r>
    </w:p>
    <w:p>
      <w:pPr>
        <w:sectPr>
          <w:pgSz w:w="11900" w:h="16838" w:orient="portrait"/>
          <w:cols w:equalWidth="0" w:num="1">
            <w:col w:w="10400"/>
          </w:cols>
          <w:pgMar w:left="740" w:top="259" w:right="759" w:bottom="1440" w:gutter="0" w:footer="0" w:header="0"/>
        </w:sectPr>
      </w:pPr>
    </w:p>
    <w:bookmarkStart w:id="415" w:name="page416"/>
    <w:bookmarkEnd w:id="415"/>
    <w:p>
      <w:pPr>
        <w:ind w:right="40" w:firstLine="417"/>
        <w:spacing w:after="0" w:line="28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11.3 </w:t>
      </w:r>
      <w:r>
        <w:rPr>
          <w:rFonts w:ascii="Times New Roman" w:cs="Times New Roman" w:eastAsia="Times New Roman" w:hAnsi="Times New Roman"/>
          <w:sz w:val="17"/>
          <w:szCs w:val="17"/>
          <w:u w:val="single" w:color="auto"/>
          <w:color w:val="auto"/>
        </w:rPr>
        <w:t>Decisions Binding</w:t>
      </w:r>
      <w:r>
        <w:rPr>
          <w:rFonts w:ascii="Times New Roman" w:cs="Times New Roman" w:eastAsia="Times New Roman" w:hAnsi="Times New Roman"/>
          <w:sz w:val="17"/>
          <w:szCs w:val="17"/>
          <w:color w:val="auto"/>
        </w:rPr>
        <w:t>. The Administrator’s interpretation of the Plan, any rights granted pursuant to the Plan, any subscription agreement and all decisions and determinations by the Administrator with respect to the Plan are final, binding, and conclusive on all parties.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XII.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MISCELLANEOUS</w:t>
      </w:r>
    </w:p>
    <w:p>
      <w:pPr>
        <w:spacing w:after="0" w:line="196" w:lineRule="exact"/>
        <w:rPr>
          <w:sz w:val="20"/>
          <w:szCs w:val="20"/>
          <w:color w:val="auto"/>
        </w:rPr>
      </w:pPr>
    </w:p>
    <w:p>
      <w:pPr>
        <w:ind w:right="120" w:firstLine="417"/>
        <w:spacing w:after="0" w:line="261" w:lineRule="auto"/>
        <w:rPr>
          <w:sz w:val="20"/>
          <w:szCs w:val="20"/>
          <w:color w:val="auto"/>
        </w:rPr>
      </w:pPr>
      <w:r>
        <w:rPr>
          <w:rFonts w:ascii="Times New Roman" w:cs="Times New Roman" w:eastAsia="Times New Roman" w:hAnsi="Times New Roman"/>
          <w:sz w:val="17"/>
          <w:szCs w:val="17"/>
          <w:color w:val="auto"/>
        </w:rPr>
        <w:t xml:space="preserve">12.1 </w:t>
      </w:r>
      <w:r>
        <w:rPr>
          <w:rFonts w:ascii="Times New Roman" w:cs="Times New Roman" w:eastAsia="Times New Roman" w:hAnsi="Times New Roman"/>
          <w:sz w:val="17"/>
          <w:szCs w:val="17"/>
          <w:u w:val="single" w:color="auto"/>
          <w:color w:val="auto"/>
        </w:rPr>
        <w:t>Restriction upon Assignment</w:t>
      </w:r>
      <w:r>
        <w:rPr>
          <w:rFonts w:ascii="Times New Roman" w:cs="Times New Roman" w:eastAsia="Times New Roman" w:hAnsi="Times New Roman"/>
          <w:sz w:val="17"/>
          <w:szCs w:val="17"/>
          <w:color w:val="auto"/>
        </w:rPr>
        <w:t>. A right granted under the Plan shall not be transferable other than by will or the Applicable Laws of descent and distribution, and is exercisable during the Participant’s lifetime only by the Participant. Except as provided in Section 12.4 hereof, a right under the Plan may not be exercised to any extent except by the Participant. The Company shall not recognize and shall be under no duty to recognize any assignment or alienation of the Participant’s interest in the Plan, the Participant’s rights under the Plan or any rights thereunder.</w:t>
      </w:r>
    </w:p>
    <w:p>
      <w:pPr>
        <w:spacing w:after="0" w:line="172" w:lineRule="exact"/>
        <w:rPr>
          <w:sz w:val="20"/>
          <w:szCs w:val="20"/>
          <w:color w:val="auto"/>
        </w:rPr>
      </w:pPr>
    </w:p>
    <w:p>
      <w:pPr>
        <w:ind w:firstLine="417"/>
        <w:spacing w:after="0" w:line="259" w:lineRule="auto"/>
        <w:rPr>
          <w:sz w:val="20"/>
          <w:szCs w:val="20"/>
          <w:color w:val="auto"/>
        </w:rPr>
      </w:pPr>
      <w:r>
        <w:rPr>
          <w:rFonts w:ascii="Times New Roman" w:cs="Times New Roman" w:eastAsia="Times New Roman" w:hAnsi="Times New Roman"/>
          <w:sz w:val="17"/>
          <w:szCs w:val="17"/>
          <w:color w:val="auto"/>
        </w:rPr>
        <w:t xml:space="preserve">12.2 </w:t>
      </w:r>
      <w:r>
        <w:rPr>
          <w:rFonts w:ascii="Times New Roman" w:cs="Times New Roman" w:eastAsia="Times New Roman" w:hAnsi="Times New Roman"/>
          <w:sz w:val="17"/>
          <w:szCs w:val="17"/>
          <w:u w:val="single" w:color="auto"/>
          <w:color w:val="auto"/>
        </w:rPr>
        <w:t>Rights as a Stockholder</w:t>
      </w:r>
      <w:r>
        <w:rPr>
          <w:rFonts w:ascii="Times New Roman" w:cs="Times New Roman" w:eastAsia="Times New Roman" w:hAnsi="Times New Roman"/>
          <w:sz w:val="17"/>
          <w:szCs w:val="17"/>
          <w:color w:val="auto"/>
        </w:rPr>
        <w:t>. With respect to Shares subject to a right granted under the Plan, a Participant shall not be deemed to be a stockholder of the Company, and the Participant shall not have any of the rights or privileges of a stockholder, until such Shares have been issued to the Participant or his or her nominee following exercise of the Participant’s rights under the Plan. No adjustments shall be made for dividends (ordinary or extraordinary, whether in cash securities, or other property) or distribution or other rights for which the record date occurs prior to the date of such issuance, except as otherwise expressly provided herein or as determined by the Administrator.</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12.3 </w:t>
      </w:r>
      <w:r>
        <w:rPr>
          <w:rFonts w:ascii="Times New Roman" w:cs="Times New Roman" w:eastAsia="Times New Roman" w:hAnsi="Times New Roman"/>
          <w:sz w:val="17"/>
          <w:szCs w:val="17"/>
          <w:u w:val="single" w:color="auto"/>
          <w:color w:val="auto"/>
        </w:rPr>
        <w:t>Interest</w:t>
      </w:r>
      <w:r>
        <w:rPr>
          <w:rFonts w:ascii="Times New Roman" w:cs="Times New Roman" w:eastAsia="Times New Roman" w:hAnsi="Times New Roman"/>
          <w:sz w:val="17"/>
          <w:szCs w:val="17"/>
          <w:color w:val="auto"/>
        </w:rPr>
        <w:t>. No interest shall accrue on the payroll deductions or contributions of a Participant under the Plan.</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12.4 </w:t>
      </w:r>
      <w:r>
        <w:rPr>
          <w:rFonts w:ascii="Times New Roman" w:cs="Times New Roman" w:eastAsia="Times New Roman" w:hAnsi="Times New Roman"/>
          <w:sz w:val="17"/>
          <w:szCs w:val="17"/>
          <w:u w:val="single" w:color="auto"/>
          <w:color w:val="auto"/>
        </w:rPr>
        <w:t>Designation of Beneficiary</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ind w:right="60" w:firstLine="929"/>
        <w:spacing w:after="0" w:line="257" w:lineRule="auto"/>
        <w:tabs>
          <w:tab w:leader="none" w:pos="1170"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Participant may, in the manner determined by the Administrator, file a written designation of a beneficiary who is to receive any Shares and/or cash, if any, from the Participant’s account under the Plan in the event of such Participant’s death subsequent to a Purchase Date on which the Participant’s rights are exercised but prior to delivery to such Participant of such Shares and cash. In addition, a Participant may file a written designation of a beneficiary who is to receive any cash from the Participant’s account under the Plan in the event of such Participant’s death prior to exercise of the Participant’s rights under the Plan. If the Participant is married and resides in a community property state, a designation of a person other than the Participant’s spouse as his or her beneficiary shall not be effective without the prior written consent of the Participant’s spouse.</w:t>
      </w:r>
    </w:p>
    <w:p>
      <w:pPr>
        <w:spacing w:after="0" w:line="175" w:lineRule="exact"/>
        <w:rPr>
          <w:rFonts w:ascii="Times New Roman" w:cs="Times New Roman" w:eastAsia="Times New Roman" w:hAnsi="Times New Roman"/>
          <w:sz w:val="17"/>
          <w:szCs w:val="17"/>
          <w:color w:val="auto"/>
        </w:rPr>
      </w:pPr>
    </w:p>
    <w:p>
      <w:pPr>
        <w:ind w:right="100" w:firstLine="929"/>
        <w:spacing w:after="0" w:line="257" w:lineRule="auto"/>
        <w:tabs>
          <w:tab w:leader="none" w:pos="1180"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designation of beneficiary may be changed by the Participant at any time by written notice to the Company.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75" w:lineRule="exact"/>
        <w:rPr>
          <w:sz w:val="20"/>
          <w:szCs w:val="20"/>
          <w:color w:val="auto"/>
        </w:rPr>
      </w:pPr>
    </w:p>
    <w:p>
      <w:pPr>
        <w:ind w:right="140" w:firstLine="417"/>
        <w:spacing w:after="0" w:line="267" w:lineRule="auto"/>
        <w:rPr>
          <w:sz w:val="20"/>
          <w:szCs w:val="20"/>
          <w:color w:val="auto"/>
        </w:rPr>
      </w:pPr>
      <w:r>
        <w:rPr>
          <w:rFonts w:ascii="Times New Roman" w:cs="Times New Roman" w:eastAsia="Times New Roman" w:hAnsi="Times New Roman"/>
          <w:sz w:val="17"/>
          <w:szCs w:val="17"/>
          <w:color w:val="auto"/>
        </w:rPr>
        <w:t xml:space="preserve">12.5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ectPr>
          <w:pgSz w:w="11900" w:h="16838" w:orient="portrait"/>
          <w:cols w:equalWidth="0" w:num="1">
            <w:col w:w="10420"/>
          </w:cols>
          <w:pgMar w:left="740" w:top="264" w:right="739" w:bottom="1440" w:gutter="0" w:footer="0" w:header="0"/>
        </w:sectPr>
      </w:pPr>
    </w:p>
    <w:bookmarkStart w:id="416" w:name="page417"/>
    <w:bookmarkEnd w:id="416"/>
    <w:p>
      <w:pPr>
        <w:ind w:firstLine="417"/>
        <w:spacing w:after="0" w:line="25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12.6 </w:t>
      </w:r>
      <w:r>
        <w:rPr>
          <w:rFonts w:ascii="Times New Roman" w:cs="Times New Roman" w:eastAsia="Times New Roman" w:hAnsi="Times New Roman"/>
          <w:sz w:val="17"/>
          <w:szCs w:val="17"/>
          <w:u w:val="single" w:color="auto"/>
          <w:color w:val="auto"/>
        </w:rPr>
        <w:t>Equal Rights and Privileges</w:t>
      </w:r>
      <w:r>
        <w:rPr>
          <w:rFonts w:ascii="Times New Roman" w:cs="Times New Roman" w:eastAsia="Times New Roman" w:hAnsi="Times New Roman"/>
          <w:sz w:val="17"/>
          <w:szCs w:val="17"/>
          <w:color w:val="auto"/>
        </w:rPr>
        <w:t>. Subject to Section 5.7, all Eligible Employees will have equal rights and privileges under the Section 423 Component so that the Section 423 Component of this Plan qualifies as an “employee stock purchase plan” within the meaning of Section 423 of the Code. Subject to Section 5.7, any provision of the Section 423 Component that is inconsistent with Section 423 of the Code will, without further act or amendment by the Company, the Board or the Administrator, be reformed to comply with the equal rights and privileges requirement of Section 423 of the Code. Eligible Employees participating in the Non-Section 423 Component need not have the same rights and privileges as other Eligible Employees participating in the Non-Section 423 Component or as Eligible Employees participating in the Section 423 Component.</w:t>
      </w:r>
    </w:p>
    <w:p>
      <w:pPr>
        <w:spacing w:after="0" w:line="175" w:lineRule="exact"/>
        <w:rPr>
          <w:sz w:val="20"/>
          <w:szCs w:val="20"/>
          <w:color w:val="auto"/>
        </w:rPr>
      </w:pPr>
    </w:p>
    <w:p>
      <w:pPr>
        <w:ind w:right="540" w:firstLine="417"/>
        <w:spacing w:after="0" w:line="283" w:lineRule="auto"/>
        <w:rPr>
          <w:sz w:val="20"/>
          <w:szCs w:val="20"/>
          <w:color w:val="auto"/>
        </w:rPr>
      </w:pPr>
      <w:r>
        <w:rPr>
          <w:rFonts w:ascii="Times New Roman" w:cs="Times New Roman" w:eastAsia="Times New Roman" w:hAnsi="Times New Roman"/>
          <w:sz w:val="17"/>
          <w:szCs w:val="17"/>
          <w:color w:val="auto"/>
        </w:rPr>
        <w:t xml:space="preserve">12.7 </w:t>
      </w:r>
      <w:r>
        <w:rPr>
          <w:rFonts w:ascii="Times New Roman" w:cs="Times New Roman" w:eastAsia="Times New Roman" w:hAnsi="Times New Roman"/>
          <w:sz w:val="17"/>
          <w:szCs w:val="17"/>
          <w:u w:val="single" w:color="auto"/>
          <w:color w:val="auto"/>
        </w:rPr>
        <w:t>Use of Funds</w:t>
      </w:r>
      <w:r>
        <w:rPr>
          <w:rFonts w:ascii="Times New Roman" w:cs="Times New Roman" w:eastAsia="Times New Roman" w:hAnsi="Times New Roman"/>
          <w:sz w:val="17"/>
          <w:szCs w:val="17"/>
          <w:color w:val="auto"/>
        </w:rPr>
        <w:t>. All payroll deductions received or held by the Company under the Plan may be used by the Company for any corporate purpose, and the Company shall not be obligated to segregate such payroll deductions.</w:t>
      </w:r>
    </w:p>
    <w:p>
      <w:pPr>
        <w:spacing w:after="0" w:line="152" w:lineRule="exact"/>
        <w:rPr>
          <w:sz w:val="20"/>
          <w:szCs w:val="20"/>
          <w:color w:val="auto"/>
        </w:rPr>
      </w:pPr>
    </w:p>
    <w:p>
      <w:pPr>
        <w:ind w:right="600" w:firstLine="417"/>
        <w:spacing w:after="0" w:line="283" w:lineRule="auto"/>
        <w:rPr>
          <w:sz w:val="20"/>
          <w:szCs w:val="20"/>
          <w:color w:val="auto"/>
        </w:rPr>
      </w:pPr>
      <w:r>
        <w:rPr>
          <w:rFonts w:ascii="Times New Roman" w:cs="Times New Roman" w:eastAsia="Times New Roman" w:hAnsi="Times New Roman"/>
          <w:sz w:val="17"/>
          <w:szCs w:val="17"/>
          <w:color w:val="auto"/>
        </w:rPr>
        <w:t xml:space="preserve">12.8 </w:t>
      </w:r>
      <w:r>
        <w:rPr>
          <w:rFonts w:ascii="Times New Roman" w:cs="Times New Roman" w:eastAsia="Times New Roman" w:hAnsi="Times New Roman"/>
          <w:sz w:val="17"/>
          <w:szCs w:val="17"/>
          <w:u w:val="single" w:color="auto"/>
          <w:color w:val="auto"/>
        </w:rPr>
        <w:t>Reports</w:t>
      </w:r>
      <w:r>
        <w:rPr>
          <w:rFonts w:ascii="Times New Roman" w:cs="Times New Roman" w:eastAsia="Times New Roman" w:hAnsi="Times New Roman"/>
          <w:sz w:val="17"/>
          <w:szCs w:val="17"/>
          <w:color w:val="auto"/>
        </w:rPr>
        <w:t>. Statements of account shall be given to Participants at least annually, which statements shall set forth the amounts of payroll deductions, the Purchase Price, the number of Shares purchased and the remaining cash balance, if any.</w:t>
      </w:r>
    </w:p>
    <w:p>
      <w:pPr>
        <w:spacing w:after="0" w:line="152" w:lineRule="exact"/>
        <w:rPr>
          <w:sz w:val="20"/>
          <w:szCs w:val="20"/>
          <w:color w:val="auto"/>
        </w:rPr>
      </w:pPr>
    </w:p>
    <w:p>
      <w:pPr>
        <w:ind w:right="80" w:firstLine="417"/>
        <w:spacing w:after="0" w:line="267" w:lineRule="auto"/>
        <w:rPr>
          <w:sz w:val="20"/>
          <w:szCs w:val="20"/>
          <w:color w:val="auto"/>
        </w:rPr>
      </w:pPr>
      <w:r>
        <w:rPr>
          <w:rFonts w:ascii="Times New Roman" w:cs="Times New Roman" w:eastAsia="Times New Roman" w:hAnsi="Times New Roman"/>
          <w:sz w:val="17"/>
          <w:szCs w:val="17"/>
          <w:color w:val="auto"/>
        </w:rPr>
        <w:t xml:space="preserve">12.9 </w:t>
      </w:r>
      <w:r>
        <w:rPr>
          <w:rFonts w:ascii="Times New Roman" w:cs="Times New Roman" w:eastAsia="Times New Roman" w:hAnsi="Times New Roman"/>
          <w:sz w:val="17"/>
          <w:szCs w:val="17"/>
          <w:u w:val="single" w:color="auto"/>
          <w:color w:val="auto"/>
        </w:rPr>
        <w:t>No Employment Rights</w:t>
      </w:r>
      <w:r>
        <w:rPr>
          <w:rFonts w:ascii="Times New Roman" w:cs="Times New Roman" w:eastAsia="Times New Roman" w:hAnsi="Times New Roman"/>
          <w:sz w:val="17"/>
          <w:szCs w:val="17"/>
          <w:color w:val="auto"/>
        </w:rPr>
        <w:t>. Nothing in the Plan shall be construed to give any person (including any Eligible Employee or Participant) the right to remain in the employ of the Company or any Parent or Subsidiary or affect the right of the Company or any Parent or Subsidiary to terminate the employment of any person (including any Eligible Employee or Participant) at any time, with or without cause.</w:t>
      </w:r>
    </w:p>
    <w:p>
      <w:pPr>
        <w:spacing w:after="0" w:line="165" w:lineRule="exact"/>
        <w:rPr>
          <w:sz w:val="20"/>
          <w:szCs w:val="20"/>
          <w:color w:val="auto"/>
        </w:rPr>
      </w:pPr>
    </w:p>
    <w:p>
      <w:pPr>
        <w:ind w:right="20" w:firstLine="417"/>
        <w:spacing w:after="0" w:line="259" w:lineRule="auto"/>
        <w:rPr>
          <w:sz w:val="20"/>
          <w:szCs w:val="20"/>
          <w:color w:val="auto"/>
        </w:rPr>
      </w:pPr>
      <w:r>
        <w:rPr>
          <w:rFonts w:ascii="Times New Roman" w:cs="Times New Roman" w:eastAsia="Times New Roman" w:hAnsi="Times New Roman"/>
          <w:sz w:val="17"/>
          <w:szCs w:val="17"/>
          <w:color w:val="auto"/>
        </w:rPr>
        <w:t xml:space="preserve">12.10 </w:t>
      </w:r>
      <w:r>
        <w:rPr>
          <w:rFonts w:ascii="Times New Roman" w:cs="Times New Roman" w:eastAsia="Times New Roman" w:hAnsi="Times New Roman"/>
          <w:sz w:val="17"/>
          <w:szCs w:val="17"/>
          <w:u w:val="single" w:color="auto"/>
          <w:color w:val="auto"/>
        </w:rPr>
        <w:t>Notice of Disposition of Shares</w:t>
      </w:r>
      <w:r>
        <w:rPr>
          <w:rFonts w:ascii="Times New Roman" w:cs="Times New Roman" w:eastAsia="Times New Roman" w:hAnsi="Times New Roman"/>
          <w:sz w:val="17"/>
          <w:szCs w:val="17"/>
          <w:color w:val="auto"/>
        </w:rPr>
        <w:t>. Each Participant shall give prompt notice to the Company of any disposition or other transfer of any Shares purchased upon exercise of a right under the Section 423 Component of the Plan if such disposition or transfer is made: (a) within two (2) years from the Enrollment Date of the Offering Period in which the Shares were purchased or (b) within one (1) year after the Purchase Date on which such Shares were purchased. Such notice shall specify the date of such disposition or other transfer and the amount realized, in cash, other property, assumption of indebtedness or other consideration, by the Participant in such disposition or other transfer.</w:t>
      </w:r>
    </w:p>
    <w:p>
      <w:pPr>
        <w:spacing w:after="0" w:line="172" w:lineRule="exact"/>
        <w:rPr>
          <w:sz w:val="20"/>
          <w:szCs w:val="20"/>
          <w:color w:val="auto"/>
        </w:rPr>
      </w:pPr>
    </w:p>
    <w:p>
      <w:pPr>
        <w:ind w:right="100" w:firstLine="417"/>
        <w:spacing w:after="0" w:line="315" w:lineRule="auto"/>
        <w:rPr>
          <w:sz w:val="20"/>
          <w:szCs w:val="20"/>
          <w:color w:val="auto"/>
        </w:rPr>
      </w:pPr>
      <w:r>
        <w:rPr>
          <w:rFonts w:ascii="Times New Roman" w:cs="Times New Roman" w:eastAsia="Times New Roman" w:hAnsi="Times New Roman"/>
          <w:sz w:val="16"/>
          <w:szCs w:val="16"/>
          <w:color w:val="auto"/>
        </w:rPr>
        <w:t xml:space="preserve">12.11 </w:t>
      </w: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The Plan and any agreements hereunder shall be administered, interpreted and enforced in accordance with the laws of the State of Delaware, disregarding any state’s choice of law principles requiring the application of a jurisdiction’s laws other than the State of Delaware.</w:t>
      </w:r>
    </w:p>
    <w:p>
      <w:pPr>
        <w:spacing w:after="0" w:line="130" w:lineRule="exact"/>
        <w:rPr>
          <w:sz w:val="20"/>
          <w:szCs w:val="20"/>
          <w:color w:val="auto"/>
        </w:rPr>
      </w:pPr>
    </w:p>
    <w:p>
      <w:pPr>
        <w:ind w:right="140" w:firstLine="417"/>
        <w:spacing w:after="0" w:line="261" w:lineRule="auto"/>
        <w:rPr>
          <w:sz w:val="20"/>
          <w:szCs w:val="20"/>
          <w:color w:val="auto"/>
        </w:rPr>
      </w:pPr>
      <w:r>
        <w:rPr>
          <w:rFonts w:ascii="Times New Roman" w:cs="Times New Roman" w:eastAsia="Times New Roman" w:hAnsi="Times New Roman"/>
          <w:sz w:val="17"/>
          <w:szCs w:val="17"/>
          <w:color w:val="auto"/>
        </w:rPr>
        <w:t xml:space="preserve">12.12 </w:t>
      </w:r>
      <w:r>
        <w:rPr>
          <w:rFonts w:ascii="Times New Roman" w:cs="Times New Roman" w:eastAsia="Times New Roman" w:hAnsi="Times New Roman"/>
          <w:sz w:val="17"/>
          <w:szCs w:val="17"/>
          <w:u w:val="single" w:color="auto"/>
          <w:color w:val="auto"/>
        </w:rPr>
        <w:t>Electronic Forms</w:t>
      </w:r>
      <w:r>
        <w:rPr>
          <w:rFonts w:ascii="Times New Roman" w:cs="Times New Roman" w:eastAsia="Times New Roman" w:hAnsi="Times New Roman"/>
          <w:sz w:val="17"/>
          <w:szCs w:val="17"/>
          <w:color w:val="auto"/>
        </w:rPr>
        <w:t>. To the extent permitted by Applicable Law and in the discretion of the Administrator, an Eligible Employee may submit any form or notice as set forth herein by means of an electronic form approved by the Administrator. Before the commencement of an Offering Period, the Administrator shall prescribe the time limits within which any such electronic form shall be submitted to the Administrator with respect to such Offering Period in order to be a valid election.</w:t>
      </w:r>
    </w:p>
    <w:p>
      <w:pPr>
        <w:spacing w:after="0" w:line="172" w:lineRule="exact"/>
        <w:rPr>
          <w:sz w:val="20"/>
          <w:szCs w:val="20"/>
          <w:color w:val="auto"/>
        </w:rPr>
      </w:pPr>
    </w:p>
    <w:p>
      <w:pPr>
        <w:ind w:right="100" w:firstLine="417"/>
        <w:spacing w:after="0" w:line="257" w:lineRule="auto"/>
        <w:rPr>
          <w:sz w:val="20"/>
          <w:szCs w:val="20"/>
          <w:color w:val="auto"/>
        </w:rPr>
      </w:pPr>
      <w:r>
        <w:rPr>
          <w:rFonts w:ascii="Times New Roman" w:cs="Times New Roman" w:eastAsia="Times New Roman" w:hAnsi="Times New Roman"/>
          <w:sz w:val="17"/>
          <w:szCs w:val="17"/>
          <w:color w:val="auto"/>
        </w:rPr>
        <w:t xml:space="preserve">12.13 </w:t>
      </w: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The Section 423 Component of the Plan and the rights to purchase Shares granted pursuant to Offerings thereunder are intended to be exempt from the application of Section 409A of the Code and the U.S. Department of Treasury Regulations and other interpretive guidance issued thereunder (collectively, “</w:t>
      </w:r>
      <w:r>
        <w:rPr>
          <w:rFonts w:ascii="Times New Roman" w:cs="Times New Roman" w:eastAsia="Times New Roman" w:hAnsi="Times New Roman"/>
          <w:sz w:val="17"/>
          <w:szCs w:val="17"/>
          <w:b w:val="1"/>
          <w:bCs w:val="1"/>
          <w:i w:val="1"/>
          <w:iCs w:val="1"/>
          <w:color w:val="auto"/>
        </w:rPr>
        <w:t>Section 409A</w:t>
      </w:r>
      <w:r>
        <w:rPr>
          <w:rFonts w:ascii="Times New Roman" w:cs="Times New Roman" w:eastAsia="Times New Roman" w:hAnsi="Times New Roman"/>
          <w:sz w:val="17"/>
          <w:szCs w:val="17"/>
          <w:color w:val="auto"/>
        </w:rPr>
        <w:t>”). Neither the Non-Section 423 Component nor any right to purchase Shares granted pursuant to an Offering thereunder is intended to constitute or provide for “nonqualified deferred compensation” within the meaning of Section 409A. Notwithstanding any provision of the Plan to the contrary, if the Administrator determines that any right to purchase Shares granted under the Plan may be or become subject to Section 409A</w:t>
      </w:r>
    </w:p>
    <w:p>
      <w:pPr>
        <w:sectPr>
          <w:pgSz w:w="11900" w:h="16838" w:orient="portrait"/>
          <w:cols w:equalWidth="0" w:num="1">
            <w:col w:w="10420"/>
          </w:cols>
          <w:pgMar w:left="740" w:top="264" w:right="739" w:bottom="1440" w:gutter="0" w:footer="0" w:header="0"/>
        </w:sectPr>
      </w:pPr>
    </w:p>
    <w:bookmarkStart w:id="417" w:name="page418"/>
    <w:bookmarkEnd w:id="417"/>
    <w:p>
      <w:pPr>
        <w:ind w:right="40"/>
        <w:spacing w:after="0" w:line="26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or that any provision of the Plan may cause a right to purchase Shares granted under the Plan to be or become subject to Section 409A, the Administrator may adopt such amendments to the Plan and/or adopt other policies and procedures (including amendments, policies and procedures with retroactive effect), or take any other actions as the Administrator determines are necessary or appropriate to avoid the imposition of taxes under Section 409A, either through compliance with the requirements of Section 409A or with an available exemption therefrom.</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12.14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Whenever possible, each provision of the Plan shall be interpreted in such manner as to be effective and valid under applicable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law, and with respect to the Section 423 Component, to satisfy the requirements for rights to purchase Shares granted pursuant to an “employee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 plan” as set forth under Section 423 of the Code, but if any provision of the Plan or any Offering shall be held by a court of competent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jurisdiction to be prohibited by or invalid or unenforceable under applicable law, or with respect to the Section 423 Component, does not satisfy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423 of the Code, then (a) such provision shall be deemed to be amended to accomplish the objectives of the provision as originally written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fullest extent permitted by law and (b) all other provisions of the Plan and Offering shall remain in full force and effect.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 * * *</w:t>
      </w:r>
    </w:p>
    <w:p>
      <w:pPr>
        <w:sectPr>
          <w:pgSz w:w="11900" w:h="16838" w:orient="portrait"/>
          <w:cols w:equalWidth="0" w:num="1">
            <w:col w:w="10400"/>
          </w:cols>
          <w:pgMar w:left="740" w:top="264" w:right="759" w:bottom="1440" w:gutter="0" w:footer="0" w:header="0"/>
        </w:sectPr>
      </w:pPr>
    </w:p>
    <w:bookmarkStart w:id="418" w:name="page419"/>
    <w:bookmarkEnd w:id="418"/>
    <w:p>
      <w:pPr>
        <w:jc w:val="right"/>
        <w:spacing w:after="0"/>
        <w:rPr>
          <w:sz w:val="20"/>
          <w:szCs w:val="20"/>
          <w:color w:val="auto"/>
        </w:rPr>
      </w:pPr>
      <w:r>
        <w:rPr>
          <w:rFonts w:ascii="Times New Roman" w:cs="Times New Roman" w:eastAsia="Times New Roman" w:hAnsi="Times New Roman"/>
          <w:sz w:val="17"/>
          <w:szCs w:val="17"/>
          <w:b w:val="1"/>
          <w:bCs w:val="1"/>
          <w:color w:val="auto"/>
        </w:rPr>
        <w:t>Exhibit 10.4</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4"/>
          <w:szCs w:val="14"/>
          <w:b w:val="1"/>
          <w:bCs w:val="1"/>
          <w:color w:val="auto"/>
        </w:rPr>
        <w:t>OUNDLESS</w:t>
      </w:r>
      <w:r>
        <w:rPr>
          <w:rFonts w:ascii="Times New Roman" w:cs="Times New Roman" w:eastAsia="Times New Roman" w:hAnsi="Times New Roman"/>
          <w:sz w:val="17"/>
          <w:szCs w:val="17"/>
          <w:b w:val="1"/>
          <w:bCs w:val="1"/>
          <w:color w:val="auto"/>
        </w:rPr>
        <w:t xml:space="preserve"> B</w:t>
      </w:r>
      <w:r>
        <w:rPr>
          <w:rFonts w:ascii="Times New Roman" w:cs="Times New Roman" w:eastAsia="Times New Roman" w:hAnsi="Times New Roman"/>
          <w:sz w:val="14"/>
          <w:szCs w:val="14"/>
          <w:b w:val="1"/>
          <w:bCs w:val="1"/>
          <w:color w:val="auto"/>
        </w:rPr>
        <w:t>IO</w:t>
      </w:r>
      <w:r>
        <w:rPr>
          <w:rFonts w:ascii="Times New Roman" w:cs="Times New Roman" w:eastAsia="Times New Roman" w:hAnsi="Times New Roman"/>
          <w:sz w:val="17"/>
          <w:szCs w:val="17"/>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7"/>
          <w:szCs w:val="17"/>
          <w:b w:val="1"/>
          <w:bCs w:val="1"/>
          <w:color w:val="auto"/>
        </w:rPr>
        <w:t>.</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4"/>
          <w:szCs w:val="14"/>
          <w:b w:val="1"/>
          <w:bCs w:val="1"/>
          <w:color w:val="auto"/>
        </w:rPr>
        <w:t>IRECTOR</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4"/>
          <w:szCs w:val="14"/>
          <w:b w:val="1"/>
          <w:bCs w:val="1"/>
          <w:color w:val="auto"/>
        </w:rPr>
        <w:t>ROGRAM</w:t>
      </w:r>
    </w:p>
    <w:p>
      <w:pPr>
        <w:spacing w:after="0" w:line="211" w:lineRule="exact"/>
        <w:rPr>
          <w:sz w:val="20"/>
          <w:szCs w:val="20"/>
          <w:color w:val="auto"/>
        </w:rPr>
      </w:pPr>
    </w:p>
    <w:p>
      <w:pPr>
        <w:ind w:right="20" w:firstLine="417"/>
        <w:spacing w:after="0" w:line="254" w:lineRule="auto"/>
        <w:rPr>
          <w:sz w:val="20"/>
          <w:szCs w:val="20"/>
          <w:color w:val="auto"/>
        </w:rPr>
      </w:pPr>
      <w:r>
        <w:rPr>
          <w:rFonts w:ascii="Times New Roman" w:cs="Times New Roman" w:eastAsia="Times New Roman" w:hAnsi="Times New Roman"/>
          <w:sz w:val="17"/>
          <w:szCs w:val="17"/>
          <w:color w:val="auto"/>
        </w:rPr>
        <w:t>Non-employee members of the board of directors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of Boundless Bio,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shall receive cash and equity compensation as set forth in this Non-Employee Director Compensation Program (this “</w:t>
      </w:r>
      <w:r>
        <w:rPr>
          <w:rFonts w:ascii="Times New Roman" w:cs="Times New Roman" w:eastAsia="Times New Roman" w:hAnsi="Times New Roman"/>
          <w:sz w:val="17"/>
          <w:szCs w:val="17"/>
          <w:b w:val="1"/>
          <w:bCs w:val="1"/>
          <w:i w:val="1"/>
          <w:iCs w:val="1"/>
          <w:color w:val="auto"/>
        </w:rPr>
        <w:t>Program</w:t>
      </w:r>
      <w:r>
        <w:rPr>
          <w:rFonts w:ascii="Times New Roman" w:cs="Times New Roman" w:eastAsia="Times New Roman" w:hAnsi="Times New Roman"/>
          <w:sz w:val="17"/>
          <w:szCs w:val="17"/>
          <w:color w:val="auto"/>
        </w:rPr>
        <w:t>”).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Times New Roman" w:cs="Times New Roman" w:eastAsia="Times New Roman" w:hAnsi="Times New Roman"/>
          <w:sz w:val="17"/>
          <w:szCs w:val="17"/>
          <w:b w:val="1"/>
          <w:bCs w:val="1"/>
          <w:i w:val="1"/>
          <w:iCs w:val="1"/>
          <w:color w:val="auto"/>
        </w:rPr>
        <w:t>Non-Employee Director</w:t>
      </w:r>
      <w:r>
        <w:rPr>
          <w:rFonts w:ascii="Times New Roman" w:cs="Times New Roman" w:eastAsia="Times New Roman" w:hAnsi="Times New Roman"/>
          <w:sz w:val="17"/>
          <w:szCs w:val="17"/>
          <w:color w:val="auto"/>
        </w:rPr>
        <w:t>”) who is entitled to receive such cash or equity compensation, unless such Non-Employee Director declines the receipt of such cash or equity compensation by written notice to the Company and subject to any limits on non-employee director compensation set forth in the Equity Plan (as defined below).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except for equity compensation previously granted to a Non-Employee Director. This Program shall become effective on the date of the effectiveness of the Company’s Registration Statement on Form S-1 relating to the initial public offering of the Company’s common stock (the “</w:t>
      </w:r>
      <w:r>
        <w:rPr>
          <w:rFonts w:ascii="Times New Roman" w:cs="Times New Roman" w:eastAsia="Times New Roman" w:hAnsi="Times New Roman"/>
          <w:sz w:val="17"/>
          <w:szCs w:val="17"/>
          <w:b w:val="1"/>
          <w:bCs w:val="1"/>
          <w:i w:val="1"/>
          <w:iCs w:val="1"/>
          <w:color w:val="auto"/>
        </w:rPr>
        <w:t>Effective Date</w:t>
      </w:r>
      <w:r>
        <w:rPr>
          <w:rFonts w:ascii="Times New Roman" w:cs="Times New Roman" w:eastAsia="Times New Roman" w:hAnsi="Times New Roman"/>
          <w:sz w:val="17"/>
          <w:szCs w:val="17"/>
          <w:color w:val="auto"/>
        </w:rPr>
        <w: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4"/>
          <w:szCs w:val="14"/>
          <w:b w:val="1"/>
          <w:bCs w:val="1"/>
          <w:color w:val="auto"/>
        </w:rPr>
        <w:t>ASH</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109" w:lineRule="exact"/>
        <w:rPr>
          <w:sz w:val="20"/>
          <w:szCs w:val="20"/>
          <w:color w:val="auto"/>
        </w:rPr>
      </w:pPr>
    </w:p>
    <w:tbl>
      <w:tblPr>
        <w:tblLayout w:type="fixed"/>
        <w:tblInd w:w="400" w:type="dxa"/>
        <w:tblCellMar>
          <w:top w:w="0" w:type="dxa"/>
          <w:left w:w="0" w:type="dxa"/>
          <w:bottom w:w="0" w:type="dxa"/>
          <w:right w:w="0" w:type="dxa"/>
        </w:tblCellMar>
      </w:tblPr>
      <w:tr>
        <w:trPr>
          <w:trHeight w:val="228"/>
        </w:trPr>
        <w:tc>
          <w:tcPr>
            <w:tcW w:w="7700" w:type="dxa"/>
            <w:vAlign w:val="bottom"/>
            <w:gridSpan w:val="3"/>
          </w:tcPr>
          <w:p>
            <w:pPr>
              <w:jc w:val="right"/>
              <w:ind w:right="480"/>
              <w:spacing w:after="0"/>
              <w:rPr>
                <w:sz w:val="20"/>
                <w:szCs w:val="20"/>
                <w:color w:val="auto"/>
              </w:rPr>
            </w:pPr>
            <w:r>
              <w:rPr>
                <w:rFonts w:ascii="Times New Roman" w:cs="Times New Roman" w:eastAsia="Times New Roman" w:hAnsi="Times New Roman"/>
                <w:sz w:val="17"/>
                <w:szCs w:val="17"/>
                <w:color w:val="auto"/>
              </w:rPr>
              <w:t>The schedule of annual retainers (the “</w:t>
            </w:r>
            <w:r>
              <w:rPr>
                <w:rFonts w:ascii="Times New Roman" w:cs="Times New Roman" w:eastAsia="Times New Roman" w:hAnsi="Times New Roman"/>
                <w:sz w:val="17"/>
                <w:szCs w:val="17"/>
                <w:b w:val="1"/>
                <w:bCs w:val="1"/>
                <w:i w:val="1"/>
                <w:iCs w:val="1"/>
                <w:color w:val="auto"/>
              </w:rPr>
              <w:t>Annual Retainers</w:t>
            </w:r>
            <w:r>
              <w:rPr>
                <w:rFonts w:ascii="Times New Roman" w:cs="Times New Roman" w:eastAsia="Times New Roman" w:hAnsi="Times New Roman"/>
                <w:sz w:val="17"/>
                <w:szCs w:val="17"/>
                <w:color w:val="auto"/>
              </w:rPr>
              <w:t>”) for the Non-Employee Directors is as follows:</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54"/>
        </w:trPr>
        <w:tc>
          <w:tcPr>
            <w:tcW w:w="1260" w:type="dxa"/>
            <w:vAlign w:val="bottom"/>
          </w:tcPr>
          <w:p>
            <w:pPr>
              <w:spacing w:after="0"/>
              <w:rPr>
                <w:sz w:val="24"/>
                <w:szCs w:val="2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8"/>
              </w:rPr>
              <w:t>Position</w:t>
            </w:r>
          </w:p>
        </w:tc>
        <w:tc>
          <w:tcPr>
            <w:tcW w:w="584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Amount</w:t>
            </w:r>
          </w:p>
        </w:tc>
      </w:tr>
      <w:tr>
        <w:trPr>
          <w:trHeight w:val="190"/>
        </w:trPr>
        <w:tc>
          <w:tcPr>
            <w:tcW w:w="1260" w:type="dxa"/>
            <w:vAlign w:val="bottom"/>
          </w:tcPr>
          <w:p>
            <w:pPr>
              <w:spacing w:after="0"/>
              <w:rPr>
                <w:sz w:val="16"/>
                <w:szCs w:val="16"/>
                <w:color w:val="auto"/>
              </w:rPr>
            </w:pPr>
          </w:p>
        </w:tc>
        <w:tc>
          <w:tcPr>
            <w:tcW w:w="6440" w:type="dxa"/>
            <w:vAlign w:val="bottom"/>
            <w:tcBorders>
              <w:top w:val="single" w:sz="8" w:color="CCEEFF"/>
            </w:tcBorders>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Base Board Retainer</w:t>
            </w:r>
          </w:p>
        </w:tc>
        <w:tc>
          <w:tcPr>
            <w:tcW w:w="100" w:type="dxa"/>
            <w:vAlign w:val="bottom"/>
            <w:tcBorders>
              <w:top w:val="single" w:sz="8" w:color="auto"/>
            </w:tcBorders>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40,000</w:t>
            </w:r>
          </w:p>
        </w:tc>
        <w:tc>
          <w:tcPr>
            <w:tcW w:w="40" w:type="dxa"/>
            <w:vAlign w:val="bottom"/>
            <w:tcBorders>
              <w:top w:val="single" w:sz="8" w:color="CCEEFF"/>
            </w:tcBorders>
            <w:shd w:val="clear" w:color="auto" w:fill="CCEEFF"/>
          </w:tcPr>
          <w:p>
            <w:pPr>
              <w:spacing w:after="0"/>
              <w:rPr>
                <w:sz w:val="16"/>
                <w:szCs w:val="16"/>
                <w:color w:val="auto"/>
              </w:rPr>
            </w:pPr>
          </w:p>
        </w:tc>
      </w:tr>
      <w:tr>
        <w:trPr>
          <w:trHeight w:val="204"/>
        </w:trPr>
        <w:tc>
          <w:tcPr>
            <w:tcW w:w="1260" w:type="dxa"/>
            <w:vAlign w:val="bottom"/>
          </w:tcPr>
          <w:p>
            <w:pPr>
              <w:spacing w:after="0"/>
              <w:rPr>
                <w:sz w:val="17"/>
                <w:szCs w:val="17"/>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Chair of the Board or Lead Independent Director (in lieu of Base Board Retainer)</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70,000</w:t>
            </w:r>
          </w:p>
        </w:tc>
      </w:tr>
      <w:tr>
        <w:trPr>
          <w:trHeight w:val="204"/>
        </w:trPr>
        <w:tc>
          <w:tcPr>
            <w:tcW w:w="1260" w:type="dxa"/>
            <w:vAlign w:val="bottom"/>
          </w:tcPr>
          <w:p>
            <w:pPr>
              <w:spacing w:after="0"/>
              <w:rPr>
                <w:sz w:val="17"/>
                <w:szCs w:val="17"/>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Chair of Audit Committee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15,000</w:t>
            </w:r>
          </w:p>
        </w:tc>
      </w:tr>
      <w:tr>
        <w:trPr>
          <w:trHeight w:val="204"/>
        </w:trPr>
        <w:tc>
          <w:tcPr>
            <w:tcW w:w="1260" w:type="dxa"/>
            <w:vAlign w:val="bottom"/>
          </w:tcPr>
          <w:p>
            <w:pPr>
              <w:spacing w:after="0"/>
              <w:rPr>
                <w:sz w:val="17"/>
                <w:szCs w:val="17"/>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Chair of Compensation Committee</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10,000</w:t>
            </w:r>
          </w:p>
        </w:tc>
      </w:tr>
      <w:tr>
        <w:trPr>
          <w:trHeight w:val="204"/>
        </w:trPr>
        <w:tc>
          <w:tcPr>
            <w:tcW w:w="1260" w:type="dxa"/>
            <w:vAlign w:val="bottom"/>
          </w:tcPr>
          <w:p>
            <w:pPr>
              <w:spacing w:after="0"/>
              <w:rPr>
                <w:sz w:val="17"/>
                <w:szCs w:val="17"/>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Chair of Nominating and Corporate Governance Committee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8,000</w:t>
            </w:r>
          </w:p>
        </w:tc>
      </w:tr>
      <w:tr>
        <w:trPr>
          <w:trHeight w:val="204"/>
        </w:trPr>
        <w:tc>
          <w:tcPr>
            <w:tcW w:w="1260" w:type="dxa"/>
            <w:vAlign w:val="bottom"/>
          </w:tcPr>
          <w:p>
            <w:pPr>
              <w:spacing w:after="0"/>
              <w:rPr>
                <w:sz w:val="17"/>
                <w:szCs w:val="17"/>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Member of Audit Committee (non-Chair)</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7,500</w:t>
            </w:r>
          </w:p>
        </w:tc>
      </w:tr>
      <w:tr>
        <w:trPr>
          <w:trHeight w:val="204"/>
        </w:trPr>
        <w:tc>
          <w:tcPr>
            <w:tcW w:w="1260" w:type="dxa"/>
            <w:vAlign w:val="bottom"/>
          </w:tcPr>
          <w:p>
            <w:pPr>
              <w:spacing w:after="0"/>
              <w:rPr>
                <w:sz w:val="17"/>
                <w:szCs w:val="17"/>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Member of Compensation Committee (non-Chair)</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5,000</w:t>
            </w:r>
          </w:p>
        </w:tc>
      </w:tr>
      <w:tr>
        <w:trPr>
          <w:trHeight w:val="222"/>
        </w:trPr>
        <w:tc>
          <w:tcPr>
            <w:tcW w:w="126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Member of Nominating and Corporate Governance Committee (non-Chair)</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4,000</w:t>
            </w:r>
          </w:p>
        </w:tc>
      </w:tr>
      <w:tr>
        <w:trPr>
          <w:trHeight w:val="329"/>
        </w:trPr>
        <w:tc>
          <w:tcPr>
            <w:tcW w:w="7700" w:type="dxa"/>
            <w:vAlign w:val="bottom"/>
            <w:gridSpan w:val="3"/>
          </w:tcPr>
          <w:p>
            <w:pPr>
              <w:jc w:val="right"/>
              <w:ind w:right="286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420"/>
          </w:cols>
          <w:pgMar w:left="740" w:top="119" w:right="739" w:bottom="1440" w:gutter="0" w:footer="0" w:header="0"/>
        </w:sectPr>
      </w:pPr>
    </w:p>
    <w:bookmarkStart w:id="419" w:name="page420"/>
    <w:bookmarkEnd w:id="419"/>
    <w:p>
      <w:pPr>
        <w:ind w:right="20" w:firstLine="417"/>
        <w:spacing w:after="0" w:line="25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For the avoidance of doubt, the Annual Retainers in the table above are additive and a Non-Employee Director shall be eligible to earn an Annual Retainer for each position in which he or she serves; provided that a retainer paid to the Chair of the Board or the Lead Independent Director shall be in lieu of the Base Board Retainer. The Annual Retainers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 for an entire calendar quarter, the Annual Retainer paid to such Non-Employee Director shall be prorated for the portion of such calendar quarter actually served as a Non-Employee Director, or in such position, as applicable. The Board may adopt a program that allows Non-Employee Directors to defer Annual Retainers.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115" w:lineRule="exact"/>
        <w:rPr>
          <w:sz w:val="20"/>
          <w:szCs w:val="20"/>
          <w:color w:val="auto"/>
        </w:rPr>
      </w:pPr>
    </w:p>
    <w:p>
      <w:pPr>
        <w:ind w:right="160" w:firstLine="417"/>
        <w:spacing w:after="0" w:line="259" w:lineRule="auto"/>
        <w:rPr>
          <w:sz w:val="20"/>
          <w:szCs w:val="20"/>
          <w:color w:val="auto"/>
        </w:rPr>
      </w:pPr>
      <w:r>
        <w:rPr>
          <w:rFonts w:ascii="Times New Roman" w:cs="Times New Roman" w:eastAsia="Times New Roman" w:hAnsi="Times New Roman"/>
          <w:sz w:val="17"/>
          <w:szCs w:val="17"/>
          <w:color w:val="auto"/>
        </w:rPr>
        <w:t>Each Non-Employee Director shall be granted the equity awards described below, which equity awards shall be granted under and subject to the terms and provisions of the Company’s 2024 Incentive Award Plan or any other applicable Company equity incentive plan then-maintained by the Company (the “</w:t>
      </w:r>
      <w:r>
        <w:rPr>
          <w:rFonts w:ascii="Times New Roman" w:cs="Times New Roman" w:eastAsia="Times New Roman" w:hAnsi="Times New Roman"/>
          <w:sz w:val="17"/>
          <w:szCs w:val="17"/>
          <w:b w:val="1"/>
          <w:bCs w:val="1"/>
          <w:i w:val="1"/>
          <w:iCs w:val="1"/>
          <w:color w:val="auto"/>
        </w:rPr>
        <w:t>Equity Plan</w:t>
      </w:r>
      <w:r>
        <w:rPr>
          <w:rFonts w:ascii="Times New Roman" w:cs="Times New Roman" w:eastAsia="Times New Roman" w:hAnsi="Times New Roman"/>
          <w:sz w:val="17"/>
          <w:szCs w:val="17"/>
          <w:color w:val="auto"/>
        </w:rPr>
        <w:t>”), and shall be subject to an equity award agreement in substantially the form previously approved by the Board for use under the Equity Plan. All applicable terms of the Equity Plan apply to this Program as if fully set forth herein, and all grants of equity awards hereby are subject in all respects to the terms of the Equity Plan and the applicable equity award agreement.</w:t>
      </w:r>
    </w:p>
    <w:p>
      <w:pPr>
        <w:spacing w:after="0" w:line="70" w:lineRule="exact"/>
        <w:rPr>
          <w:sz w:val="20"/>
          <w:szCs w:val="20"/>
          <w:color w:val="auto"/>
        </w:rPr>
      </w:pPr>
    </w:p>
    <w:p>
      <w:pPr>
        <w:ind w:right="20" w:firstLine="417"/>
        <w:spacing w:after="0" w:line="267"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Initial Awards</w:t>
      </w:r>
      <w:r>
        <w:rPr>
          <w:rFonts w:ascii="Times New Roman" w:cs="Times New Roman" w:eastAsia="Times New Roman" w:hAnsi="Times New Roman"/>
          <w:sz w:val="17"/>
          <w:szCs w:val="17"/>
          <w:color w:val="auto"/>
        </w:rPr>
        <w:t>. Each Non-Employee Director who is initially elected or appointed to the Board following the Effective Date shall be automatically granted stock options to purchase 27,000 shares of the Company’s common stock under the Equity Plan on the date of such initial election or appointment. The awards described in this Section shall be referred to as “</w:t>
      </w:r>
      <w:r>
        <w:rPr>
          <w:rFonts w:ascii="Times New Roman" w:cs="Times New Roman" w:eastAsia="Times New Roman" w:hAnsi="Times New Roman"/>
          <w:sz w:val="17"/>
          <w:szCs w:val="17"/>
          <w:b w:val="1"/>
          <w:bCs w:val="1"/>
          <w:i w:val="1"/>
          <w:iCs w:val="1"/>
          <w:color w:val="auto"/>
        </w:rPr>
        <w:t>Initial Awards</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ind w:firstLine="417"/>
        <w:spacing w:after="0" w:line="255"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u w:val="single" w:color="auto"/>
          <w:color w:val="auto"/>
        </w:rPr>
        <w:t>Annual Awards</w:t>
      </w:r>
      <w:r>
        <w:rPr>
          <w:rFonts w:ascii="Times New Roman" w:cs="Times New Roman" w:eastAsia="Times New Roman" w:hAnsi="Times New Roman"/>
          <w:sz w:val="17"/>
          <w:szCs w:val="17"/>
          <w:color w:val="auto"/>
        </w:rPr>
        <w:t>. A Non-Employee Director who (i) is serving on the Board as of the date of any annual meeting of the Company’s stockholders following the Effective Date, and (ii) will continue to serve as a Non-Employee Director immediately following such meeting, shall be automatically granted stock options to purchase 13,500 shares of the Company’s common stock under the Equity Plan on the date of such annual meeting. The awards described in this Section shall be referred to as “</w:t>
      </w:r>
      <w:r>
        <w:rPr>
          <w:rFonts w:ascii="Times New Roman" w:cs="Times New Roman" w:eastAsia="Times New Roman" w:hAnsi="Times New Roman"/>
          <w:sz w:val="17"/>
          <w:szCs w:val="17"/>
          <w:b w:val="1"/>
          <w:bCs w:val="1"/>
          <w:i w:val="1"/>
          <w:iCs w:val="1"/>
          <w:color w:val="auto"/>
        </w:rPr>
        <w:t>Annual Awards</w:t>
      </w:r>
      <w:r>
        <w:rPr>
          <w:rFonts w:ascii="Times New Roman" w:cs="Times New Roman" w:eastAsia="Times New Roman" w:hAnsi="Times New Roman"/>
          <w:sz w:val="17"/>
          <w:szCs w:val="17"/>
          <w:color w:val="auto"/>
        </w:rPr>
        <w:t>.” For the avoidance of doubt, a Non-Employee Director elected for the first time to the Board at an annual meeting of the Company’s stockholders shall only receive an Initial Award in connection with such election, and shall not receive any Annual Award on the date of such meeting as well. In addition, in the event of an adjournment or postponement of any annual meeting following the time such meeting commences, the date of the annual meeting for purposes of this clause (B) shall be the date on which the business to be conducted at the annual meeting is concluded.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400"/>
          </w:cols>
          <w:pgMar w:left="740" w:top="264" w:right="759" w:bottom="1440" w:gutter="0" w:footer="0" w:header="0"/>
        </w:sectPr>
      </w:pPr>
    </w:p>
    <w:bookmarkStart w:id="420" w:name="page421"/>
    <w:bookmarkEnd w:id="420"/>
    <w:p>
      <w:pPr>
        <w:ind w:right="40" w:firstLine="417"/>
        <w:spacing w:after="0" w:line="25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Notwithstanding the foregoing, a Non-Employee Director shall have served as a Non-Employee Director for at least (6) months as of the date of any annual meeting to receive an Annual Award, unless otherwise determined by the Board; in which case, the Board may determine to grant such Non-Employee Director an Annual Award or a Prorated Annual Award (as defined below). “</w:t>
      </w:r>
      <w:r>
        <w:rPr>
          <w:rFonts w:ascii="Times New Roman" w:cs="Times New Roman" w:eastAsia="Times New Roman" w:hAnsi="Times New Roman"/>
          <w:sz w:val="17"/>
          <w:szCs w:val="17"/>
          <w:b w:val="1"/>
          <w:bCs w:val="1"/>
          <w:i w:val="1"/>
          <w:iCs w:val="1"/>
          <w:color w:val="auto"/>
        </w:rPr>
        <w:t>Prorated Annual Award</w:t>
      </w:r>
      <w:r>
        <w:rPr>
          <w:rFonts w:ascii="Times New Roman" w:cs="Times New Roman" w:eastAsia="Times New Roman" w:hAnsi="Times New Roman"/>
          <w:sz w:val="17"/>
          <w:szCs w:val="17"/>
          <w:color w:val="auto"/>
        </w:rPr>
        <w:t>” means the product determined by multiplying (i) the Annual Award, by (ii) a fraction, the numerator of which is equal to (x) 365 minus (y) the number of days that elapsed from the date of the annual meeting of the Company’s stockholders preceding the Non-Employee Director’s date of initial election or appointment to the date of such initial election or appointment, and the denominator of which is 365.</w:t>
      </w:r>
    </w:p>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u w:val="single" w:color="auto"/>
          <w:color w:val="auto"/>
        </w:rPr>
        <w:t>Terms of Awards Granted to Non-Employee Directors</w:t>
      </w:r>
      <w:r>
        <w:rPr>
          <w:rFonts w:ascii="Times New Roman" w:cs="Times New Roman" w:eastAsia="Times New Roman" w:hAnsi="Times New Roman"/>
          <w:sz w:val="17"/>
          <w:szCs w:val="17"/>
          <w:color w:val="auto"/>
        </w:rPr>
        <w:t>.</w:t>
      </w:r>
    </w:p>
    <w:p>
      <w:pPr>
        <w:spacing w:after="0" w:line="107" w:lineRule="exact"/>
        <w:rPr>
          <w:sz w:val="20"/>
          <w:szCs w:val="20"/>
          <w:color w:val="auto"/>
        </w:rPr>
      </w:pPr>
    </w:p>
    <w:p>
      <w:pPr>
        <w:ind w:firstLine="929"/>
        <w:spacing w:after="0" w:line="257" w:lineRule="auto"/>
        <w:tabs>
          <w:tab w:leader="none" w:pos="1109"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Vesting</w:t>
      </w:r>
      <w:r>
        <w:rPr>
          <w:rFonts w:ascii="Times New Roman" w:cs="Times New Roman" w:eastAsia="Times New Roman" w:hAnsi="Times New Roman"/>
          <w:sz w:val="17"/>
          <w:szCs w:val="17"/>
          <w:color w:val="auto"/>
        </w:rPr>
        <w:t>. Each Initial Award shall vest and become exercisable in substantially equal monthly installments over the three (3) years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beginning on the date of the Non-Employee Director’s election or appointment to the Board, subject to the Non-Employee Director continuing in service on the Board through each such vesting date. Each Annual Award shall vest and/or become exercisable in substantially equal monthly installments over the twelve (12) months following the date of grant of such Annual Award (or, in the event the next annual meeting of the Company’s stockholders occurs prior to the first anniversary of the date of grant of such Annual Award, any remaining unvested portion of the Annual Award will vest on the date of such annual meeting of the Company’s stockholders), subject to the Non-Employee Director continuing in service on the Board through such vesting date.</w:t>
      </w:r>
    </w:p>
    <w:p>
      <w:pPr>
        <w:spacing w:after="0" w:line="67" w:lineRule="exact"/>
        <w:rPr>
          <w:rFonts w:ascii="Times New Roman" w:cs="Times New Roman" w:eastAsia="Times New Roman" w:hAnsi="Times New Roman"/>
          <w:sz w:val="17"/>
          <w:szCs w:val="17"/>
          <w:color w:val="auto"/>
        </w:rPr>
      </w:pPr>
    </w:p>
    <w:p>
      <w:pPr>
        <w:ind w:right="60" w:firstLine="929"/>
        <w:spacing w:after="0" w:line="260" w:lineRule="auto"/>
        <w:tabs>
          <w:tab w:leader="none" w:pos="1109"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Forfeiture. </w:t>
      </w:r>
      <w:r>
        <w:rPr>
          <w:rFonts w:ascii="Times New Roman" w:cs="Times New Roman" w:eastAsia="Times New Roman" w:hAnsi="Times New Roman"/>
          <w:sz w:val="17"/>
          <w:szCs w:val="17"/>
          <w:color w:val="auto"/>
        </w:rPr>
        <w:t>Unless the Board otherwise determines or as otherwise provided in this clause (2), any portion of an Initial Award or Annual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Award which is unvested at the time of a Non-Employee Director’s termination of service on the Board as a Non-Employee Director shall be immediately forfeited upon such termination of service and shall not thereafter become vested. All of a Non-Employee Director’s Initial Awards and Annual Awards shall vest in full upon a Non-Employee Director’s Termination of Service by reason of death or Disability and immediately prior to the occurrence of a Change in Control (as defined in the Equity Plan), to the extent outstanding at such time.</w:t>
      </w:r>
    </w:p>
    <w:p>
      <w:pPr>
        <w:spacing w:after="0" w:line="65" w:lineRule="exact"/>
        <w:rPr>
          <w:rFonts w:ascii="Times New Roman" w:cs="Times New Roman" w:eastAsia="Times New Roman" w:hAnsi="Times New Roman"/>
          <w:sz w:val="17"/>
          <w:szCs w:val="17"/>
          <w:color w:val="auto"/>
        </w:rPr>
      </w:pPr>
    </w:p>
    <w:p>
      <w:pPr>
        <w:ind w:right="140" w:firstLine="929"/>
        <w:spacing w:after="0" w:line="269" w:lineRule="auto"/>
        <w:tabs>
          <w:tab w:leader="none" w:pos="1109"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Reimbursements</w:t>
      </w:r>
      <w:r>
        <w:rPr>
          <w:rFonts w:ascii="Times New Roman" w:cs="Times New Roman" w:eastAsia="Times New Roman" w:hAnsi="Times New Roman"/>
          <w:sz w:val="17"/>
          <w:szCs w:val="17"/>
          <w:color w:val="auto"/>
        </w:rPr>
        <w:t>. The Company shall reimburse each Non-Employee Director for all reasonable, documented, out-of-pocket travel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business expenses incurred by such Non-Employee Director in the performance of his or her duties to the Company in accordance with the Company’s applicable expense reimbursement policies and procedures as in effect from time to time.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420"/>
          </w:cols>
          <w:pgMar w:left="740" w:top="263" w:right="739" w:bottom="1440" w:gutter="0" w:footer="0" w:header="0"/>
        </w:sectPr>
      </w:pPr>
    </w:p>
    <w:bookmarkStart w:id="421" w:name="page422"/>
    <w:bookmarkEnd w:id="421"/>
    <w:p>
      <w:pPr>
        <w:jc w:val="right"/>
        <w:spacing w:after="0"/>
        <w:rPr>
          <w:sz w:val="20"/>
          <w:szCs w:val="20"/>
          <w:color w:val="auto"/>
        </w:rPr>
      </w:pPr>
      <w:r>
        <w:rPr>
          <w:rFonts w:ascii="Times New Roman" w:cs="Times New Roman" w:eastAsia="Times New Roman" w:hAnsi="Times New Roman"/>
          <w:sz w:val="17"/>
          <w:szCs w:val="17"/>
          <w:b w:val="1"/>
          <w:bCs w:val="1"/>
          <w:color w:val="auto"/>
        </w:rPr>
        <w:t>Exhibit 10.19</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INDEMNIFICATION AND ADVANCEMENT AGREEMENT</w:t>
      </w:r>
    </w:p>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This Indemnification and Advancement Agreement (“Agreement”) is made as of ________ __, 20__ by and between Boundless Bio, Inc. 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 corporation (the “Company”), and ______________, [a member of the Board of Directors/an officer/an employee/an agent] of the Company</w:t>
      </w:r>
    </w:p>
    <w:p>
      <w:pPr>
        <w:spacing w:after="0" w:line="9" w:lineRule="exact"/>
        <w:rPr>
          <w:sz w:val="20"/>
          <w:szCs w:val="20"/>
          <w:color w:val="auto"/>
        </w:rPr>
      </w:pPr>
    </w:p>
    <w:p>
      <w:pPr>
        <w:ind w:right="960"/>
        <w:spacing w:after="0" w:line="261" w:lineRule="auto"/>
        <w:rPr>
          <w:sz w:val="20"/>
          <w:szCs w:val="20"/>
          <w:color w:val="auto"/>
        </w:rPr>
      </w:pPr>
      <w:r>
        <w:rPr>
          <w:rFonts w:ascii="Times New Roman" w:cs="Times New Roman" w:eastAsia="Times New Roman" w:hAnsi="Times New Roman"/>
          <w:sz w:val="17"/>
          <w:szCs w:val="17"/>
          <w:color w:val="auto"/>
        </w:rPr>
        <w:t>(“Indemnitee”). This Agreement supersedes and replaces any and all previous Agreements between the Company and Indemnitee covering indemnification and advancement of expenses.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217" w:lineRule="exact"/>
        <w:rPr>
          <w:sz w:val="20"/>
          <w:szCs w:val="20"/>
          <w:color w:val="auto"/>
        </w:rPr>
      </w:pPr>
    </w:p>
    <w:p>
      <w:pPr>
        <w:jc w:val="both"/>
        <w:ind w:right="100" w:firstLine="417"/>
        <w:spacing w:after="0" w:line="261" w:lineRule="auto"/>
        <w:rPr>
          <w:sz w:val="20"/>
          <w:szCs w:val="20"/>
          <w:color w:val="auto"/>
        </w:rPr>
      </w:pPr>
      <w:r>
        <w:rPr>
          <w:rFonts w:ascii="Times New Roman" w:cs="Times New Roman" w:eastAsia="Times New Roman" w:hAnsi="Times New Roman"/>
          <w:sz w:val="17"/>
          <w:szCs w:val="17"/>
          <w:color w:val="auto"/>
        </w:rPr>
        <w:t>WHEREAS, the Board of Directors of the Company (the “Board”) believes that highly competent persons have become more reluctant to serve publicly-held corporations as directors, officers, or in other capacities unless they are provided with adequate protection through insurance or adequate indemnification and advancement of expenses against inordinate risks of claims and actions against them arising out of their service to and activities on behalf of the corporation;</w:t>
      </w:r>
    </w:p>
    <w:p>
      <w:pPr>
        <w:spacing w:after="0" w:line="172" w:lineRule="exact"/>
        <w:rPr>
          <w:sz w:val="20"/>
          <w:szCs w:val="20"/>
          <w:color w:val="auto"/>
        </w:rPr>
      </w:pPr>
    </w:p>
    <w:p>
      <w:pPr>
        <w:ind w:firstLine="417"/>
        <w:spacing w:after="0" w:line="253" w:lineRule="auto"/>
        <w:rPr>
          <w:sz w:val="20"/>
          <w:szCs w:val="20"/>
          <w:color w:val="auto"/>
        </w:rPr>
      </w:pPr>
      <w:r>
        <w:rPr>
          <w:rFonts w:ascii="Times New Roman" w:cs="Times New Roman" w:eastAsia="Times New Roman" w:hAnsi="Times New Roman"/>
          <w:sz w:val="17"/>
          <w:szCs w:val="17"/>
          <w:color w:val="auto"/>
        </w:rPr>
        <w:t>WHEREAS, the Board has determined that,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Amended and Restated Bylaws of the Company (the “Bylaws”) and the Amended and Restated Certificate of Incorporation of the Company (the “Certificate of Incorporation”) require indemnification of the officers and directors of the Company. Indemnitee may also be entitled to indemnification pursuant to the General Corporation Law of the State of Delaware (the “DGCL”). The Bylaws, the Certificate of Incorporation, and the DGCL expressly provide that the indemnification provisions set forth therein are not exclusive, and thereby contemplate that contracts may be entered into between the Company and its directors, officers, and other persons with respect to indemnification and advancement of expenses;</w:t>
      </w:r>
    </w:p>
    <w:p>
      <w:pPr>
        <w:spacing w:after="0" w:line="185" w:lineRule="exact"/>
        <w:rPr>
          <w:sz w:val="20"/>
          <w:szCs w:val="20"/>
          <w:color w:val="auto"/>
        </w:rPr>
      </w:pPr>
    </w:p>
    <w:p>
      <w:pPr>
        <w:ind w:right="520" w:firstLine="417"/>
        <w:spacing w:after="0" w:line="283" w:lineRule="auto"/>
        <w:rPr>
          <w:sz w:val="20"/>
          <w:szCs w:val="20"/>
          <w:color w:val="auto"/>
        </w:rPr>
      </w:pPr>
      <w:r>
        <w:rPr>
          <w:rFonts w:ascii="Times New Roman" w:cs="Times New Roman" w:eastAsia="Times New Roman" w:hAnsi="Times New Roman"/>
          <w:sz w:val="17"/>
          <w:szCs w:val="17"/>
          <w:color w:val="auto"/>
        </w:rPr>
        <w:t>WHEREAS, the uncertainties relating to such insurance, to indemnification, and to advancement of expenses may increase the difficulty of attracting and retaining such persons;</w:t>
      </w:r>
    </w:p>
    <w:p>
      <w:pPr>
        <w:spacing w:after="0" w:line="152" w:lineRule="exact"/>
        <w:rPr>
          <w:sz w:val="20"/>
          <w:szCs w:val="20"/>
          <w:color w:val="auto"/>
        </w:rPr>
      </w:pPr>
    </w:p>
    <w:p>
      <w:pPr>
        <w:ind w:right="60" w:firstLine="417"/>
        <w:spacing w:after="0" w:line="267" w:lineRule="auto"/>
        <w:rPr>
          <w:sz w:val="20"/>
          <w:szCs w:val="20"/>
          <w:color w:val="auto"/>
        </w:rPr>
      </w:pPr>
      <w:r>
        <w:rPr>
          <w:rFonts w:ascii="Times New Roman" w:cs="Times New Roman" w:eastAsia="Times New Roman" w:hAnsi="Times New Roman"/>
          <w:sz w:val="17"/>
          <w:szCs w:val="17"/>
          <w:color w:val="auto"/>
        </w:rPr>
        <w:t>WHEREAS, the Board has determined that the increased difficulty in attracting and retaining such persons is detrimental to the best interests of the Company and its stockholders and that the Company should act to assure such persons that there will be increased certainty of such protection in the future;</w:t>
      </w:r>
    </w:p>
    <w:p>
      <w:pPr>
        <w:sectPr>
          <w:pgSz w:w="11900" w:h="16838" w:orient="portrait"/>
          <w:cols w:equalWidth="0" w:num="1">
            <w:col w:w="10420"/>
          </w:cols>
          <w:pgMar w:left="740" w:top="119" w:right="739" w:bottom="1440" w:gutter="0" w:footer="0" w:header="0"/>
        </w:sectPr>
      </w:pPr>
    </w:p>
    <w:bookmarkStart w:id="422" w:name="page423"/>
    <w:bookmarkEnd w:id="422"/>
    <w:p>
      <w:pPr>
        <w:ind w:right="320" w:firstLine="417"/>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WHEREAS,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spacing w:after="0" w:line="165" w:lineRule="exact"/>
        <w:rPr>
          <w:sz w:val="20"/>
          <w:szCs w:val="20"/>
          <w:color w:val="auto"/>
        </w:rPr>
      </w:pPr>
    </w:p>
    <w:p>
      <w:pPr>
        <w:ind w:firstLine="417"/>
        <w:spacing w:after="0" w:line="267" w:lineRule="auto"/>
        <w:rPr>
          <w:sz w:val="20"/>
          <w:szCs w:val="20"/>
          <w:color w:val="auto"/>
        </w:rPr>
      </w:pPr>
      <w:r>
        <w:rPr>
          <w:rFonts w:ascii="Times New Roman" w:cs="Times New Roman" w:eastAsia="Times New Roman" w:hAnsi="Times New Roman"/>
          <w:sz w:val="17"/>
          <w:szCs w:val="17"/>
          <w:color w:val="auto"/>
        </w:rPr>
        <w:t>WHEREAS, this Agreement is a supplement to, and in furtherance of, the Bylaws, the Certificate of Incorporation and any resolutions adopted pursuant thereto, as well as any rights of Indemnitee under any directors’ and officers’ liability insurance policy, and is not a substitute therefor, and does not diminish or abrogate any rights of Indemnitee thereunder; and</w:t>
      </w:r>
    </w:p>
    <w:p>
      <w:pPr>
        <w:spacing w:after="0" w:line="165" w:lineRule="exact"/>
        <w:rPr>
          <w:sz w:val="20"/>
          <w:szCs w:val="20"/>
          <w:color w:val="auto"/>
        </w:rPr>
      </w:pPr>
    </w:p>
    <w:p>
      <w:pPr>
        <w:ind w:right="320" w:firstLine="417"/>
        <w:spacing w:after="0" w:line="259" w:lineRule="auto"/>
        <w:rPr>
          <w:sz w:val="20"/>
          <w:szCs w:val="20"/>
          <w:color w:val="auto"/>
        </w:rPr>
      </w:pPr>
      <w:r>
        <w:rPr>
          <w:rFonts w:ascii="Times New Roman" w:cs="Times New Roman" w:eastAsia="Times New Roman" w:hAnsi="Times New Roman"/>
          <w:sz w:val="17"/>
          <w:szCs w:val="17"/>
          <w:color w:val="auto"/>
        </w:rPr>
        <w:t>WHEREAS, Indemnitee does not regard the protection available under the Bylaws, the Certificate of Incorporation, DGCL and available insurance as adequate in the present circumstances, and may not be willing to serve or continue to serve as a/an [officer/directors/employee/agent] without adequate additional protection, and the Company desires Indemnitee to serve or continue to serve in such capacity. Indemnitee is willing to serve, continue to serve and to take on additional service for or on behalf of the Company on the condition that Indemnitee be so indemnified and be advanced expenses.</w:t>
      </w:r>
    </w:p>
    <w:p>
      <w:pPr>
        <w:spacing w:after="0" w:line="172" w:lineRule="exact"/>
        <w:rPr>
          <w:sz w:val="20"/>
          <w:szCs w:val="20"/>
          <w:color w:val="auto"/>
        </w:rPr>
      </w:pPr>
    </w:p>
    <w:p>
      <w:pPr>
        <w:ind w:right="100" w:firstLine="417"/>
        <w:spacing w:after="0" w:line="283" w:lineRule="auto"/>
        <w:rPr>
          <w:sz w:val="20"/>
          <w:szCs w:val="20"/>
          <w:color w:val="auto"/>
        </w:rPr>
      </w:pPr>
      <w:r>
        <w:rPr>
          <w:rFonts w:ascii="Times New Roman" w:cs="Times New Roman" w:eastAsia="Times New Roman" w:hAnsi="Times New Roman"/>
          <w:sz w:val="17"/>
          <w:szCs w:val="17"/>
          <w:color w:val="auto"/>
        </w:rPr>
        <w:t>NOW, THEREFORE, in consideration of the premises and the covenants contained herein, the Company and Indemnitee do hereby covenant and agree as follows:</w:t>
      </w:r>
    </w:p>
    <w:p>
      <w:pPr>
        <w:spacing w:after="0" w:line="152" w:lineRule="exact"/>
        <w:rPr>
          <w:sz w:val="20"/>
          <w:szCs w:val="20"/>
          <w:color w:val="auto"/>
        </w:rPr>
      </w:pPr>
    </w:p>
    <w:p>
      <w:pPr>
        <w:ind w:right="140" w:firstLine="417"/>
        <w:spacing w:after="0" w:line="261" w:lineRule="auto"/>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Services to the Company.</w:t>
      </w:r>
      <w:r>
        <w:rPr>
          <w:rFonts w:ascii="Times New Roman" w:cs="Times New Roman" w:eastAsia="Times New Roman" w:hAnsi="Times New Roman"/>
          <w:sz w:val="17"/>
          <w:szCs w:val="17"/>
          <w:color w:val="auto"/>
        </w:rPr>
        <w:t xml:space="preserve"> Indemnitee agrees to serve as [a/an] [director/officer/employee/agent] of the Company. Indemnitee may at any time and for any reason resign from such position (subject to any other contractual obligation or any obligation imposed by operation of law). This Agreement does not create any obligation on the Company to continue Indemnitee in such position and is not an employment contract between the Company (or any of its subsidiaries or any Enterprise) and Indemnitee.</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Section 2. </w:t>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xml:space="preserve"> As used in this Agreement:</w:t>
      </w:r>
    </w:p>
    <w:p>
      <w:pPr>
        <w:spacing w:after="0" w:line="111" w:lineRule="exact"/>
        <w:rPr>
          <w:sz w:val="20"/>
          <w:szCs w:val="20"/>
          <w:color w:val="auto"/>
        </w:rPr>
      </w:pPr>
    </w:p>
    <w:p>
      <w:pPr>
        <w:ind w:right="180" w:firstLine="929"/>
        <w:spacing w:after="0" w:line="283" w:lineRule="auto"/>
        <w:tabs>
          <w:tab w:leader="none" w:pos="1170" w:val="left"/>
        </w:tabs>
        <w:numPr>
          <w:ilvl w:val="0"/>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“Agent” means any person who is authorized by the Company or an Enterprise to act for or represent the interests of the Company or an Enterprise, respectively.</w:t>
      </w:r>
    </w:p>
    <w:p>
      <w:pPr>
        <w:spacing w:after="0" w:line="50" w:lineRule="exact"/>
        <w:rPr>
          <w:rFonts w:ascii="Times New Roman" w:cs="Times New Roman" w:eastAsia="Times New Roman" w:hAnsi="Times New Roman"/>
          <w:sz w:val="17"/>
          <w:szCs w:val="17"/>
          <w:color w:val="auto"/>
        </w:rPr>
      </w:pPr>
    </w:p>
    <w:p>
      <w:pPr>
        <w:ind w:left="1180" w:hanging="251"/>
        <w:spacing w:after="0"/>
        <w:tabs>
          <w:tab w:leader="none" w:pos="1180" w:val="left"/>
        </w:tabs>
        <w:numPr>
          <w:ilvl w:val="0"/>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Control” occurs upon the earliest to occur after the date of this Agreement of any of the following events:</w:t>
      </w:r>
    </w:p>
    <w:p>
      <w:pPr>
        <w:spacing w:after="0" w:line="111" w:lineRule="exact"/>
        <w:rPr>
          <w:rFonts w:ascii="Times New Roman" w:cs="Times New Roman" w:eastAsia="Times New Roman" w:hAnsi="Times New Roman"/>
          <w:sz w:val="17"/>
          <w:szCs w:val="17"/>
          <w:color w:val="auto"/>
        </w:rPr>
      </w:pPr>
    </w:p>
    <w:p>
      <w:pPr>
        <w:ind w:right="20" w:firstLine="1346"/>
        <w:spacing w:after="0" w:line="261" w:lineRule="auto"/>
        <w:tabs>
          <w:tab w:leader="none" w:pos="1488" w:val="left"/>
        </w:tabs>
        <w:numPr>
          <w:ilvl w:val="1"/>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 of Stock by Third Party. Any Person (as defined below) is or becomes the Beneficial Owner (as defined below), directly or indirectly, of securities of the Company representing fifteen percent (15%)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w:t>
      </w:r>
    </w:p>
    <w:p>
      <w:pPr>
        <w:spacing w:after="0" w:line="69" w:lineRule="exact"/>
        <w:rPr>
          <w:rFonts w:ascii="Times New Roman" w:cs="Times New Roman" w:eastAsia="Times New Roman" w:hAnsi="Times New Roman"/>
          <w:sz w:val="17"/>
          <w:szCs w:val="17"/>
          <w:color w:val="auto"/>
        </w:rPr>
      </w:pPr>
    </w:p>
    <w:p>
      <w:pPr>
        <w:ind w:right="60" w:firstLine="1346"/>
        <w:spacing w:after="0" w:line="257" w:lineRule="auto"/>
        <w:tabs>
          <w:tab w:leader="none" w:pos="1535" w:val="left"/>
        </w:tabs>
        <w:numPr>
          <w:ilvl w:val="1"/>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in Board of Directors.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2(b)(i), 2(b)(iii) or 2(b)(iv) of this Agreement)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420"/>
          </w:cols>
          <w:pgMar w:left="740" w:top="264" w:right="739" w:bottom="1440" w:gutter="0" w:footer="0" w:header="0"/>
        </w:sectPr>
      </w:pPr>
    </w:p>
    <w:bookmarkStart w:id="423" w:name="page424"/>
    <w:bookmarkEnd w:id="423"/>
    <w:p>
      <w:pPr>
        <w:ind w:left="-20" w:firstLine="1346"/>
        <w:spacing w:after="0" w:line="259" w:lineRule="auto"/>
        <w:tabs>
          <w:tab w:leader="none" w:pos="1562" w:val="left"/>
        </w:tabs>
        <w:numPr>
          <w:ilvl w:val="0"/>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Corporate Transactions.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69" w:lineRule="exact"/>
        <w:rPr>
          <w:rFonts w:ascii="Times New Roman" w:cs="Times New Roman" w:eastAsia="Times New Roman" w:hAnsi="Times New Roman"/>
          <w:sz w:val="17"/>
          <w:szCs w:val="17"/>
          <w:color w:val="auto"/>
        </w:rPr>
      </w:pPr>
    </w:p>
    <w:p>
      <w:pPr>
        <w:ind w:left="-20" w:right="40" w:firstLine="1346"/>
        <w:spacing w:after="0" w:line="283" w:lineRule="auto"/>
        <w:tabs>
          <w:tab w:leader="none" w:pos="1542" w:val="left"/>
        </w:tabs>
        <w:numPr>
          <w:ilvl w:val="0"/>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Liquidation. The approval by the stockholders of the Company of a complete liquidation of the Company or an agreement for the sale or disposition by the Company of all or substantially all of the Company’s assets; and</w:t>
      </w:r>
    </w:p>
    <w:p>
      <w:pPr>
        <w:spacing w:after="0" w:line="50" w:lineRule="exact"/>
        <w:rPr>
          <w:rFonts w:ascii="Times New Roman" w:cs="Times New Roman" w:eastAsia="Times New Roman" w:hAnsi="Times New Roman"/>
          <w:sz w:val="17"/>
          <w:szCs w:val="17"/>
          <w:color w:val="auto"/>
        </w:rPr>
      </w:pPr>
    </w:p>
    <w:p>
      <w:pPr>
        <w:ind w:left="-20" w:right="80" w:firstLine="1346"/>
        <w:spacing w:after="0" w:line="267" w:lineRule="auto"/>
        <w:tabs>
          <w:tab w:leader="none" w:pos="1495" w:val="left"/>
        </w:tabs>
        <w:numPr>
          <w:ilvl w:val="0"/>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Events.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63" w:lineRule="exact"/>
        <w:rPr>
          <w:rFonts w:ascii="Times New Roman" w:cs="Times New Roman" w:eastAsia="Times New Roman" w:hAnsi="Times New Roman"/>
          <w:sz w:val="17"/>
          <w:szCs w:val="17"/>
          <w:color w:val="auto"/>
        </w:rPr>
      </w:pPr>
    </w:p>
    <w:p>
      <w:pPr>
        <w:ind w:left="1540" w:hanging="214"/>
        <w:spacing w:after="0"/>
        <w:tabs>
          <w:tab w:leader="none" w:pos="1540" w:val="left"/>
        </w:tabs>
        <w:numPr>
          <w:ilvl w:val="0"/>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Section 2(b), the following terms have the following meanings:</w:t>
      </w:r>
    </w:p>
    <w:p>
      <w:pPr>
        <w:spacing w:after="0" w:line="124" w:lineRule="exact"/>
        <w:rPr>
          <w:sz w:val="20"/>
          <w:szCs w:val="20"/>
          <w:color w:val="auto"/>
        </w:rPr>
      </w:pPr>
    </w:p>
    <w:p>
      <w:pPr>
        <w:ind w:left="2240" w:hanging="404"/>
        <w:spacing w:after="0"/>
        <w:tabs>
          <w:tab w:leader="none" w:pos="2240"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“Exchange Act” means the Securities Exchange Act of 1934, as amended from time to time.</w:t>
      </w:r>
    </w:p>
    <w:p>
      <w:pPr>
        <w:spacing w:after="0" w:line="124" w:lineRule="exact"/>
        <w:rPr>
          <w:sz w:val="20"/>
          <w:szCs w:val="20"/>
          <w:color w:val="auto"/>
        </w:rPr>
      </w:pPr>
    </w:p>
    <w:p>
      <w:pPr>
        <w:ind w:left="2240" w:right="40" w:hanging="404"/>
        <w:spacing w:after="0" w:line="261" w:lineRule="auto"/>
        <w:tabs>
          <w:tab w:leader="none" w:pos="2240" w:val="left"/>
        </w:tabs>
        <w:numPr>
          <w:ilvl w:val="0"/>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 has the meaning as set forth in Sections 13(d) and 14(d) of the Exchange Act; provided, however, that Person excludes (i) the Company, (ii) any trustee or other fiduciary holding securities under an employee benefit plan of the Company, and (iii) any entity owned, directly or indirectly, by the stockholders of the Company in substantially the same proportions as their ownership of stock of the Company.</w:t>
      </w:r>
    </w:p>
    <w:p>
      <w:pPr>
        <w:spacing w:after="0" w:line="82" w:lineRule="exact"/>
        <w:rPr>
          <w:sz w:val="20"/>
          <w:szCs w:val="20"/>
          <w:color w:val="auto"/>
        </w:rPr>
      </w:pPr>
    </w:p>
    <w:p>
      <w:pPr>
        <w:ind w:left="2240" w:right="200" w:hanging="404"/>
        <w:spacing w:after="0" w:line="267" w:lineRule="auto"/>
        <w:tabs>
          <w:tab w:leader="none" w:pos="2240" w:val="left"/>
        </w:tabs>
        <w:numPr>
          <w:ilvl w:val="1"/>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“Beneficial Owner” has the meaning given to such term in Rule 13d-3 under the Exchange Act; provided, however, that Beneficial Owner excludes any Person otherwise becoming a Beneficial Owner by reason of the stockholders of the Company approving a merger of the Company with another entity.</w:t>
      </w:r>
    </w:p>
    <w:p>
      <w:pPr>
        <w:spacing w:after="0" w:line="63" w:lineRule="exact"/>
        <w:rPr>
          <w:rFonts w:ascii="Times New Roman" w:cs="Times New Roman" w:eastAsia="Times New Roman" w:hAnsi="Times New Roman"/>
          <w:sz w:val="17"/>
          <w:szCs w:val="17"/>
          <w:color w:val="auto"/>
        </w:rPr>
      </w:pPr>
    </w:p>
    <w:p>
      <w:pPr>
        <w:ind w:left="-20" w:right="400" w:firstLine="929"/>
        <w:spacing w:after="0" w:line="283" w:lineRule="auto"/>
        <w:tabs>
          <w:tab w:leader="none" w:pos="1150" w:val="left"/>
        </w:tabs>
        <w:numPr>
          <w:ilvl w:val="0"/>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“Corporate Status” describes the status of a person who is or was acting as a director, officer, employee, fiduciary, or Agent of the Company or an Enterprise.</w:t>
      </w:r>
    </w:p>
    <w:p>
      <w:pPr>
        <w:spacing w:after="0" w:line="50" w:lineRule="exact"/>
        <w:rPr>
          <w:rFonts w:ascii="Times New Roman" w:cs="Times New Roman" w:eastAsia="Times New Roman" w:hAnsi="Times New Roman"/>
          <w:sz w:val="17"/>
          <w:szCs w:val="17"/>
          <w:color w:val="auto"/>
        </w:rPr>
      </w:pPr>
    </w:p>
    <w:p>
      <w:pPr>
        <w:ind w:left="-20" w:right="560" w:firstLine="929"/>
        <w:spacing w:after="0" w:line="283" w:lineRule="auto"/>
        <w:tabs>
          <w:tab w:leader="none" w:pos="1160" w:val="left"/>
        </w:tabs>
        <w:numPr>
          <w:ilvl w:val="0"/>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“Disinterested Director” means a director of the Company who is not and was not a party to the Proceeding in respect of which indemnification is sought by Indemnitee.</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380"/>
          </w:cols>
          <w:pgMar w:left="760" w:top="264" w:right="759" w:bottom="1440" w:gutter="0" w:footer="0" w:header="0"/>
        </w:sectPr>
      </w:pPr>
    </w:p>
    <w:bookmarkStart w:id="424" w:name="page425"/>
    <w:bookmarkEnd w:id="424"/>
    <w:p>
      <w:pPr>
        <w:ind w:left="9" w:right="180" w:firstLine="929"/>
        <w:spacing w:after="0" w:line="283" w:lineRule="auto"/>
        <w:tabs>
          <w:tab w:leader="none" w:pos="1179" w:val="left"/>
        </w:tabs>
        <w:numPr>
          <w:ilvl w:val="1"/>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“Enterprise” means any other corporation, limited liability company, partnership, joint venture, trust, employee benefit plan or other entity for which Indemnitee is or was serving at the request of the Company as a director, officer, employee, or Agent.</w:t>
      </w:r>
    </w:p>
    <w:p>
      <w:pPr>
        <w:spacing w:after="0" w:line="50" w:lineRule="exact"/>
        <w:rPr>
          <w:rFonts w:ascii="Times New Roman" w:cs="Times New Roman" w:eastAsia="Times New Roman" w:hAnsi="Times New Roman"/>
          <w:sz w:val="17"/>
          <w:szCs w:val="17"/>
          <w:color w:val="auto"/>
        </w:rPr>
      </w:pPr>
    </w:p>
    <w:p>
      <w:pPr>
        <w:ind w:left="9" w:right="20" w:firstLine="929"/>
        <w:spacing w:after="0" w:line="255" w:lineRule="auto"/>
        <w:tabs>
          <w:tab w:leader="none" w:pos="1160" w:val="left"/>
        </w:tabs>
        <w:numPr>
          <w:ilvl w:val="1"/>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includes all reasonable attorneys’ fees, retainers, court costs, transcript costs, fees and other costs of experts and other professionals, witness fees, travel expenses, duplicating costs, printing and binding costs, telephone charges, postage, delivery service fees, any federal, state, local or foreign taxes imposed on Indemnitee as a result of the actual or deemed receipt of any payments under this Agreement, ERISA excise taxes and penalties, and all other disbursements, obligations, or expenses of the types customarily incurred in connection with prosecuting, defending, preparing to prosecute or defend, investigating, being or preparing to be a witness in, or otherwise participating in, a Proceeding. Expenses also include</w:t>
      </w:r>
    </w:p>
    <w:p>
      <w:pPr>
        <w:ind w:left="9" w:hanging="9"/>
        <w:spacing w:after="0" w:line="252" w:lineRule="auto"/>
        <w:tabs>
          <w:tab w:leader="none" w:pos="212" w:val="left"/>
        </w:tabs>
        <w:numPr>
          <w:ilvl w:val="0"/>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incurred in connection with any appeal resulting from any Proceeding, including without limitation the premium, security for, and other costs relating to any cost bond, supersedeas bond, or other appeal bond or its equivalent, and (ii) for purposes of Section 14(d) of this Agreement only, Expenses incurred by Indemnitee in connection with the interpretation, enforcement or defense of Indemnitee’s rights under this Agreement, by litigation or otherwise. The parties agree that for the purposes of any advancement of Expenses for which Indemnitee has made written demand to the Company in accordance with this Agreement, all Expenses included in such demand that are certified by affidavit of Indemnitee’s counsel as being reasonable in the good faith judgment of such counsel will be presumed conclusively to be reasonable. Expenses, however, do not include amounts paid in settlement by Indemnitee or the amount of judgments or fines against Indemnitee.</w:t>
      </w:r>
    </w:p>
    <w:p>
      <w:pPr>
        <w:spacing w:after="0" w:line="79" w:lineRule="exact"/>
        <w:rPr>
          <w:rFonts w:ascii="Times New Roman" w:cs="Times New Roman" w:eastAsia="Times New Roman" w:hAnsi="Times New Roman"/>
          <w:sz w:val="17"/>
          <w:szCs w:val="17"/>
          <w:color w:val="auto"/>
        </w:rPr>
      </w:pPr>
    </w:p>
    <w:p>
      <w:pPr>
        <w:ind w:left="9" w:right="160" w:firstLine="929"/>
        <w:spacing w:after="0" w:line="258" w:lineRule="auto"/>
        <w:tabs>
          <w:tab w:leader="none" w:pos="1189" w:val="left"/>
        </w:tabs>
        <w:numPr>
          <w:ilvl w:val="1"/>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“Independent Counsel”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w:t>
      </w:r>
    </w:p>
    <w:p>
      <w:pPr>
        <w:ind w:left="9" w:right="120" w:hanging="9"/>
        <w:spacing w:after="0" w:line="254" w:lineRule="auto"/>
        <w:tabs>
          <w:tab w:leader="none" w:pos="260" w:val="left"/>
        </w:tabs>
        <w:numPr>
          <w:ilvl w:val="0"/>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party to the Proceeding giving rise to a claim for indemnification hereunder. Notwithstanding the foregoing, the term “Independent Counsel” does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w:t>
      </w:r>
    </w:p>
    <w:p>
      <w:pPr>
        <w:spacing w:after="0" w:line="75" w:lineRule="exact"/>
        <w:rPr>
          <w:rFonts w:ascii="Times New Roman" w:cs="Times New Roman" w:eastAsia="Times New Roman" w:hAnsi="Times New Roman"/>
          <w:sz w:val="17"/>
          <w:szCs w:val="17"/>
          <w:color w:val="auto"/>
        </w:rPr>
      </w:pPr>
    </w:p>
    <w:p>
      <w:pPr>
        <w:ind w:left="9" w:right="20" w:firstLine="929"/>
        <w:spacing w:after="0" w:line="255" w:lineRule="auto"/>
        <w:tabs>
          <w:tab w:leader="none" w:pos="1189" w:val="left"/>
        </w:tabs>
        <w:numPr>
          <w:ilvl w:val="1"/>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“Proceeding” includes any threatened, pending or completed action, suit, claim, counterclaim, cross claim, arbitration, mediation, alternate dispute resolution mechanism, investigation, inquiry, administrative hearing, or any other actual, threatened or completed proceeding, whether brought in the right of the Company or otherwise and whether of a civil, criminal, administrative, legislative, regulatory, or investigative (formal or informal) nature, including any appeal therefrom, in which Indemnitee was, is, or will be involved as a party, potential party, non-party witness, or otherwise by reason of Indemnitee’s Corporate Status or by reason of any action taken by Indemnitee (or a failure to take action by Indemnitee) or of any action (or failure to act) on Indemnitee’s part while acting pursuant to Indemnitee’s Corporate Status, in each case whether or not serving in such capacity at the time any liability or Expense is incurred for which indemnification, reimbursement, or advancement of Expenses can be provided under this Agreement. A Proceeding also includes a situation the Indemnitee believes in good faith may lead to, or culminate in, the institution of a Proceeding.</w:t>
      </w:r>
    </w:p>
    <w:p>
      <w:pPr>
        <w:spacing w:after="0" w:line="111" w:lineRule="exact"/>
        <w:rPr>
          <w:sz w:val="20"/>
          <w:szCs w:val="20"/>
          <w:color w:val="auto"/>
        </w:rPr>
      </w:pPr>
    </w:p>
    <w:p>
      <w:pPr>
        <w:jc w:val="center"/>
        <w:ind w:right="-68"/>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349"/>
          </w:cols>
          <w:pgMar w:left="731" w:top="264" w:right="819" w:bottom="1440" w:gutter="0" w:footer="0" w:header="0"/>
        </w:sectPr>
      </w:pPr>
    </w:p>
    <w:bookmarkStart w:id="425" w:name="page426"/>
    <w:bookmarkEnd w:id="425"/>
    <w:p>
      <w:pPr>
        <w:ind w:left="9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(i) [“Sponsor Entities” means [insert names].]</w:t>
      </w:r>
    </w:p>
    <w:p>
      <w:pPr>
        <w:spacing w:after="0" w:line="213" w:lineRule="exact"/>
        <w:rPr>
          <w:sz w:val="20"/>
          <w:szCs w:val="20"/>
          <w:color w:val="auto"/>
        </w:rPr>
      </w:pPr>
    </w:p>
    <w:p>
      <w:pPr>
        <w:ind w:right="20" w:firstLine="417"/>
        <w:spacing w:after="0" w:line="255" w:lineRule="auto"/>
        <w:rPr>
          <w:sz w:val="20"/>
          <w:szCs w:val="20"/>
          <w:color w:val="auto"/>
        </w:rPr>
      </w:pPr>
      <w:r>
        <w:rPr>
          <w:rFonts w:ascii="Times New Roman" w:cs="Times New Roman" w:eastAsia="Times New Roman" w:hAnsi="Times New Roman"/>
          <w:sz w:val="17"/>
          <w:szCs w:val="17"/>
          <w:color w:val="auto"/>
        </w:rPr>
        <w:t xml:space="preserve">Section 3. </w:t>
      </w:r>
      <w:r>
        <w:rPr>
          <w:rFonts w:ascii="Times New Roman" w:cs="Times New Roman" w:eastAsia="Times New Roman" w:hAnsi="Times New Roman"/>
          <w:sz w:val="17"/>
          <w:szCs w:val="17"/>
          <w:u w:val="single" w:color="auto"/>
          <w:color w:val="auto"/>
        </w:rPr>
        <w:t>Indemnity in Third-Party Proceedings.</w:t>
      </w:r>
      <w:r>
        <w:rPr>
          <w:rFonts w:ascii="Times New Roman" w:cs="Times New Roman" w:eastAsia="Times New Roman" w:hAnsi="Times New Roman"/>
          <w:sz w:val="17"/>
          <w:szCs w:val="17"/>
          <w:color w:val="auto"/>
        </w:rPr>
        <w:t xml:space="preserve"> The Company will indemnify Indemnitee in accordance with the provisions of this Section 3 if Indemnitee is, or is threatened to be made, a party to or a participant in any Proceeding, other than a Proceeding by or in the right of the Company to procure a judgment in its favor. Pursuant to this Section 3, the Company will indemnify Indemnitee to the fullest extent permitted by applicable law against all Expenses, judgments, fines and amounts paid in settlement (including all interest, assessments and other charges paid or payable in connection with, or in respect of, such Expenses, judgments, fines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in the case of a criminal Proceeding, had no reasonable cause to believe that Indemnitee’s conduct was unlawful.</w:t>
      </w:r>
    </w:p>
    <w:p>
      <w:pPr>
        <w:spacing w:after="0" w:line="178" w:lineRule="exact"/>
        <w:rPr>
          <w:sz w:val="20"/>
          <w:szCs w:val="20"/>
          <w:color w:val="auto"/>
        </w:rPr>
      </w:pPr>
    </w:p>
    <w:p>
      <w:pPr>
        <w:ind w:firstLine="417"/>
        <w:spacing w:after="0" w:line="255" w:lineRule="auto"/>
        <w:rPr>
          <w:sz w:val="20"/>
          <w:szCs w:val="20"/>
          <w:color w:val="auto"/>
        </w:rPr>
      </w:pPr>
      <w:r>
        <w:rPr>
          <w:rFonts w:ascii="Times New Roman" w:cs="Times New Roman" w:eastAsia="Times New Roman" w:hAnsi="Times New Roman"/>
          <w:sz w:val="17"/>
          <w:szCs w:val="17"/>
          <w:color w:val="auto"/>
        </w:rPr>
        <w:t xml:space="preserve">Section 4. </w:t>
      </w:r>
      <w:r>
        <w:rPr>
          <w:rFonts w:ascii="Times New Roman" w:cs="Times New Roman" w:eastAsia="Times New Roman" w:hAnsi="Times New Roman"/>
          <w:sz w:val="17"/>
          <w:szCs w:val="17"/>
          <w:u w:val="single" w:color="auto"/>
          <w:color w:val="auto"/>
        </w:rPr>
        <w:t>Indemnity in Proceedings by or in the Right of the Company.</w:t>
      </w:r>
      <w:r>
        <w:rPr>
          <w:rFonts w:ascii="Times New Roman" w:cs="Times New Roman" w:eastAsia="Times New Roman" w:hAnsi="Times New Roman"/>
          <w:sz w:val="17"/>
          <w:szCs w:val="17"/>
          <w:color w:val="auto"/>
        </w:rPr>
        <w:t xml:space="preserve"> The Company will indemnify Indemnitee in accordance with the provisions of this Section 4 if Indemnitee is, or is threatened to be made, a party to or a participant in any Proceeding by or in the right of the Company to procure a judgment in its favor. Pursuant to this Section 4, the Company will indemnify Indemnitee to the fullest extent permitted by applicable law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The Company will not indemnify Indemnitee for Expenses under this Section 4 related to any claim, issue, or matter in a Proceeding for which Indemnitee has been finally adjudged by a court to be liable to the Company, unless, and only to the extent that, the Court of Chancery of the state of Delaware (the “Delaware Court”) or any court in which the Proceeding was brought determines upon application by Indemnitee that, despite the adjudication of liability but in view of all the circumstances of the case, Indemnitee is fairly and reasonably entitled to indemnification.</w:t>
      </w:r>
    </w:p>
    <w:p>
      <w:pPr>
        <w:spacing w:after="0" w:line="175" w:lineRule="exact"/>
        <w:rPr>
          <w:sz w:val="20"/>
          <w:szCs w:val="20"/>
          <w:color w:val="auto"/>
        </w:rPr>
      </w:pPr>
    </w:p>
    <w:p>
      <w:pPr>
        <w:ind w:right="100" w:firstLine="417"/>
        <w:spacing w:after="0" w:line="255" w:lineRule="auto"/>
        <w:rPr>
          <w:sz w:val="20"/>
          <w:szCs w:val="20"/>
          <w:color w:val="auto"/>
        </w:rPr>
      </w:pPr>
      <w:r>
        <w:rPr>
          <w:rFonts w:ascii="Times New Roman" w:cs="Times New Roman" w:eastAsia="Times New Roman" w:hAnsi="Times New Roman"/>
          <w:sz w:val="17"/>
          <w:szCs w:val="17"/>
          <w:color w:val="auto"/>
        </w:rPr>
        <w:t xml:space="preserve">Section 5. </w:t>
      </w:r>
      <w:r>
        <w:rPr>
          <w:rFonts w:ascii="Times New Roman" w:cs="Times New Roman" w:eastAsia="Times New Roman" w:hAnsi="Times New Roman"/>
          <w:sz w:val="17"/>
          <w:szCs w:val="17"/>
          <w:u w:val="single" w:color="auto"/>
          <w:color w:val="auto"/>
        </w:rPr>
        <w:t>Indemnification for Expenses of a Party Who is Wholly or Partly Successful.</w:t>
      </w:r>
      <w:r>
        <w:rPr>
          <w:rFonts w:ascii="Times New Roman" w:cs="Times New Roman" w:eastAsia="Times New Roman" w:hAnsi="Times New Roman"/>
          <w:sz w:val="17"/>
          <w:szCs w:val="17"/>
          <w:color w:val="auto"/>
        </w:rPr>
        <w:t xml:space="preserve"> Notwithstanding any other provisions of this Agreement, to the fullest extent permitted by applicable law, the Company will indemnify Indemnitee against all Expenses actually and reasonably incurred by Indemnitee in connection with any Proceeding to the extent that Indemnitee is successful, on the merits or otherwise. If Indemnitee is not wholly successful in such Proceeding but is successful, on the merits or otherwise, as to one or more but less than all claims, issues, or matters in such Proceeding, the Company will indemnify Indemnitee against all Expenses actually and reasonably incurred by Indemnitee or on Indemnitee’s behalf in connection with or related to each successfully resolved claim, issue or matter to the fullest extent permitted by law. For purposes of this Section 5 and without limitation, the termination of any claim, issue, or matter in such a Proceeding by dismissal, with or without prejudice, will be deemed to be a successful result as to such claim, issue, or matter.</w:t>
      </w:r>
    </w:p>
    <w:p>
      <w:pPr>
        <w:spacing w:after="0" w:line="178" w:lineRule="exact"/>
        <w:rPr>
          <w:sz w:val="20"/>
          <w:szCs w:val="20"/>
          <w:color w:val="auto"/>
        </w:rPr>
      </w:pPr>
    </w:p>
    <w:p>
      <w:pPr>
        <w:jc w:val="both"/>
        <w:ind w:right="20" w:firstLine="417"/>
        <w:spacing w:after="0" w:line="261" w:lineRule="auto"/>
        <w:rPr>
          <w:sz w:val="20"/>
          <w:szCs w:val="20"/>
          <w:color w:val="auto"/>
        </w:rPr>
      </w:pPr>
      <w:r>
        <w:rPr>
          <w:rFonts w:ascii="Times New Roman" w:cs="Times New Roman" w:eastAsia="Times New Roman" w:hAnsi="Times New Roman"/>
          <w:sz w:val="17"/>
          <w:szCs w:val="17"/>
          <w:color w:val="auto"/>
        </w:rPr>
        <w:t xml:space="preserve">Section 6. </w:t>
      </w:r>
      <w:r>
        <w:rPr>
          <w:rFonts w:ascii="Times New Roman" w:cs="Times New Roman" w:eastAsia="Times New Roman" w:hAnsi="Times New Roman"/>
          <w:sz w:val="17"/>
          <w:szCs w:val="17"/>
          <w:u w:val="single" w:color="auto"/>
          <w:color w:val="auto"/>
        </w:rPr>
        <w:t>Indemnification For Expenses of a Witness.</w:t>
      </w:r>
      <w:r>
        <w:rPr>
          <w:rFonts w:ascii="Times New Roman" w:cs="Times New Roman" w:eastAsia="Times New Roman" w:hAnsi="Times New Roman"/>
          <w:sz w:val="17"/>
          <w:szCs w:val="17"/>
          <w:color w:val="auto"/>
        </w:rPr>
        <w:t xml:space="preserve"> Notwithstanding any other provisions of this Agreement, to the fullest extent permitted by applicable law, the Company will indemnify Indemnitee against all Expenses actually and reasonably incurred by Indemnitee or on Indemnitee’s behalf in connection with any Proceeding to which Indemnitee is not a party but to which Indemnitee is a witness, deponent, interviewee, or otherwise asked to participate or provide information.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400"/>
          </w:cols>
          <w:pgMar w:left="740" w:top="263" w:right="759" w:bottom="1440" w:gutter="0" w:footer="0" w:header="0"/>
        </w:sectPr>
      </w:pPr>
    </w:p>
    <w:bookmarkStart w:id="426" w:name="page427"/>
    <w:bookmarkEnd w:id="426"/>
    <w:p>
      <w:pPr>
        <w:ind w:firstLine="417"/>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Section 7. </w:t>
      </w:r>
      <w:r>
        <w:rPr>
          <w:rFonts w:ascii="Times New Roman" w:cs="Times New Roman" w:eastAsia="Times New Roman" w:hAnsi="Times New Roman"/>
          <w:sz w:val="17"/>
          <w:szCs w:val="17"/>
          <w:u w:val="single" w:color="auto"/>
          <w:color w:val="auto"/>
        </w:rPr>
        <w:t>Partial Indemnification.</w:t>
      </w:r>
      <w:r>
        <w:rPr>
          <w:rFonts w:ascii="Times New Roman" w:cs="Times New Roman" w:eastAsia="Times New Roman" w:hAnsi="Times New Roman"/>
          <w:sz w:val="17"/>
          <w:szCs w:val="17"/>
          <w:color w:val="auto"/>
        </w:rPr>
        <w:t xml:space="preserve"> If Indemnitee is entitled under any provision of this Agreement to indemnification by the Company for some or a portion of Expenses, but not, however, for the total amount thereof, the Company will indemnify Indemnitee for the portion thereof to which Indemnitee is entitled.</w:t>
      </w:r>
    </w:p>
    <w:p>
      <w:pPr>
        <w:spacing w:after="0" w:line="165" w:lineRule="exact"/>
        <w:rPr>
          <w:sz w:val="20"/>
          <w:szCs w:val="20"/>
          <w:color w:val="auto"/>
        </w:rPr>
      </w:pPr>
    </w:p>
    <w:p>
      <w:pPr>
        <w:ind w:right="360" w:firstLine="417"/>
        <w:spacing w:after="0" w:line="259" w:lineRule="auto"/>
        <w:rPr>
          <w:sz w:val="20"/>
          <w:szCs w:val="20"/>
          <w:color w:val="auto"/>
        </w:rPr>
      </w:pPr>
      <w:r>
        <w:rPr>
          <w:rFonts w:ascii="Times New Roman" w:cs="Times New Roman" w:eastAsia="Times New Roman" w:hAnsi="Times New Roman"/>
          <w:sz w:val="17"/>
          <w:szCs w:val="17"/>
          <w:color w:val="auto"/>
        </w:rPr>
        <w:t xml:space="preserve">Section 8. </w:t>
      </w:r>
      <w:r>
        <w:rPr>
          <w:rFonts w:ascii="Times New Roman" w:cs="Times New Roman" w:eastAsia="Times New Roman" w:hAnsi="Times New Roman"/>
          <w:sz w:val="17"/>
          <w:szCs w:val="17"/>
          <w:u w:val="single" w:color="auto"/>
          <w:color w:val="auto"/>
        </w:rPr>
        <w:t>Additional Indemnification.</w:t>
      </w:r>
      <w:r>
        <w:rPr>
          <w:rFonts w:ascii="Times New Roman" w:cs="Times New Roman" w:eastAsia="Times New Roman" w:hAnsi="Times New Roman"/>
          <w:sz w:val="17"/>
          <w:szCs w:val="17"/>
          <w:color w:val="auto"/>
        </w:rPr>
        <w:t xml:space="preserve"> Notwithstanding any limitation in Sections 3, 4, or 5 of this Agreement, the Company will indemnify Indemnitee to the fullest extent permitted by applicable law (including but not limited to, the DGCL and any amendments to or replacements of the DGCL adopted after the date of this Agreement that expand the Company’s ability to indemnify its officers, directors, employees or Agents) if Indemnitee is a party to, or threatened to be made a party to, any Proceeding (including a Proceeding by or in the right of the Company to procure a judgment in its favor).</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Section 9. </w:t>
      </w:r>
      <w:r>
        <w:rPr>
          <w:rFonts w:ascii="Times New Roman" w:cs="Times New Roman" w:eastAsia="Times New Roman" w:hAnsi="Times New Roman"/>
          <w:sz w:val="17"/>
          <w:szCs w:val="17"/>
          <w:u w:val="single" w:color="auto"/>
          <w:color w:val="auto"/>
        </w:rPr>
        <w:t>Exclusions.</w:t>
      </w:r>
      <w:r>
        <w:rPr>
          <w:rFonts w:ascii="Times New Roman" w:cs="Times New Roman" w:eastAsia="Times New Roman" w:hAnsi="Times New Roman"/>
          <w:sz w:val="17"/>
          <w:szCs w:val="17"/>
          <w:color w:val="auto"/>
        </w:rPr>
        <w:t xml:space="preserve"> Notwithstanding any provision in this Agreement, the Company is not obligated under this Agreement to indemnify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Indemnitee in connection with any Proceeding:</w:t>
      </w:r>
    </w:p>
    <w:p>
      <w:pPr>
        <w:spacing w:after="0" w:line="94" w:lineRule="exact"/>
        <w:rPr>
          <w:sz w:val="20"/>
          <w:szCs w:val="20"/>
          <w:color w:val="auto"/>
        </w:rPr>
      </w:pPr>
    </w:p>
    <w:p>
      <w:pPr>
        <w:ind w:right="200" w:firstLine="929"/>
        <w:spacing w:after="0" w:line="267" w:lineRule="auto"/>
        <w:tabs>
          <w:tab w:leader="none" w:pos="1170" w:val="left"/>
        </w:tabs>
        <w:numPr>
          <w:ilvl w:val="0"/>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amount actually paid to or on behalf of Indemnitee under any insurance policy or other indemnity provision, except to the extent provided in Section 16(b) of this Agreement and except with respect to any excess beyond the amount paid under any insurance policy or other indemnity provision;</w:t>
      </w:r>
    </w:p>
    <w:p>
      <w:pPr>
        <w:spacing w:after="0" w:line="63" w:lineRule="exact"/>
        <w:rPr>
          <w:rFonts w:ascii="Times New Roman" w:cs="Times New Roman" w:eastAsia="Times New Roman" w:hAnsi="Times New Roman"/>
          <w:sz w:val="17"/>
          <w:szCs w:val="17"/>
          <w:color w:val="auto"/>
        </w:rPr>
      </w:pPr>
    </w:p>
    <w:p>
      <w:pPr>
        <w:ind w:right="20" w:firstLine="929"/>
        <w:spacing w:after="0" w:line="283" w:lineRule="auto"/>
        <w:tabs>
          <w:tab w:leader="none" w:pos="1180" w:val="left"/>
        </w:tabs>
        <w:numPr>
          <w:ilvl w:val="0"/>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accounting of profits made from the purchase and sale (or sale and purchase) by Indemnitee of securities of the Company within the meaning of Section 16(b) of the Exchange Act or similar provisions of state statutory law or common law;</w:t>
      </w:r>
    </w:p>
    <w:p>
      <w:pPr>
        <w:spacing w:after="0" w:line="50" w:lineRule="exact"/>
        <w:rPr>
          <w:rFonts w:ascii="Times New Roman" w:cs="Times New Roman" w:eastAsia="Times New Roman" w:hAnsi="Times New Roman"/>
          <w:sz w:val="17"/>
          <w:szCs w:val="17"/>
          <w:color w:val="auto"/>
        </w:rPr>
      </w:pPr>
    </w:p>
    <w:p>
      <w:pPr>
        <w:jc w:val="both"/>
        <w:ind w:right="100" w:firstLine="929"/>
        <w:spacing w:after="0" w:line="259" w:lineRule="auto"/>
        <w:tabs>
          <w:tab w:leader="none" w:pos="1170" w:val="left"/>
        </w:tabs>
        <w:numPr>
          <w:ilvl w:val="0"/>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“Sarbanes-Oxley Act”), or the payment to the Company of profits arising from the purchase and sale by Indemnitee of securities in violation of Section 306 of the Sarbanes-Oxley Act);</w:t>
      </w:r>
    </w:p>
    <w:p>
      <w:pPr>
        <w:spacing w:after="0" w:line="69" w:lineRule="exact"/>
        <w:rPr>
          <w:rFonts w:ascii="Times New Roman" w:cs="Times New Roman" w:eastAsia="Times New Roman" w:hAnsi="Times New Roman"/>
          <w:sz w:val="17"/>
          <w:szCs w:val="17"/>
          <w:color w:val="auto"/>
        </w:rPr>
      </w:pPr>
    </w:p>
    <w:p>
      <w:pPr>
        <w:ind w:right="60" w:firstLine="929"/>
        <w:spacing w:after="0" w:line="267" w:lineRule="auto"/>
        <w:tabs>
          <w:tab w:leader="none" w:pos="1180" w:val="left"/>
        </w:tabs>
        <w:numPr>
          <w:ilvl w:val="0"/>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 or</w:t>
      </w:r>
    </w:p>
    <w:p>
      <w:pPr>
        <w:spacing w:after="0" w:line="63" w:lineRule="exact"/>
        <w:rPr>
          <w:rFonts w:ascii="Times New Roman" w:cs="Times New Roman" w:eastAsia="Times New Roman" w:hAnsi="Times New Roman"/>
          <w:sz w:val="17"/>
          <w:szCs w:val="17"/>
          <w:color w:val="auto"/>
        </w:rPr>
      </w:pPr>
    </w:p>
    <w:p>
      <w:pPr>
        <w:ind w:right="80" w:firstLine="929"/>
        <w:spacing w:after="0" w:line="259" w:lineRule="auto"/>
        <w:tabs>
          <w:tab w:leader="none" w:pos="1170" w:val="left"/>
        </w:tabs>
        <w:numPr>
          <w:ilvl w:val="0"/>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Proceeding initiated by Indemnitee, including any Proceeding (or any part of any Proceeding) initiated by Indemnitee against the Company or its directors, officers, employees or other indemnitees, unless (i) the Proceeding or part of any Proceeding is to enforce Indemnitee’s rights to indemnification or advancement, of Expenses, including a Proceeding (or any part of any Proceeding) initiated pursuant to Section 14 of this Agreement, (ii) the Board authorized the Proceeding (or any part of any Proceeding) prior to its initiation or (iii) the Company provides the indemnification, in its sole discretion, pursuant to the powers vested in the Company under applicable law.</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400"/>
          </w:cols>
          <w:pgMar w:left="740" w:top="264" w:right="759" w:bottom="1440" w:gutter="0" w:footer="0" w:header="0"/>
        </w:sectPr>
      </w:pPr>
    </w:p>
    <w:bookmarkStart w:id="427" w:name="page428"/>
    <w:bookmarkEnd w:id="427"/>
    <w:p>
      <w:pPr>
        <w:ind w:left="4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Section 10. </w:t>
      </w:r>
      <w:r>
        <w:rPr>
          <w:rFonts w:ascii="Times New Roman" w:cs="Times New Roman" w:eastAsia="Times New Roman" w:hAnsi="Times New Roman"/>
          <w:sz w:val="17"/>
          <w:szCs w:val="17"/>
          <w:u w:val="single" w:color="auto"/>
          <w:color w:val="auto"/>
        </w:rPr>
        <w:t>Advances of Expenses.</w:t>
      </w:r>
    </w:p>
    <w:p>
      <w:pPr>
        <w:spacing w:after="0" w:line="111" w:lineRule="exact"/>
        <w:rPr>
          <w:sz w:val="20"/>
          <w:szCs w:val="20"/>
          <w:color w:val="auto"/>
        </w:rPr>
      </w:pPr>
    </w:p>
    <w:p>
      <w:pPr>
        <w:ind w:left="1160" w:hanging="231"/>
        <w:spacing w:after="0"/>
        <w:tabs>
          <w:tab w:leader="none" w:pos="1160" w:val="left"/>
        </w:tabs>
        <w:numPr>
          <w:ilvl w:val="0"/>
          <w:numId w:val="3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advance, to the extent not prohibited by law, the Expenses incurred by Indemnitee in connection with:</w:t>
      </w:r>
    </w:p>
    <w:p>
      <w:pPr>
        <w:spacing w:after="0" w:line="111" w:lineRule="exact"/>
        <w:rPr>
          <w:rFonts w:ascii="Times New Roman" w:cs="Times New Roman" w:eastAsia="Times New Roman" w:hAnsi="Times New Roman"/>
          <w:sz w:val="17"/>
          <w:szCs w:val="17"/>
          <w:color w:val="auto"/>
        </w:rPr>
      </w:pPr>
    </w:p>
    <w:p>
      <w:pPr>
        <w:ind w:left="1480" w:hanging="134"/>
        <w:spacing w:after="0"/>
        <w:tabs>
          <w:tab w:leader="none" w:pos="1480" w:val="left"/>
        </w:tabs>
        <w:numPr>
          <w:ilvl w:val="1"/>
          <w:numId w:val="3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Proceeding (or any part of any Proceeding) not initiated by Indemnitee; or</w:t>
      </w:r>
    </w:p>
    <w:p>
      <w:pPr>
        <w:spacing w:after="0" w:line="111" w:lineRule="exact"/>
        <w:rPr>
          <w:rFonts w:ascii="Times New Roman" w:cs="Times New Roman" w:eastAsia="Times New Roman" w:hAnsi="Times New Roman"/>
          <w:sz w:val="17"/>
          <w:szCs w:val="17"/>
          <w:color w:val="auto"/>
        </w:rPr>
      </w:pPr>
    </w:p>
    <w:p>
      <w:pPr>
        <w:ind w:left="1520" w:hanging="174"/>
        <w:spacing w:after="0"/>
        <w:tabs>
          <w:tab w:leader="none" w:pos="1520" w:val="left"/>
        </w:tabs>
        <w:numPr>
          <w:ilvl w:val="1"/>
          <w:numId w:val="3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Proceeding (or any part of any Proceeding) initiated by Indemnitee if</w:t>
      </w:r>
    </w:p>
    <w:p>
      <w:pPr>
        <w:spacing w:after="0" w:line="111" w:lineRule="exact"/>
        <w:rPr>
          <w:sz w:val="20"/>
          <w:szCs w:val="20"/>
          <w:color w:val="auto"/>
        </w:rPr>
      </w:pPr>
    </w:p>
    <w:p>
      <w:pPr>
        <w:ind w:left="1860" w:right="320"/>
        <w:spacing w:after="0" w:line="283" w:lineRule="auto"/>
        <w:rPr>
          <w:sz w:val="20"/>
          <w:szCs w:val="20"/>
          <w:color w:val="auto"/>
        </w:rPr>
      </w:pPr>
      <w:r>
        <w:rPr>
          <w:rFonts w:ascii="Times New Roman" w:cs="Times New Roman" w:eastAsia="Times New Roman" w:hAnsi="Times New Roman"/>
          <w:sz w:val="17"/>
          <w:szCs w:val="17"/>
          <w:color w:val="auto"/>
        </w:rPr>
        <w:t>1 the Proceeding or part of any Proceeding is to enforce Indemnitee’s rights to obtain indemnification or advancement of Expenses from the Company or Enterprise, including a proceeding initiated pursuant to Section 14 of this Agreement, or</w:t>
      </w:r>
    </w:p>
    <w:p>
      <w:pPr>
        <w:spacing w:after="0" w:line="5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2 the Board authorized the Proceeding (or any part of any Proceeding) prior to its initiation.</w:t>
      </w:r>
    </w:p>
    <w:p>
      <w:pPr>
        <w:spacing w:after="0" w:line="111" w:lineRule="exact"/>
        <w:rPr>
          <w:sz w:val="20"/>
          <w:szCs w:val="20"/>
          <w:color w:val="auto"/>
        </w:rPr>
      </w:pPr>
    </w:p>
    <w:p>
      <w:pPr>
        <w:jc w:val="both"/>
        <w:ind w:right="640" w:firstLine="929"/>
        <w:spacing w:after="0" w:line="283" w:lineRule="auto"/>
        <w:tabs>
          <w:tab w:leader="none" w:pos="1180" w:val="left"/>
        </w:tabs>
        <w:numPr>
          <w:ilvl w:val="0"/>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advance the Expenses within thirty (30) days after the receipt by the Company of a statement or statements requesting such advances from time to time, whether prior to or after final disposition of any Proceeding eligible for advancement of expenses.</w:t>
      </w:r>
    </w:p>
    <w:p>
      <w:pPr>
        <w:spacing w:after="0" w:line="50" w:lineRule="exact"/>
        <w:rPr>
          <w:rFonts w:ascii="Times New Roman" w:cs="Times New Roman" w:eastAsia="Times New Roman" w:hAnsi="Times New Roman"/>
          <w:sz w:val="17"/>
          <w:szCs w:val="17"/>
          <w:color w:val="auto"/>
        </w:rPr>
      </w:pPr>
    </w:p>
    <w:p>
      <w:pPr>
        <w:ind w:right="40" w:firstLine="929"/>
        <w:spacing w:after="0" w:line="259" w:lineRule="auto"/>
        <w:tabs>
          <w:tab w:leader="none" w:pos="1170" w:val="left"/>
        </w:tabs>
        <w:numPr>
          <w:ilvl w:val="0"/>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Advances will be unsecured and interest free. Indemnitee hereby undertakes to repay any amounts so advanced (without interest) to the extent that it is ultimately determined that Indemnitee is not entitled to be indemnified by the Company, thus Indemnitee qualifies for advances upon the execution of this Agreement and delivery to the Company. No other form of undertaking is required other than the execution of this Agreement. The Company will make advances without regard to Indemnitee’s ability to repay the Expenses and without regard to Indemnitee’s ultimate entitlement to indemnification under the other provisions of this Agreement.</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u w:val="single" w:color="auto"/>
          <w:color w:val="auto"/>
        </w:rPr>
        <w:t>Procedure for Notification of Claim for Indemnification or Advancement.</w:t>
      </w:r>
    </w:p>
    <w:p>
      <w:pPr>
        <w:spacing w:after="0" w:line="111" w:lineRule="exact"/>
        <w:rPr>
          <w:sz w:val="20"/>
          <w:szCs w:val="20"/>
          <w:color w:val="auto"/>
        </w:rPr>
      </w:pPr>
    </w:p>
    <w:p>
      <w:pPr>
        <w:ind w:firstLine="929"/>
        <w:spacing w:after="0" w:line="255" w:lineRule="auto"/>
        <w:tabs>
          <w:tab w:leader="none" w:pos="1170"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Indemnitee will notify the Company in writing of any Proceeding with respect to which Indemnitee intends to seek indemnification or advancement of Expenses hereunder as soon as reasonably practicable following the receipt by Indemnitee of written notice thereof. Indemnitee will include in the written notification to the Company a description of the nature of the Proceeding and the facts underlying the Proceeding and provide such documentation and information as is reasonably available to Indemnitee and is reasonably necessary to determine whether and to what extent Indemnitee is entitled to indemnification following the final disposition of such Proceeding. Indemnitee’s failure to notify the Company will not relieve the Company from any obligation it may have to Indemnitee under this Agreement, and any delay in so notifying the Company will not constitute a waiver by Indemnitee of any rights under this Agreement. The Secretary of the Company will, promptly upon receipt of such a request for indemnification or advancement, advise the Board in writing that Indemnitee has requested indemnification or advancement.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420"/>
          </w:cols>
          <w:pgMar w:left="740" w:top="263" w:right="739" w:bottom="1440" w:gutter="0" w:footer="0" w:header="0"/>
        </w:sectPr>
      </w:pPr>
    </w:p>
    <w:bookmarkStart w:id="428" w:name="page429"/>
    <w:bookmarkEnd w:id="428"/>
    <w:p>
      <w:pPr>
        <w:ind w:left="9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(b) The Company will be entitled to participate in the Proceeding at its own expense.</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Procedure Upon Application for Indemnification.</w:t>
      </w:r>
    </w:p>
    <w:p>
      <w:pPr>
        <w:spacing w:after="0" w:line="111" w:lineRule="exact"/>
        <w:rPr>
          <w:sz w:val="20"/>
          <w:szCs w:val="20"/>
          <w:color w:val="auto"/>
        </w:rPr>
      </w:pPr>
    </w:p>
    <w:p>
      <w:pPr>
        <w:ind w:left="1160" w:hanging="231"/>
        <w:spacing w:after="0"/>
        <w:tabs>
          <w:tab w:leader="none" w:pos="1160" w:val="left"/>
        </w:tabs>
        <w:numPr>
          <w:ilvl w:val="0"/>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a Change of Control has occurred, the determination of Indemnitee’s entitlement to indemnification will be made:</w:t>
      </w:r>
    </w:p>
    <w:p>
      <w:pPr>
        <w:spacing w:after="0" w:line="111" w:lineRule="exact"/>
        <w:rPr>
          <w:rFonts w:ascii="Times New Roman" w:cs="Times New Roman" w:eastAsia="Times New Roman" w:hAnsi="Times New Roman"/>
          <w:sz w:val="17"/>
          <w:szCs w:val="17"/>
          <w:color w:val="auto"/>
        </w:rPr>
      </w:pPr>
    </w:p>
    <w:p>
      <w:pPr>
        <w:ind w:left="1480" w:hanging="134"/>
        <w:spacing w:after="0"/>
        <w:tabs>
          <w:tab w:leader="none" w:pos="1480" w:val="left"/>
        </w:tabs>
        <w:numPr>
          <w:ilvl w:val="1"/>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 majority vote of the Disinterested Directors, even though less than a quorum of the Board;</w:t>
      </w:r>
    </w:p>
    <w:p>
      <w:pPr>
        <w:spacing w:after="0" w:line="111" w:lineRule="exact"/>
        <w:rPr>
          <w:rFonts w:ascii="Times New Roman" w:cs="Times New Roman" w:eastAsia="Times New Roman" w:hAnsi="Times New Roman"/>
          <w:sz w:val="17"/>
          <w:szCs w:val="17"/>
          <w:color w:val="auto"/>
        </w:rPr>
      </w:pPr>
    </w:p>
    <w:p>
      <w:pPr>
        <w:ind w:left="1520" w:hanging="174"/>
        <w:spacing w:after="0"/>
        <w:tabs>
          <w:tab w:leader="none" w:pos="1520" w:val="left"/>
        </w:tabs>
        <w:numPr>
          <w:ilvl w:val="1"/>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 committee of Disinterested Directors designated by a majority vote of the Disinterested Directors, even though less than a</w:t>
      </w:r>
    </w:p>
    <w:p>
      <w:pPr>
        <w:spacing w:after="0" w:line="2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quorum of the Board;</w:t>
      </w:r>
    </w:p>
    <w:p>
      <w:pPr>
        <w:spacing w:after="0" w:line="93" w:lineRule="exact"/>
        <w:rPr>
          <w:rFonts w:ascii="Times New Roman" w:cs="Times New Roman" w:eastAsia="Times New Roman" w:hAnsi="Times New Roman"/>
          <w:sz w:val="17"/>
          <w:szCs w:val="17"/>
          <w:color w:val="auto"/>
        </w:rPr>
      </w:pPr>
    </w:p>
    <w:p>
      <w:pPr>
        <w:ind w:right="740" w:firstLine="1346"/>
        <w:spacing w:after="0" w:line="283" w:lineRule="auto"/>
        <w:tabs>
          <w:tab w:leader="none" w:pos="1582" w:val="left"/>
        </w:tabs>
        <w:numPr>
          <w:ilvl w:val="1"/>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there are no such Disinterested Directors or, if such Disinterested Directors so direct, by written opinion provided by Independent Counsel selected by the Board; or</w:t>
      </w:r>
    </w:p>
    <w:p>
      <w:pPr>
        <w:spacing w:after="0" w:line="50" w:lineRule="exact"/>
        <w:rPr>
          <w:rFonts w:ascii="Times New Roman" w:cs="Times New Roman" w:eastAsia="Times New Roman" w:hAnsi="Times New Roman"/>
          <w:sz w:val="17"/>
          <w:szCs w:val="17"/>
          <w:color w:val="auto"/>
        </w:rPr>
      </w:pPr>
    </w:p>
    <w:p>
      <w:pPr>
        <w:ind w:left="1560" w:hanging="214"/>
        <w:spacing w:after="0"/>
        <w:tabs>
          <w:tab w:leader="none" w:pos="1560" w:val="left"/>
        </w:tabs>
        <w:numPr>
          <w:ilvl w:val="1"/>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so directed by the Board, by the stockholders of the Company.</w:t>
      </w:r>
    </w:p>
    <w:p>
      <w:pPr>
        <w:spacing w:after="0" w:line="111" w:lineRule="exact"/>
        <w:rPr>
          <w:rFonts w:ascii="Times New Roman" w:cs="Times New Roman" w:eastAsia="Times New Roman" w:hAnsi="Times New Roman"/>
          <w:sz w:val="17"/>
          <w:szCs w:val="17"/>
          <w:color w:val="auto"/>
        </w:rPr>
      </w:pPr>
    </w:p>
    <w:p>
      <w:pPr>
        <w:ind w:right="80" w:firstLine="929"/>
        <w:spacing w:after="0" w:line="283" w:lineRule="auto"/>
        <w:tabs>
          <w:tab w:leader="none" w:pos="1180" w:val="left"/>
        </w:tabs>
        <w:numPr>
          <w:ilvl w:val="0"/>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Change in Control has occurred, the determination of Indemnitee’s entitlement to indemnification will be made by written opinion provided by Independent Counsel selected by Indemnitee (unless Indemnitee requests such selection be made by the Board)</w:t>
      </w:r>
    </w:p>
    <w:p>
      <w:pPr>
        <w:spacing w:after="0" w:line="50" w:lineRule="exact"/>
        <w:rPr>
          <w:rFonts w:ascii="Times New Roman" w:cs="Times New Roman" w:eastAsia="Times New Roman" w:hAnsi="Times New Roman"/>
          <w:sz w:val="17"/>
          <w:szCs w:val="17"/>
          <w:color w:val="auto"/>
        </w:rPr>
      </w:pPr>
    </w:p>
    <w:p>
      <w:pPr>
        <w:ind w:firstLine="929"/>
        <w:spacing w:after="0" w:line="253" w:lineRule="auto"/>
        <w:tabs>
          <w:tab w:leader="none" w:pos="1170" w:val="left"/>
        </w:tabs>
        <w:numPr>
          <w:ilvl w:val="0"/>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party selecting Independent Counsel pursuant to subsection (a)(iii) or (b) of this Section 12 will provide written notice of the selection to the other party. The notified party may, within ten (10) days after receiving written notice of the selection of Independent Counsel, deliver to the selecting party a written objection to such selection;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objection may be asserted only on the ground that the Independent Counsel so selected does not meet the requirements of “Independent Counsel” as defined in Section 2 of this Agreement, and the objection will set forth with particularity the factual basis of such assertion. Absent a proper and timely objection, the person so selected will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thirty (30) days after the later of submission by Indemnitee of a written request for indemnification pursuant to Section 11(a) of this Agreement and the final disposition of the Proceeding, Independent Counsel has not been selected or, if selected, any objection to such selection has not been resolved, either the Company or Indemnitee may petition the Delaware Court for resolution of any objection made by the Company or Indemnitee to the other’s selection of Independent Counsel and/or for the appointment as Independent Counsel of a person selected by such court or by such other person as such court designates. Upon the due commencement of any judicial proceeding or arbitration pursuant to Section 14(a) of this Agreement, Independent Counsel will be discharged and relieved of any further responsibility in such capacity (subject to the applicable standards of professional conduct then prevailing).</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400"/>
          </w:cols>
          <w:pgMar w:left="740" w:top="264" w:right="759" w:bottom="1440" w:gutter="0" w:footer="0" w:header="0"/>
        </w:sectPr>
      </w:pPr>
    </w:p>
    <w:bookmarkStart w:id="429" w:name="page430"/>
    <w:bookmarkEnd w:id="429"/>
    <w:p>
      <w:pPr>
        <w:ind w:firstLine="929"/>
        <w:spacing w:after="0" w:line="255" w:lineRule="auto"/>
        <w:tabs>
          <w:tab w:leader="none" w:pos="1180" w:val="left"/>
        </w:tabs>
        <w:numPr>
          <w:ilvl w:val="0"/>
          <w:numId w:val="3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Indemnitee will cooperate with the person, persons or entity making the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The Company will advance and pay any Expenses incurred by Indemnitee in so cooperating with the person, persons or entity making the indemnification determination irrespective of the determination as to Indemnitee’s entitlement to indemnification and the Company hereby indemnifies and agrees to hold Indemnitee harmless therefrom. The Company promptly will advise Indemnitee in writing of the determination that Indemnitee is or is not entitled to indemnification, including a description of any reason or basis for which indemnification has been denied and providing a copy of any written opinion provided to the Board by Independent Counsel.</w:t>
      </w:r>
    </w:p>
    <w:p>
      <w:pPr>
        <w:spacing w:after="0" w:line="76" w:lineRule="exact"/>
        <w:rPr>
          <w:rFonts w:ascii="Times New Roman" w:cs="Times New Roman" w:eastAsia="Times New Roman" w:hAnsi="Times New Roman"/>
          <w:sz w:val="17"/>
          <w:szCs w:val="17"/>
          <w:color w:val="auto"/>
        </w:rPr>
      </w:pPr>
    </w:p>
    <w:p>
      <w:pPr>
        <w:ind w:right="40" w:firstLine="929"/>
        <w:spacing w:after="0" w:line="283" w:lineRule="auto"/>
        <w:tabs>
          <w:tab w:leader="none" w:pos="1170" w:val="left"/>
        </w:tabs>
        <w:numPr>
          <w:ilvl w:val="0"/>
          <w:numId w:val="3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it is determined that Indemnitee is entitled to indemnification, the Company will make payment to Indemnitee within thirty (30) days after such determination.</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Section 13. </w:t>
      </w:r>
      <w:r>
        <w:rPr>
          <w:rFonts w:ascii="Times New Roman" w:cs="Times New Roman" w:eastAsia="Times New Roman" w:hAnsi="Times New Roman"/>
          <w:sz w:val="17"/>
          <w:szCs w:val="17"/>
          <w:u w:val="single" w:color="auto"/>
          <w:color w:val="auto"/>
        </w:rPr>
        <w:t>Presumptions and Effect of Certain Proceedings.</w:t>
      </w:r>
    </w:p>
    <w:p>
      <w:pPr>
        <w:spacing w:after="0" w:line="111" w:lineRule="exact"/>
        <w:rPr>
          <w:sz w:val="20"/>
          <w:szCs w:val="20"/>
          <w:color w:val="auto"/>
        </w:rPr>
      </w:pPr>
    </w:p>
    <w:p>
      <w:pPr>
        <w:ind w:right="60" w:firstLine="929"/>
        <w:spacing w:after="0" w:line="255" w:lineRule="auto"/>
        <w:tabs>
          <w:tab w:leader="none" w:pos="1170" w:val="left"/>
        </w:tabs>
        <w:numPr>
          <w:ilvl w:val="0"/>
          <w:numId w:val="3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making a determination with respect to entitlement to indemnification under this Agreement, the person, persons, or entity making such determination will, to the fullest extent not prohibited by law, presume Indemnitee is entitled to indemnification under this Agreement if Indemnitee has submitted a request for indemnification in accordance with Section 11(a) of this Agreement, and the Company will, to the fullest extent not prohibited by law, have the burden of proof to overcome that presumption. Neither the failure of the Company (including by its directors or Independent Counsel) to have made a determination prior to the commencement of any action pursuant to this Agreement that indemnification is proper under the circumstances because Indemnitee has met the applicable standard of conduct, nor an actual determination by the Company (including by its directors or Independent Counsel) that Indemnitee has not met such applicable standard of conduct, will be a defense to the action or create a presumption that Indemnitee has not met the applicable standard of conduct.</w:t>
      </w:r>
    </w:p>
    <w:p>
      <w:pPr>
        <w:spacing w:after="0" w:line="76" w:lineRule="exact"/>
        <w:rPr>
          <w:rFonts w:ascii="Times New Roman" w:cs="Times New Roman" w:eastAsia="Times New Roman" w:hAnsi="Times New Roman"/>
          <w:sz w:val="17"/>
          <w:szCs w:val="17"/>
          <w:color w:val="auto"/>
        </w:rPr>
      </w:pPr>
    </w:p>
    <w:p>
      <w:pPr>
        <w:ind w:right="60" w:firstLine="929"/>
        <w:spacing w:after="0" w:line="254" w:lineRule="auto"/>
        <w:tabs>
          <w:tab w:leader="none" w:pos="1180" w:val="left"/>
        </w:tabs>
        <w:numPr>
          <w:ilvl w:val="0"/>
          <w:numId w:val="3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determination of the Indemnitee’s entitlement to indemnification has not been made pursuant to Section 12 of this Agreement within sixty (60) days after the later of (i) receipt by the Company of Indemnitee’s request for indemnification pursuant to Section 11(a) of this Agreement and (ii) the final disposition of the Proceeding for which Indemnitee requested Indemnification (the “Determination Period”), the requisite determination of entitlement to indemnification will, to the fullest extent not prohibited by law, be deemed to have been made and Indemnitee will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The Determination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 and provided, further, the Determination Period will not apply (i) if the determination of entitlement to indemnification is to be made by the stockholders pursuant to Section 12(a)(iv) of this Agreement and if (A) within fifteen (15) days after receipt by the Company of the request for such determination the Board has resolved to submit such determination to the stockholders for</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420"/>
          </w:cols>
          <w:pgMar w:left="740" w:top="264" w:right="739" w:bottom="1440" w:gutter="0" w:footer="0" w:header="0"/>
        </w:sectPr>
      </w:pPr>
    </w:p>
    <w:bookmarkStart w:id="430" w:name="page431"/>
    <w:bookmarkEnd w:id="430"/>
    <w:p>
      <w:pPr>
        <w:ind w:left="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their consideration at an annual meeting thereof to be held within seventy-five (75) days after such receipt and such determination is made thereat, or</w:t>
      </w:r>
    </w:p>
    <w:p>
      <w:pPr>
        <w:spacing w:after="0" w:line="26" w:lineRule="exact"/>
        <w:rPr>
          <w:sz w:val="20"/>
          <w:szCs w:val="20"/>
          <w:color w:val="auto"/>
        </w:rPr>
      </w:pPr>
    </w:p>
    <w:p>
      <w:pPr>
        <w:ind w:left="9" w:right="120" w:hanging="9"/>
        <w:spacing w:after="0" w:line="256" w:lineRule="auto"/>
        <w:tabs>
          <w:tab w:leader="none" w:pos="279" w:val="left"/>
        </w:tabs>
        <w:numPr>
          <w:ilvl w:val="0"/>
          <w:numId w:val="3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special meeting of stockholders is called within fifteen (15) days after such receipt for the purpose of making such determination, such meeting is held for such purpose within sixty (60) days after having been so called and such determination is made thereat, or (ii) if the determination of entitlement to indemnification is to be made by Independent Counsel.</w:t>
      </w:r>
    </w:p>
    <w:p>
      <w:pPr>
        <w:spacing w:after="0" w:line="72" w:lineRule="exact"/>
        <w:rPr>
          <w:rFonts w:ascii="Times New Roman" w:cs="Times New Roman" w:eastAsia="Times New Roman" w:hAnsi="Times New Roman"/>
          <w:sz w:val="17"/>
          <w:szCs w:val="17"/>
          <w:color w:val="auto"/>
        </w:rPr>
      </w:pPr>
    </w:p>
    <w:p>
      <w:pPr>
        <w:ind w:left="9" w:right="20" w:firstLine="929"/>
        <w:spacing w:after="0" w:line="259" w:lineRule="auto"/>
        <w:tabs>
          <w:tab w:leader="none" w:pos="1179" w:val="left"/>
        </w:tabs>
        <w:numPr>
          <w:ilvl w:val="1"/>
          <w:numId w:val="3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termination of any Proceeding or of any claim, issue, or matter therein by judgment, order, settlement or conviction, or upon a plea of </w:t>
      </w:r>
      <w:r>
        <w:rPr>
          <w:rFonts w:ascii="Times New Roman" w:cs="Times New Roman" w:eastAsia="Times New Roman" w:hAnsi="Times New Roman"/>
          <w:sz w:val="17"/>
          <w:szCs w:val="17"/>
          <w:u w:val="single" w:color="auto"/>
          <w:color w:val="auto"/>
        </w:rPr>
        <w:t>nolo contendere</w:t>
      </w:r>
      <w:r>
        <w:rPr>
          <w:rFonts w:ascii="Times New Roman" w:cs="Times New Roman" w:eastAsia="Times New Roman" w:hAnsi="Times New Roman"/>
          <w:sz w:val="17"/>
          <w:szCs w:val="17"/>
          <w:color w:val="auto"/>
        </w:rPr>
        <w:t xml:space="preserve"> or its equivalent, will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69" w:lineRule="exact"/>
        <w:rPr>
          <w:rFonts w:ascii="Times New Roman" w:cs="Times New Roman" w:eastAsia="Times New Roman" w:hAnsi="Times New Roman"/>
          <w:sz w:val="17"/>
          <w:szCs w:val="17"/>
          <w:color w:val="auto"/>
        </w:rPr>
      </w:pPr>
    </w:p>
    <w:p>
      <w:pPr>
        <w:ind w:left="1189" w:hanging="251"/>
        <w:spacing w:after="0"/>
        <w:tabs>
          <w:tab w:leader="none" w:pos="1189" w:val="left"/>
        </w:tabs>
        <w:numPr>
          <w:ilvl w:val="1"/>
          <w:numId w:val="3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any determination of good faith, Indemnitee will be deemed to have acted in good faith if Indemnitee acted based on</w:t>
      </w:r>
    </w:p>
    <w:p>
      <w:pPr>
        <w:spacing w:after="0" w:line="26" w:lineRule="exact"/>
        <w:rPr>
          <w:rFonts w:ascii="Times New Roman" w:cs="Times New Roman" w:eastAsia="Times New Roman" w:hAnsi="Times New Roman"/>
          <w:sz w:val="17"/>
          <w:szCs w:val="17"/>
          <w:color w:val="auto"/>
        </w:rPr>
      </w:pPr>
    </w:p>
    <w:p>
      <w:pPr>
        <w:ind w:left="9" w:right="8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 records or books of account of the Company, its subsidiaries, or an Enterprise, including financial statements, (ii) information supplied to Indemnitee by the directors or officers of the Company, its subsidiaries, or an Enterprise in the course of their duties, (iii) the advice of legal counsel for the Company, its subsidiaries, or an Enterprise or (iv) information or records given or reports made to the Company or an Enterprise by an independent certified public accountant or by an appraiser, financial advisor or other expert selected with reasonable care by or on behalf of the Company, its subsidiaries, or an Enterprise. Further, Indemnitee will be deemed to have acted in a manner “not opposed to the best interests of the Company,” as referred to in this Agreement if Indemnitee acted in good faith and in a manner Indemnitee reasonably believed to be in the best interests of the participants and beneficiaries of an employee benefit plan. The provisions of this Section 13(d) are not exclusive and do not limit in any way the other circumstances in which the Indemnitee may be deemed to have met the applicable standard of conduct set forth in this Agreement.</w:t>
      </w:r>
    </w:p>
    <w:p>
      <w:pPr>
        <w:spacing w:after="0" w:line="78" w:lineRule="exact"/>
        <w:rPr>
          <w:rFonts w:ascii="Times New Roman" w:cs="Times New Roman" w:eastAsia="Times New Roman" w:hAnsi="Times New Roman"/>
          <w:sz w:val="17"/>
          <w:szCs w:val="17"/>
          <w:color w:val="auto"/>
        </w:rPr>
      </w:pPr>
    </w:p>
    <w:p>
      <w:pPr>
        <w:ind w:left="9" w:right="280" w:firstLine="929"/>
        <w:spacing w:after="0" w:line="267" w:lineRule="auto"/>
        <w:tabs>
          <w:tab w:leader="none" w:pos="1179" w:val="left"/>
        </w:tabs>
        <w:numPr>
          <w:ilvl w:val="1"/>
          <w:numId w:val="3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knowledge and/or actions, or failure to act, of any other person affiliated with the Company or an Enterprise (including, but not limited to, a director, officer, trustee, partner, managing member, fiduciary, Agent or employee) may not be imputed to Indemnitee for purposes of determining Indemnitee’s right to indemnification under this Agreement.</w:t>
      </w:r>
    </w:p>
    <w:p>
      <w:pPr>
        <w:spacing w:after="0" w:line="165" w:lineRule="exact"/>
        <w:rPr>
          <w:sz w:val="20"/>
          <w:szCs w:val="20"/>
          <w:color w:val="auto"/>
        </w:rPr>
      </w:pPr>
    </w:p>
    <w:p>
      <w:pPr>
        <w:ind w:left="409"/>
        <w:spacing w:after="0"/>
        <w:rPr>
          <w:sz w:val="20"/>
          <w:szCs w:val="20"/>
          <w:color w:val="auto"/>
        </w:rPr>
      </w:pPr>
      <w:r>
        <w:rPr>
          <w:rFonts w:ascii="Times New Roman" w:cs="Times New Roman" w:eastAsia="Times New Roman" w:hAnsi="Times New Roman"/>
          <w:sz w:val="17"/>
          <w:szCs w:val="17"/>
          <w:color w:val="auto"/>
        </w:rPr>
        <w:t xml:space="preserve">Section 14. </w:t>
      </w:r>
      <w:r>
        <w:rPr>
          <w:rFonts w:ascii="Times New Roman" w:cs="Times New Roman" w:eastAsia="Times New Roman" w:hAnsi="Times New Roman"/>
          <w:sz w:val="17"/>
          <w:szCs w:val="17"/>
          <w:u w:val="single" w:color="auto"/>
          <w:color w:val="auto"/>
        </w:rPr>
        <w:t>Remedies of Indemnitee.</w:t>
      </w:r>
    </w:p>
    <w:p>
      <w:pPr>
        <w:spacing w:after="0" w:line="111" w:lineRule="exact"/>
        <w:rPr>
          <w:sz w:val="20"/>
          <w:szCs w:val="20"/>
          <w:color w:val="auto"/>
        </w:rPr>
      </w:pPr>
    </w:p>
    <w:p>
      <w:pPr>
        <w:ind w:left="9" w:firstLine="929"/>
        <w:spacing w:after="0" w:line="256" w:lineRule="auto"/>
        <w:tabs>
          <w:tab w:leader="none" w:pos="1179" w:val="left"/>
        </w:tabs>
        <w:numPr>
          <w:ilvl w:val="0"/>
          <w:numId w:val="3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Indemnitee may commence litigation against the Company in the Delaware Court of Chancery to obtain indemnification or advancement of Expenses provided by this Agreement in the event that (i) a determination is made pursuant to Section 12 of this Agreement that Indemnitee is not entitled to indemnification under this Agreement, (ii) the Company does not advance Expenses pursuant to Section 10 of this Agreement, (iii) the determination of entitlement to indemnification is not made pursuant to Section 12 of this Agreement within the Determination Period, (iv) the Company does not indemnify Indemnitee pursuant to Section 5 or 6 or the second to last sentence of Section 12(d) of this Agreement within thirty (30) days after receipt by the Company of a written request therefor, (v) the Company does not indemnify Indemnitee pursuant to Section 3, 4, 7, or 8 of this Agreement within thirty (30) days after a determination has been</w:t>
      </w:r>
    </w:p>
    <w:p>
      <w:pPr>
        <w:spacing w:after="0" w:line="11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429"/>
          </w:cols>
          <w:pgMar w:left="731" w:top="264" w:right="739" w:bottom="1440" w:gutter="0" w:footer="0" w:header="0"/>
        </w:sectPr>
      </w:pPr>
    </w:p>
    <w:bookmarkStart w:id="431" w:name="page432"/>
    <w:bookmarkEnd w:id="431"/>
    <w:p>
      <w:pPr>
        <w:ind w:right="40"/>
        <w:spacing w:after="0" w:line="25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made that Indemnitee is entitled to indemnification, or (vi) in the event that the Company or any other person takes or threatens to take any action to declare this Agreement void or unenforceable, or institutes any litigation or other action or Proceeding designed to deny, or to recover from, the Indemnitee the benefits provided or intended to be provided to the Indemnitee hereunder. Alternatively, Indemnitee, at Indemnitee’s option, may seek an award in arbitration to be conducted by a single arbitrator pursuant to the Commercial Arbitration Rules of the American Arbitration Association. Indemnitee must commence such Proceeding seeking an adjudication or an award in arbitration within one hundred and eighty (180) days following the date on which Indemnitee first has the right to commence such Proceeding pursuant to this Section 14(a);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foregoing clause does not apply in respect of a Proceeding brought by Indemnitee to enforce Indemnitee’s rights under Section 5 of this Agreement. The Company will not oppose Indemnitee’s right to seek any such adjudication or award in arbitration.</w:t>
      </w:r>
    </w:p>
    <w:p>
      <w:pPr>
        <w:spacing w:after="0" w:line="76" w:lineRule="exact"/>
        <w:rPr>
          <w:sz w:val="20"/>
          <w:szCs w:val="20"/>
          <w:color w:val="auto"/>
        </w:rPr>
      </w:pPr>
    </w:p>
    <w:p>
      <w:pPr>
        <w:ind w:right="100" w:firstLine="929"/>
        <w:spacing w:after="0" w:line="259" w:lineRule="auto"/>
        <w:tabs>
          <w:tab w:leader="none" w:pos="1180" w:val="left"/>
        </w:tabs>
        <w:numPr>
          <w:ilvl w:val="0"/>
          <w:numId w:val="3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 determination is made pursuant to Section 12 of this Agreement that Indemnitee is not entitled to indemnification, any judicial proceeding or arbitration commenced pursuant to this Section 14 will be conducted in all respects as a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trial or arbitration on the merits and Indemnitee may not be prejudiced by reason of that adverse determination. In any judicial proceeding or arbitration commenced pursuant to this Section 14 the Company will have the burden of proving Indemnitee is not entitled to indemnification or advancement of Expenses, as the case may be, and will not introduce evidence of the determination made pursuant to Section 12 of this Agreement.</w:t>
      </w:r>
    </w:p>
    <w:p>
      <w:pPr>
        <w:spacing w:after="0" w:line="69" w:lineRule="exact"/>
        <w:rPr>
          <w:rFonts w:ascii="Times New Roman" w:cs="Times New Roman" w:eastAsia="Times New Roman" w:hAnsi="Times New Roman"/>
          <w:sz w:val="17"/>
          <w:szCs w:val="17"/>
          <w:color w:val="auto"/>
        </w:rPr>
      </w:pPr>
    </w:p>
    <w:p>
      <w:pPr>
        <w:jc w:val="both"/>
        <w:ind w:firstLine="929"/>
        <w:spacing w:after="0" w:line="261" w:lineRule="auto"/>
        <w:tabs>
          <w:tab w:leader="none" w:pos="1170" w:val="left"/>
        </w:tabs>
        <w:numPr>
          <w:ilvl w:val="0"/>
          <w:numId w:val="3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determination is made pursuant to Section 12 of this Agreement that Indemnitee is entitled to indemnification, the Company will be bound by such determination in any judicial proceeding or arbitration commenced pursuant to this Section 14 unless (i) a misstatement by Indemnitee of a material fact, or an omission of a material fact necessary to make Indemnitee’s statement not materially misleading, in connection with Indemnitees’ request for indemnification, or (ii) the Company is prohibited from indemnifying Indemnitee under applicable law.</w:t>
      </w:r>
    </w:p>
    <w:p>
      <w:pPr>
        <w:spacing w:after="0" w:line="69" w:lineRule="exact"/>
        <w:rPr>
          <w:rFonts w:ascii="Times New Roman" w:cs="Times New Roman" w:eastAsia="Times New Roman" w:hAnsi="Times New Roman"/>
          <w:sz w:val="17"/>
          <w:szCs w:val="17"/>
          <w:color w:val="auto"/>
        </w:rPr>
      </w:pPr>
    </w:p>
    <w:p>
      <w:pPr>
        <w:ind w:right="100" w:firstLine="929"/>
        <w:spacing w:after="0" w:line="267" w:lineRule="auto"/>
        <w:tabs>
          <w:tab w:leader="none" w:pos="1180" w:val="left"/>
        </w:tabs>
        <w:numPr>
          <w:ilvl w:val="0"/>
          <w:numId w:val="3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to the fullest extent not prohibited by law, precluded from asserting in any judicial proceeding or arbitration commenced pursuant to this Section 14 that the procedures and presumptions of this Agreement are not valid, binding, or enforceable and will stipulate in any such court or before any such arbitrator that the Company is bound by all the provisions of this Agreement.</w:t>
      </w:r>
    </w:p>
    <w:p>
      <w:pPr>
        <w:spacing w:after="0" w:line="63" w:lineRule="exact"/>
        <w:rPr>
          <w:rFonts w:ascii="Times New Roman" w:cs="Times New Roman" w:eastAsia="Times New Roman" w:hAnsi="Times New Roman"/>
          <w:sz w:val="17"/>
          <w:szCs w:val="17"/>
          <w:color w:val="auto"/>
        </w:rPr>
      </w:pPr>
    </w:p>
    <w:p>
      <w:pPr>
        <w:ind w:right="20" w:firstLine="929"/>
        <w:spacing w:after="0" w:line="255" w:lineRule="auto"/>
        <w:tabs>
          <w:tab w:leader="none" w:pos="1170" w:val="left"/>
        </w:tabs>
        <w:numPr>
          <w:ilvl w:val="0"/>
          <w:numId w:val="3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the intent of the Company that, to the fullest extent permitted by law,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under this Agreement. The Company, to the fullest extent permitted by law, will (within thirty (30) days after receipt by the Company of a written request therefor) advance to Indemnitee such Expenses which are incurred by Indemnitee in connection with a Proceeding concerning this Agreement, Indemnitee’s other rights to indemnification or advancement of Expenses from the Company, or concerning any directors’ and officers’ liability insurance policies maintained by the Company, and will indemnify Indemnitee against any and all such Expenses unless the court determines that Indemnitee’s claims in such action were made in bad faith or frivolous, or that the Company is prohibited by law from indemnifying Indemnitee for such Expenses.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420"/>
          </w:cols>
          <w:pgMar w:left="740" w:top="264" w:right="739" w:bottom="1440" w:gutter="0" w:footer="0" w:header="0"/>
        </w:sectPr>
      </w:pPr>
    </w:p>
    <w:bookmarkStart w:id="432" w:name="page433"/>
    <w:bookmarkEnd w:id="432"/>
    <w:p>
      <w:pPr>
        <w:ind w:left="4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Section 15. [Reserved]</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Section 16. </w:t>
      </w:r>
      <w:r>
        <w:rPr>
          <w:rFonts w:ascii="Times New Roman" w:cs="Times New Roman" w:eastAsia="Times New Roman" w:hAnsi="Times New Roman"/>
          <w:sz w:val="17"/>
          <w:szCs w:val="17"/>
          <w:u w:val="single" w:color="auto"/>
          <w:color w:val="auto"/>
        </w:rPr>
        <w:t>Non-exclusivity; Survival of Rights; Insurance; Subrogation.</w:t>
      </w:r>
    </w:p>
    <w:p>
      <w:pPr>
        <w:spacing w:after="0" w:line="111" w:lineRule="exact"/>
        <w:rPr>
          <w:sz w:val="20"/>
          <w:szCs w:val="20"/>
          <w:color w:val="auto"/>
        </w:rPr>
      </w:pPr>
    </w:p>
    <w:p>
      <w:pPr>
        <w:ind w:firstLine="929"/>
        <w:spacing w:after="0" w:line="272" w:lineRule="auto"/>
        <w:tabs>
          <w:tab w:leader="none" w:pos="1170" w:val="left"/>
        </w:tabs>
        <w:numPr>
          <w:ilvl w:val="0"/>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indemnification and advancement of Expenses provided by this Agreement are not exclusive of any other rights to which Indemnitee may at any time be entitled under applicable law, the Certificate of Incorporation, the Bylaws, any agreement, a vote of stockholders, a resolution of the board of directors, or otherwise. The indemnification and advancement of Expenses provided by this Agreement may not be limited or restricted by any amendment, alteration or repeal of this Agreement in any way with respect to any action taken or omitted by Indemnitee in Indemnitee’s Corporate Status occurring prior to any amendment, alteration or repeal of this Agreement. To the extent that a change in Delaware law, whether by statute or judicial decision, permits greater indemnification or advancement of Expenses than would be afforded currently under the Bylaws, the Certificate of Incorporation, or this Agreement, it is the intent of the parties hereto that Indemnitee enjoy by this Agreement the greater benefits so afforded by such change. No right or remedy herein conferred is intended to be exclusive of any other right or remedy, and every other right and remedy is cumulative and in addition to every other right and remedy given hereunder or now or hereafter existing at law or in equity or otherwise. The assertion or employment of any right or remedy hereunder, or otherwise, will not prevent the concurrent assertion or employment of any other right or remedy.</w:t>
      </w:r>
    </w:p>
    <w:p>
      <w:pPr>
        <w:spacing w:after="0" w:line="61" w:lineRule="exact"/>
        <w:rPr>
          <w:rFonts w:ascii="Times New Roman" w:cs="Times New Roman" w:eastAsia="Times New Roman" w:hAnsi="Times New Roman"/>
          <w:sz w:val="16"/>
          <w:szCs w:val="16"/>
          <w:color w:val="auto"/>
        </w:rPr>
      </w:pPr>
    </w:p>
    <w:p>
      <w:pPr>
        <w:ind w:right="160" w:firstLine="929"/>
        <w:spacing w:after="0" w:line="259" w:lineRule="auto"/>
        <w:tabs>
          <w:tab w:leader="none" w:pos="1180" w:val="left"/>
        </w:tabs>
        <w:numPr>
          <w:ilvl w:val="0"/>
          <w:numId w:val="3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hereby acknowledges that Indemnitee may have certain rights to indemnification, advancement of Expenses and/or insurance provided by one or more other Persons with whom or which Indemnitee may be associated [(including, without limitation, any Sponsor Entities)]. The relationship between the Company and such other Persons, other than an Enterprise, with respect to Indemnitee’s rights to indemnification, advancement of Expenses, and insurance is described by this subsection, subject to the provisions of subsection (d) of this Section 16 with respect to a Proceeding concerning Indemnitee’s Corporate Status with an Enterprise.</w:t>
      </w:r>
    </w:p>
    <w:p>
      <w:pPr>
        <w:spacing w:after="0" w:line="69" w:lineRule="exact"/>
        <w:rPr>
          <w:rFonts w:ascii="Times New Roman" w:cs="Times New Roman" w:eastAsia="Times New Roman" w:hAnsi="Times New Roman"/>
          <w:sz w:val="17"/>
          <w:szCs w:val="17"/>
          <w:color w:val="auto"/>
        </w:rPr>
      </w:pPr>
    </w:p>
    <w:p>
      <w:pPr>
        <w:ind w:left="1480" w:hanging="134"/>
        <w:spacing w:after="0"/>
        <w:tabs>
          <w:tab w:leader="none" w:pos="1480" w:val="left"/>
        </w:tabs>
        <w:numPr>
          <w:ilvl w:val="1"/>
          <w:numId w:val="3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hereby acknowledges and agrees:</w:t>
      </w:r>
    </w:p>
    <w:p>
      <w:pPr>
        <w:spacing w:after="0" w:line="111" w:lineRule="exact"/>
        <w:rPr>
          <w:rFonts w:ascii="Times New Roman" w:cs="Times New Roman" w:eastAsia="Times New Roman" w:hAnsi="Times New Roman"/>
          <w:sz w:val="17"/>
          <w:szCs w:val="17"/>
          <w:color w:val="auto"/>
        </w:rPr>
      </w:pPr>
    </w:p>
    <w:p>
      <w:pPr>
        <w:ind w:right="200" w:firstLine="1868"/>
        <w:spacing w:after="0" w:line="267" w:lineRule="auto"/>
        <w:tabs>
          <w:tab w:leader="none" w:pos="2061" w:val="left"/>
        </w:tabs>
        <w:numPr>
          <w:ilvl w:val="2"/>
          <w:numId w:val="3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obligations to Indemnitee are primary and any obligation of any other Persons, other than an Enterprise, are secondary (i.e., the Company is the indemnitor of first resort) with respect to any request for indemnification or advancement of Expenses made pursuant to this Agreement concerning any Proceeding arising from or related to Indemnitee’s Corporate Status with the Company;</w:t>
      </w:r>
    </w:p>
    <w:p>
      <w:pPr>
        <w:spacing w:after="0" w:line="63" w:lineRule="exact"/>
        <w:rPr>
          <w:rFonts w:ascii="Times New Roman" w:cs="Times New Roman" w:eastAsia="Times New Roman" w:hAnsi="Times New Roman"/>
          <w:sz w:val="17"/>
          <w:szCs w:val="17"/>
          <w:color w:val="auto"/>
        </w:rPr>
      </w:pPr>
    </w:p>
    <w:p>
      <w:pPr>
        <w:ind w:right="480" w:firstLine="1868"/>
        <w:spacing w:after="0" w:line="267" w:lineRule="auto"/>
        <w:tabs>
          <w:tab w:leader="none" w:pos="2061" w:val="left"/>
        </w:tabs>
        <w:numPr>
          <w:ilvl w:val="2"/>
          <w:numId w:val="3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primarily liable for all indemnification or advancement of Expenses obligations for any Proceeding arising from or related to Indemnitee’s Corporate Status with the Company, whether created by law, the Bylaws, the Certificate of Incorporation, contract (including this Agreement) or otherwise;</w:t>
      </w:r>
    </w:p>
    <w:p>
      <w:pPr>
        <w:spacing w:after="0" w:line="63" w:lineRule="exact"/>
        <w:rPr>
          <w:rFonts w:ascii="Times New Roman" w:cs="Times New Roman" w:eastAsia="Times New Roman" w:hAnsi="Times New Roman"/>
          <w:sz w:val="17"/>
          <w:szCs w:val="17"/>
          <w:color w:val="auto"/>
        </w:rPr>
      </w:pPr>
    </w:p>
    <w:p>
      <w:pPr>
        <w:jc w:val="both"/>
        <w:ind w:right="220" w:firstLine="1868"/>
        <w:spacing w:after="0" w:line="267" w:lineRule="auto"/>
        <w:tabs>
          <w:tab w:leader="none" w:pos="2061" w:val="left"/>
        </w:tabs>
        <w:numPr>
          <w:ilvl w:val="2"/>
          <w:numId w:val="3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obligation of any other Persons with whom or which Indemnitee may be associated [(including, without limitation, any Sponsor Entities)] to indemnify Indemnitee and/or advance Expenses to Indemnitee in respect of any proceeding are secondary to the Company’s obligations;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400"/>
          </w:cols>
          <w:pgMar w:left="740" w:top="263" w:right="759" w:bottom="1440" w:gutter="0" w:footer="0" w:header="0"/>
        </w:sectPr>
      </w:pPr>
    </w:p>
    <w:bookmarkStart w:id="433" w:name="page434"/>
    <w:bookmarkEnd w:id="433"/>
    <w:p>
      <w:pPr>
        <w:ind w:left="-80" w:right="100" w:firstLine="1868"/>
        <w:spacing w:after="0" w:line="267" w:lineRule="auto"/>
        <w:tabs>
          <w:tab w:leader="none" w:pos="1981" w:val="left"/>
        </w:tabs>
        <w:numPr>
          <w:ilvl w:val="2"/>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the Company will indemnify Indemnitee and advance Expenses to Indemnitee hereunder to the fullest extent provided herein without regard to any rights Indemnitee may have against any other Person with whom or which Indemnitee may be associated [(including, any Sponsor Entities)] or an insurer of any such Person; and</w:t>
      </w:r>
    </w:p>
    <w:p>
      <w:pPr>
        <w:spacing w:after="0" w:line="63" w:lineRule="exact"/>
        <w:rPr>
          <w:rFonts w:ascii="Times New Roman" w:cs="Times New Roman" w:eastAsia="Times New Roman" w:hAnsi="Times New Roman"/>
          <w:sz w:val="17"/>
          <w:szCs w:val="17"/>
          <w:color w:val="auto"/>
        </w:rPr>
      </w:pPr>
    </w:p>
    <w:p>
      <w:pPr>
        <w:ind w:left="-80" w:firstLine="1346"/>
        <w:spacing w:after="0" w:line="256" w:lineRule="auto"/>
        <w:tabs>
          <w:tab w:leader="none" w:pos="1455" w:val="left"/>
        </w:tabs>
        <w:numPr>
          <w:ilvl w:val="1"/>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irrevocably waives, relinquishes and releases (A) any other Person with whom or which Indemnitee may be associated [(including, without limitation, any Sponsor Entities)] from any claim of contribution, subrogation, reimbursement, exoneration or indemnification, or any other recovery of any kind in respect of amounts paid by the Company to Indemnitee pursuant to this Agreement and (B) any right to participate in any claim or remedy of Indemnitee against any Person [(including, without limitation, any Sponsor Entities),] whether or not such claim, remedy or right arises in equity or under contract, statute or common law, including, without limitation, the right to take or receive from any Person [(including, without limitation, any Sponsor Entities)], directly or indirectly, in cash or other property or by set-off or in any other manner, payment or security on account of such claim, remedy or right.</w:t>
      </w:r>
    </w:p>
    <w:p>
      <w:pPr>
        <w:spacing w:after="0" w:line="73" w:lineRule="exact"/>
        <w:rPr>
          <w:rFonts w:ascii="Times New Roman" w:cs="Times New Roman" w:eastAsia="Times New Roman" w:hAnsi="Times New Roman"/>
          <w:sz w:val="17"/>
          <w:szCs w:val="17"/>
          <w:color w:val="auto"/>
        </w:rPr>
      </w:pPr>
    </w:p>
    <w:p>
      <w:pPr>
        <w:ind w:left="-80" w:right="80" w:firstLine="1346"/>
        <w:spacing w:after="0" w:line="257" w:lineRule="auto"/>
        <w:tabs>
          <w:tab w:leader="none" w:pos="1502" w:val="left"/>
        </w:tabs>
        <w:numPr>
          <w:ilvl w:val="1"/>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any other Person with whom or which Indemnitee may be associated [(including, without limitation, any Sponsor Entities)] or their insurers advances or extinguishes any liability or loss for Indemnitee, the payor has a right of subrogation against the Company or its insurers for all amounts so paid which would otherwise be payable by the Company or its insurers under this Agreement. In no event will payment by any other Person with whom or which Indemnitee may be associated [(including, without limitation, any Sponsor Entities)] or their insurers affect the obligations of the Company hereunder or shift primary liability for the Company’s obligation to indemnify or advance Expenses to any other Person with whom or which Indemnitee may be associated [(including, without limitation, any Sponsor Entities)].</w:t>
      </w:r>
    </w:p>
    <w:p>
      <w:pPr>
        <w:spacing w:after="0" w:line="72" w:lineRule="exact"/>
        <w:rPr>
          <w:rFonts w:ascii="Times New Roman" w:cs="Times New Roman" w:eastAsia="Times New Roman" w:hAnsi="Times New Roman"/>
          <w:sz w:val="17"/>
          <w:szCs w:val="17"/>
          <w:color w:val="auto"/>
        </w:rPr>
      </w:pPr>
    </w:p>
    <w:p>
      <w:pPr>
        <w:ind w:left="-80" w:right="60" w:firstLine="1346"/>
        <w:spacing w:after="0" w:line="261" w:lineRule="auto"/>
        <w:tabs>
          <w:tab w:leader="none" w:pos="1482" w:val="left"/>
        </w:tabs>
        <w:numPr>
          <w:ilvl w:val="1"/>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indemnification or advancement of Expenses provided by any other Person with whom or which Indemnitee may be associated [(including, without limitation, any Sponsor Entities)] is specifically in excess over the Company’s obligation to indemnify and advance Expenses or any valid and collectible insurance (including but not limited to any malpractice insurance or professional errors and omissions insurance) provided by the Company.</w:t>
      </w:r>
    </w:p>
    <w:p>
      <w:pPr>
        <w:spacing w:after="0" w:line="69" w:lineRule="exact"/>
        <w:rPr>
          <w:rFonts w:ascii="Times New Roman" w:cs="Times New Roman" w:eastAsia="Times New Roman" w:hAnsi="Times New Roman"/>
          <w:sz w:val="17"/>
          <w:szCs w:val="17"/>
          <w:color w:val="auto"/>
        </w:rPr>
      </w:pPr>
    </w:p>
    <w:p>
      <w:pPr>
        <w:ind w:left="-80" w:right="40" w:firstLine="929"/>
        <w:spacing w:after="0" w:line="255" w:lineRule="auto"/>
        <w:tabs>
          <w:tab w:leader="none" w:pos="1090" w:val="left"/>
        </w:tabs>
        <w:numPr>
          <w:ilvl w:val="0"/>
          <w:numId w:val="3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the Company maintains an insurance policy or policies providing liability insurance for directors, officers, employees, or Agents of the Company, the Company will obtain a policy or policies covering Indemnitee to the maximum extent of the coverage available for any such director, officer, employee or Agent under such policy or policies, including coverage in the event the Company does not or cannot, for any reason, indemnify or advance Expenses to Indemnitee as required by this Agreement. If, at the time of the receipt of a notice of a claim pursuant to this Agreement, the Company has director and officer liability insurance in effect, the Company will give prompt notice of such claim or of the commencement of a Proceeding, as the case may be, to the insurers in accordance with the procedures set forth in the respective policies. The Company will thereafter take all necessary or desirable action to cause such insurers to pay, on behalf of Indemnitee, all amounts payable as a result of such Proceeding in accordance with the terms of such policies. Indemnitee agrees to assist the Company’s efforts to cause the insurers to pay such amounts and will comply with the terms of such policies, including selection of approved panel counsel, if required.</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260"/>
          </w:cols>
          <w:pgMar w:left="820" w:top="264" w:right="819" w:bottom="1440" w:gutter="0" w:footer="0" w:header="0"/>
        </w:sectPr>
      </w:pPr>
    </w:p>
    <w:bookmarkStart w:id="434" w:name="page435"/>
    <w:bookmarkEnd w:id="434"/>
    <w:p>
      <w:pPr>
        <w:ind w:left="9" w:firstLine="929"/>
        <w:spacing w:after="0" w:line="256" w:lineRule="auto"/>
        <w:tabs>
          <w:tab w:leader="none" w:pos="1189" w:val="left"/>
        </w:tabs>
        <w:numPr>
          <w:ilvl w:val="0"/>
          <w:numId w:val="3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The Company’s obligation to indemnify or advance Expenses hereunder to Indemnitee for any Proceeding concerning Indemnitee’s Corporate Status with an Enterprise will be reduced by any amount Indemnitee has actually received as indemnification or advancement of Expenses from such Enterprise. The Company and Indemnitee intend that any such Enterprise (and its insurers) be the indemnitor of first resort with respect to indemnification and advancement of Expenses for any Proceeding related to or arising from Indemnitee’s Corporate Status with such Enterprise. The Company’s obligation to indemnify and advance Expenses to Indemnitee is secondary to the obligations the Enterprise or its insurers owe to Indemnitee. Indemnitee agrees to take all reasonably necessary and desirable action to obtain from an Enterprise indemnification and advancement of Expenses for any Proceeding related to, or arising from, Indemnitee’s Corporate Status with such Enterprise.</w:t>
      </w:r>
    </w:p>
    <w:p>
      <w:pPr>
        <w:spacing w:after="0" w:line="73" w:lineRule="exact"/>
        <w:rPr>
          <w:rFonts w:ascii="Times New Roman" w:cs="Times New Roman" w:eastAsia="Times New Roman" w:hAnsi="Times New Roman"/>
          <w:sz w:val="17"/>
          <w:szCs w:val="17"/>
          <w:color w:val="auto"/>
        </w:rPr>
      </w:pPr>
    </w:p>
    <w:p>
      <w:pPr>
        <w:ind w:left="9" w:right="140" w:firstLine="929"/>
        <w:spacing w:after="0" w:line="261" w:lineRule="auto"/>
        <w:tabs>
          <w:tab w:leader="none" w:pos="1179" w:val="left"/>
        </w:tabs>
        <w:numPr>
          <w:ilvl w:val="0"/>
          <w:numId w:val="3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any payment made by the Company under this Agreement, the Company will be subrogated to the extent of such payment to all of the rights of recovery of Indemnitee from any Enterprise or its insurance carrier. Indemnitee will execute all papers required and take all action necessary to secure such rights, including execution of such documents as are necessary to enable the Company to bring suit to enforce such rights.</w:t>
      </w:r>
    </w:p>
    <w:p>
      <w:pPr>
        <w:spacing w:after="0" w:line="172" w:lineRule="exact"/>
        <w:rPr>
          <w:sz w:val="20"/>
          <w:szCs w:val="20"/>
          <w:color w:val="auto"/>
        </w:rPr>
      </w:pPr>
    </w:p>
    <w:p>
      <w:pPr>
        <w:ind w:left="9" w:right="220" w:firstLine="417"/>
        <w:spacing w:after="0" w:line="255" w:lineRule="auto"/>
        <w:rPr>
          <w:sz w:val="20"/>
          <w:szCs w:val="20"/>
          <w:color w:val="auto"/>
        </w:rPr>
      </w:pPr>
      <w:r>
        <w:rPr>
          <w:rFonts w:ascii="Times New Roman" w:cs="Times New Roman" w:eastAsia="Times New Roman" w:hAnsi="Times New Roman"/>
          <w:sz w:val="17"/>
          <w:szCs w:val="17"/>
          <w:color w:val="auto"/>
        </w:rPr>
        <w:t xml:space="preserve">Section 17. </w:t>
      </w:r>
      <w:r>
        <w:rPr>
          <w:rFonts w:ascii="Times New Roman" w:cs="Times New Roman" w:eastAsia="Times New Roman" w:hAnsi="Times New Roman"/>
          <w:sz w:val="17"/>
          <w:szCs w:val="17"/>
          <w:u w:val="single" w:color="auto"/>
          <w:color w:val="auto"/>
        </w:rPr>
        <w:t>Duration of Agreement.</w:t>
      </w:r>
      <w:r>
        <w:rPr>
          <w:rFonts w:ascii="Times New Roman" w:cs="Times New Roman" w:eastAsia="Times New Roman" w:hAnsi="Times New Roman"/>
          <w:sz w:val="17"/>
          <w:szCs w:val="17"/>
          <w:color w:val="auto"/>
        </w:rPr>
        <w:t xml:space="preserve"> This Agreement continues until and terminates upon the later of: (a) ten (10) years after the date that Indemnitee ceases to have a Corporate Status or (b) one (1) year after the final termination of any Proceeding then pending in respect of which Indemnitee is granted rights of indemnification or advancement of Expenses hereunder and of any Proceeding commenced by Indemnitee pursuant to Section 14 of this Agreement relating thereto. The indemnification and advancement of Expenses rights provided by or granted pursuant to this Agreement are (i) binding upon and be enforceable by the parties hereto and their respective successors and assigns (including any direct or indirect successor by purchase, merger, consolidation or otherwise to all or substantially all of the business or assets of the Company), (ii) continue as to an Indemnitee who has ceased to be a director, officer, employee or Agent of the Company or of any other Enterprise, and (iii) inure to the benefit of Indemnitee and Indemnitee’s spouse, assigns, heirs, devisees, executors and administrators and other legal representatives.</w:t>
      </w:r>
    </w:p>
    <w:p>
      <w:pPr>
        <w:spacing w:after="0" w:line="178" w:lineRule="exact"/>
        <w:rPr>
          <w:sz w:val="20"/>
          <w:szCs w:val="20"/>
          <w:color w:val="auto"/>
        </w:rPr>
      </w:pPr>
    </w:p>
    <w:p>
      <w:pPr>
        <w:ind w:left="409"/>
        <w:spacing w:after="0"/>
        <w:rPr>
          <w:sz w:val="20"/>
          <w:szCs w:val="20"/>
          <w:color w:val="auto"/>
        </w:rPr>
      </w:pPr>
      <w:r>
        <w:rPr>
          <w:rFonts w:ascii="Times New Roman" w:cs="Times New Roman" w:eastAsia="Times New Roman" w:hAnsi="Times New Roman"/>
          <w:sz w:val="17"/>
          <w:szCs w:val="17"/>
          <w:color w:val="auto"/>
        </w:rPr>
        <w:t xml:space="preserve">Section 18.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xml:space="preserve"> If any provision or provisions of this Agreement is held to be invalid, illegal or unenforceable for any reason whatsoever:</w:t>
      </w:r>
    </w:p>
    <w:p>
      <w:pPr>
        <w:spacing w:after="0" w:line="26" w:lineRule="exact"/>
        <w:rPr>
          <w:sz w:val="20"/>
          <w:szCs w:val="20"/>
          <w:color w:val="auto"/>
        </w:rPr>
      </w:pPr>
    </w:p>
    <w:p>
      <w:pPr>
        <w:ind w:left="9" w:right="100" w:hanging="9"/>
        <w:spacing w:after="0" w:line="252" w:lineRule="auto"/>
        <w:tabs>
          <w:tab w:leader="none" w:pos="241" w:val="left"/>
        </w:tabs>
        <w:numPr>
          <w:ilvl w:val="0"/>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will not in any way be affected or impaired thereby and will remain enforceable to the fullest extent permitted by law; (b) such provision or provisions will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will be construed so as to give effect to the intent manifested thereby.</w:t>
      </w:r>
    </w:p>
    <w:p>
      <w:pPr>
        <w:spacing w:after="0" w:line="11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409"/>
          </w:cols>
          <w:pgMar w:left="731" w:top="264" w:right="759" w:bottom="1440" w:gutter="0" w:footer="0" w:header="0"/>
        </w:sectPr>
      </w:pPr>
    </w:p>
    <w:bookmarkStart w:id="435" w:name="page436"/>
    <w:bookmarkEnd w:id="435"/>
    <w:p>
      <w:pPr>
        <w:ind w:right="200" w:firstLine="417"/>
        <w:spacing w:after="0" w:line="26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Section 19. </w:t>
      </w: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 Any ambiguity in the terms of this Agreement will be resolved in favor of Indemnitee and in a manner to provide the maximum indemnification and advancement of Expenses permitted by law. The Company and Indemnitee intend that this Agreement provide to the fullest extent permitted by law for indemnification and advancement of Expenses in excess of that expressly provided, without limitation, by the Certificate of Incorporation, the Bylaws, vote of the Company’s stockholders or disinterested directors, or applicable law.</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Section 20. </w:t>
      </w:r>
      <w:r>
        <w:rPr>
          <w:rFonts w:ascii="Times New Roman" w:cs="Times New Roman" w:eastAsia="Times New Roman" w:hAnsi="Times New Roman"/>
          <w:sz w:val="17"/>
          <w:szCs w:val="17"/>
          <w:u w:val="single" w:color="auto"/>
          <w:color w:val="auto"/>
        </w:rPr>
        <w:t>Enforcement.</w:t>
      </w:r>
    </w:p>
    <w:p>
      <w:pPr>
        <w:spacing w:after="0" w:line="111" w:lineRule="exact"/>
        <w:rPr>
          <w:sz w:val="20"/>
          <w:szCs w:val="20"/>
          <w:color w:val="auto"/>
        </w:rPr>
      </w:pPr>
    </w:p>
    <w:p>
      <w:pPr>
        <w:ind w:right="80" w:firstLine="929"/>
        <w:spacing w:after="0" w:line="267" w:lineRule="auto"/>
        <w:tabs>
          <w:tab w:leader="none" w:pos="1170" w:val="left"/>
        </w:tabs>
        <w:numPr>
          <w:ilvl w:val="0"/>
          <w:numId w:val="3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expressly confirms and agrees that it has entered into this Agreement and assumed the obligations imposed on it hereby in order to induce Indemnitee to serve as a director, officer, employee, or Agent of the Company, and the Company acknowledges that Indemnitee is relying upon this Agreement in serving or continuing to serve as director, officer, employee, or Agent of the Company.</w:t>
      </w:r>
    </w:p>
    <w:p>
      <w:pPr>
        <w:spacing w:after="0" w:line="63" w:lineRule="exact"/>
        <w:rPr>
          <w:rFonts w:ascii="Times New Roman" w:cs="Times New Roman" w:eastAsia="Times New Roman" w:hAnsi="Times New Roman"/>
          <w:sz w:val="17"/>
          <w:szCs w:val="17"/>
          <w:color w:val="auto"/>
        </w:rPr>
      </w:pPr>
    </w:p>
    <w:p>
      <w:pPr>
        <w:ind w:right="40" w:firstLine="929"/>
        <w:spacing w:after="0" w:line="261" w:lineRule="auto"/>
        <w:tabs>
          <w:tab w:leader="none" w:pos="1180" w:val="left"/>
        </w:tabs>
        <w:numPr>
          <w:ilvl w:val="0"/>
          <w:numId w:val="3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Certificate of Incorporation, the Bylaws, any directors’ and officers’ insurance maintained by the Company, and applicable law, is not a substitute therefor, and does not diminish or abrogate any rights of Indemnitee thereunder.</w:t>
      </w:r>
    </w:p>
    <w:p>
      <w:pPr>
        <w:spacing w:after="0" w:line="172" w:lineRule="exact"/>
        <w:rPr>
          <w:sz w:val="20"/>
          <w:szCs w:val="20"/>
          <w:color w:val="auto"/>
        </w:rPr>
      </w:pPr>
    </w:p>
    <w:p>
      <w:pPr>
        <w:jc w:val="both"/>
        <w:ind w:right="80" w:firstLine="417"/>
        <w:spacing w:after="0" w:line="267" w:lineRule="auto"/>
        <w:rPr>
          <w:sz w:val="20"/>
          <w:szCs w:val="20"/>
          <w:color w:val="auto"/>
        </w:rPr>
      </w:pPr>
      <w:r>
        <w:rPr>
          <w:rFonts w:ascii="Times New Roman" w:cs="Times New Roman" w:eastAsia="Times New Roman" w:hAnsi="Times New Roman"/>
          <w:sz w:val="17"/>
          <w:szCs w:val="17"/>
          <w:color w:val="auto"/>
        </w:rPr>
        <w:t xml:space="preserve">Section 21. </w:t>
      </w:r>
      <w:r>
        <w:rPr>
          <w:rFonts w:ascii="Times New Roman" w:cs="Times New Roman" w:eastAsia="Times New Roman" w:hAnsi="Times New Roman"/>
          <w:sz w:val="17"/>
          <w:szCs w:val="17"/>
          <w:u w:val="single" w:color="auto"/>
          <w:color w:val="auto"/>
        </w:rPr>
        <w:t>Modification and Waiver.</w:t>
      </w:r>
      <w:r>
        <w:rPr>
          <w:rFonts w:ascii="Times New Roman" w:cs="Times New Roman" w:eastAsia="Times New Roman" w:hAnsi="Times New Roman"/>
          <w:sz w:val="17"/>
          <w:szCs w:val="17"/>
          <w:color w:val="auto"/>
        </w:rPr>
        <w:t xml:space="preserve"> No supplement, modification or amendment of this Agreement is binding unless executed in writing by the parties hereto. No waiver of any of the provisions of this Agreement will be deemed to constitute a waiver of any other provision of this Agreement nor will any waiver constitute a continuing waiver.</w:t>
      </w:r>
    </w:p>
    <w:p>
      <w:pPr>
        <w:spacing w:after="0" w:line="165" w:lineRule="exact"/>
        <w:rPr>
          <w:sz w:val="20"/>
          <w:szCs w:val="20"/>
          <w:color w:val="auto"/>
        </w:rPr>
      </w:pPr>
    </w:p>
    <w:p>
      <w:pPr>
        <w:ind w:firstLine="417"/>
        <w:spacing w:after="0" w:line="261" w:lineRule="auto"/>
        <w:rPr>
          <w:sz w:val="20"/>
          <w:szCs w:val="20"/>
          <w:color w:val="auto"/>
        </w:rPr>
      </w:pPr>
      <w:r>
        <w:rPr>
          <w:rFonts w:ascii="Times New Roman" w:cs="Times New Roman" w:eastAsia="Times New Roman" w:hAnsi="Times New Roman"/>
          <w:sz w:val="17"/>
          <w:szCs w:val="17"/>
          <w:color w:val="auto"/>
        </w:rPr>
        <w:t xml:space="preserve">Section 22. </w:t>
      </w:r>
      <w:r>
        <w:rPr>
          <w:rFonts w:ascii="Times New Roman" w:cs="Times New Roman" w:eastAsia="Times New Roman" w:hAnsi="Times New Roman"/>
          <w:sz w:val="17"/>
          <w:szCs w:val="17"/>
          <w:u w:val="single" w:color="auto"/>
          <w:color w:val="auto"/>
        </w:rPr>
        <w:t>Notice by Indemnitee.</w:t>
      </w:r>
      <w:r>
        <w:rPr>
          <w:rFonts w:ascii="Times New Roman" w:cs="Times New Roman" w:eastAsia="Times New Roman" w:hAnsi="Times New Roman"/>
          <w:sz w:val="17"/>
          <w:szCs w:val="17"/>
          <w:color w:val="auto"/>
        </w:rPr>
        <w:t xml:space="preserve"> Indemnitee agrees to promptly notify the Company in writing upon being served with any summons, citation, subpoena, complaint, indictment, information or other document relating to any Proceeding or matter which may be subject to indemnification or advancement of Expenses covered hereunder. The failure of Indemnitee to so notify the Company does not relieve the Company of any obligation which it may have to the Indemnitee under this Agreement or otherwise.</w:t>
      </w:r>
    </w:p>
    <w:p>
      <w:pPr>
        <w:spacing w:after="0" w:line="172" w:lineRule="exact"/>
        <w:rPr>
          <w:sz w:val="20"/>
          <w:szCs w:val="20"/>
          <w:color w:val="auto"/>
        </w:rPr>
      </w:pPr>
    </w:p>
    <w:p>
      <w:pPr>
        <w:jc w:val="both"/>
        <w:ind w:firstLine="417"/>
        <w:spacing w:after="0" w:line="267" w:lineRule="auto"/>
        <w:rPr>
          <w:sz w:val="20"/>
          <w:szCs w:val="20"/>
          <w:color w:val="auto"/>
        </w:rPr>
      </w:pPr>
      <w:r>
        <w:rPr>
          <w:rFonts w:ascii="Times New Roman" w:cs="Times New Roman" w:eastAsia="Times New Roman" w:hAnsi="Times New Roman"/>
          <w:sz w:val="17"/>
          <w:szCs w:val="17"/>
          <w:color w:val="auto"/>
        </w:rPr>
        <w:t xml:space="preserve">Section 23.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xml:space="preserve"> All notices, requests, demands and other communications under this Agreement will be in writing and will be deemed to have been duly given if (a) delivered by hand to the other party, (b) sent by reputable overnight courier to the other party or (c) sent by facsimile transmission or electronic mail, with receipt of oral confirmation that such communication has been received:</w:t>
      </w:r>
    </w:p>
    <w:p>
      <w:pPr>
        <w:spacing w:after="0" w:line="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(a) If to Indemnitee, at the address indicated on the signature page of this Agreement, or such other address as Indemnitee provides to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0400"/>
          </w:cols>
          <w:pgMar w:left="740" w:top="264" w:right="759" w:bottom="1440" w:gutter="0" w:footer="0" w:header="0"/>
        </w:sectPr>
      </w:pPr>
    </w:p>
    <w:bookmarkStart w:id="436" w:name="page437"/>
    <w:bookmarkEnd w:id="436"/>
    <w:p>
      <w:pPr>
        <w:ind w:left="9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(b) If to the Company to:</w:t>
      </w:r>
    </w:p>
    <w:p>
      <w:pPr>
        <w:spacing w:after="0" w:line="11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auto"/>
        </w:rPr>
        <w:t>Name: Boundless Bio, Inc.</w:t>
      </w:r>
    </w:p>
    <w:p>
      <w:pPr>
        <w:spacing w:after="0" w:line="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auto"/>
        </w:rPr>
        <w:t>9880 Campus Point Drive, Suite 120</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auto"/>
        </w:rPr>
        <w:t>San Diego, CA 92121</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auto"/>
        </w:rPr>
        <w:t>Attention: Chief Financial Officer</w:t>
      </w:r>
    </w:p>
    <w:p>
      <w:pPr>
        <w:spacing w:after="0" w:line="9" w:lineRule="exact"/>
        <w:rPr>
          <w:sz w:val="20"/>
          <w:szCs w:val="20"/>
          <w:color w:val="auto"/>
        </w:rPr>
      </w:pPr>
    </w:p>
    <w:p>
      <w:pPr>
        <w:ind w:left="1340"/>
        <w:spacing w:after="0"/>
        <w:tabs>
          <w:tab w:leader="none" w:pos="3460" w:val="left"/>
        </w:tabs>
        <w:rPr>
          <w:sz w:val="20"/>
          <w:szCs w:val="20"/>
          <w:color w:val="auto"/>
        </w:rPr>
      </w:pPr>
      <w:r>
        <w:rPr>
          <w:rFonts w:ascii="Times New Roman" w:cs="Times New Roman" w:eastAsia="Times New Roman" w:hAnsi="Times New Roman"/>
          <w:sz w:val="17"/>
          <w:szCs w:val="17"/>
          <w:color w:val="auto"/>
        </w:rPr>
        <w:t xml:space="preserve">Email: [                         </w:t>
        <w:tab/>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to any other address as may have been furnished to Indemnitee by the Company.</w:t>
      </w:r>
    </w:p>
    <w:p>
      <w:pPr>
        <w:spacing w:after="0" w:line="213" w:lineRule="exact"/>
        <w:rPr>
          <w:sz w:val="20"/>
          <w:szCs w:val="20"/>
          <w:color w:val="auto"/>
        </w:rPr>
      </w:pPr>
    </w:p>
    <w:p>
      <w:pPr>
        <w:ind w:right="20" w:firstLine="417"/>
        <w:spacing w:after="0" w:line="256" w:lineRule="auto"/>
        <w:rPr>
          <w:sz w:val="20"/>
          <w:szCs w:val="20"/>
          <w:color w:val="auto"/>
        </w:rPr>
      </w:pPr>
      <w:r>
        <w:rPr>
          <w:rFonts w:ascii="Times New Roman" w:cs="Times New Roman" w:eastAsia="Times New Roman" w:hAnsi="Times New Roman"/>
          <w:sz w:val="17"/>
          <w:szCs w:val="17"/>
          <w:color w:val="auto"/>
        </w:rPr>
        <w:t xml:space="preserve">Section 24. </w:t>
      </w:r>
      <w:r>
        <w:rPr>
          <w:rFonts w:ascii="Times New Roman" w:cs="Times New Roman" w:eastAsia="Times New Roman" w:hAnsi="Times New Roman"/>
          <w:sz w:val="17"/>
          <w:szCs w:val="17"/>
          <w:u w:val="single" w:color="auto"/>
          <w:color w:val="auto"/>
        </w:rPr>
        <w:t>Contribution.</w:t>
      </w:r>
      <w:r>
        <w:rPr>
          <w:rFonts w:ascii="Times New Roman" w:cs="Times New Roman" w:eastAsia="Times New Roman" w:hAnsi="Times New Roman"/>
          <w:sz w:val="17"/>
          <w:szCs w:val="17"/>
          <w:color w:val="auto"/>
        </w:rPr>
        <w:t xml:space="preserve"> To the fullest extent permissible under applicable law, if the indemnification provided for in this Agreement is unavailable to Indemnitee for any reason whatsoever, the Company, in lieu of indemnifying Indemnitee, will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(a) the relative benefits received by the Company and Indemnitee as a result of the event(s) and/or transaction(s) giving cause to such Proceeding; and/or (b) the relative fault of the Company (and its directors, officers, employees and Agents) and Indemnitee in connection with such event(s) and/or transaction(s).</w:t>
      </w:r>
    </w:p>
    <w:p>
      <w:pPr>
        <w:spacing w:after="0" w:line="176" w:lineRule="exact"/>
        <w:rPr>
          <w:sz w:val="20"/>
          <w:szCs w:val="20"/>
          <w:color w:val="auto"/>
        </w:rPr>
      </w:pPr>
    </w:p>
    <w:p>
      <w:pPr>
        <w:ind w:firstLine="417"/>
        <w:spacing w:after="0" w:line="255" w:lineRule="auto"/>
        <w:rPr>
          <w:sz w:val="20"/>
          <w:szCs w:val="20"/>
          <w:color w:val="auto"/>
        </w:rPr>
      </w:pPr>
      <w:r>
        <w:rPr>
          <w:rFonts w:ascii="Times New Roman" w:cs="Times New Roman" w:eastAsia="Times New Roman" w:hAnsi="Times New Roman"/>
          <w:sz w:val="17"/>
          <w:szCs w:val="17"/>
          <w:color w:val="auto"/>
        </w:rPr>
        <w:t xml:space="preserve">Section 25. </w:t>
      </w:r>
      <w:r>
        <w:rPr>
          <w:rFonts w:ascii="Times New Roman" w:cs="Times New Roman" w:eastAsia="Times New Roman" w:hAnsi="Times New Roman"/>
          <w:sz w:val="17"/>
          <w:szCs w:val="17"/>
          <w:u w:val="single" w:color="auto"/>
          <w:color w:val="auto"/>
        </w:rPr>
        <w:t>Applicable Law and Consent to Jurisdiction.</w:t>
      </w:r>
      <w:r>
        <w:rPr>
          <w:rFonts w:ascii="Times New Roman" w:cs="Times New Roman" w:eastAsia="Times New Roman" w:hAnsi="Times New Roman"/>
          <w:sz w:val="17"/>
          <w:szCs w:val="17"/>
          <w:color w:val="auto"/>
        </w:rPr>
        <w:t xml:space="preserve"> This Agreement and the legal relations among the parties are governed by, and 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(a) agree that any action, claim, or proceeding between the parties arising out of or in connection with this Agreement may be brought only in the Delaware Court and not in any other state or federal court in the United States of America or any court in any other country, (b) consent to submit to the exclusive jurisdiction of the Delaware Court for purposes of any action, claim, or proceeding arising out of or in connection with this Agreement, (c) waive any objection to the laying of venue of any such action, claim, or proceeding in the Delaware Court, and (d) waive, and agree not to plead or to make, any claim that any such action, claim, or proceeding brought in the Delaware Court has been brought in an improper or inconvenient forum.</w:t>
      </w:r>
    </w:p>
    <w:p>
      <w:pPr>
        <w:spacing w:after="0" w:line="178" w:lineRule="exact"/>
        <w:rPr>
          <w:sz w:val="20"/>
          <w:szCs w:val="20"/>
          <w:color w:val="auto"/>
        </w:rPr>
      </w:pPr>
    </w:p>
    <w:p>
      <w:pPr>
        <w:ind w:right="120" w:firstLine="417"/>
        <w:spacing w:after="0" w:line="267" w:lineRule="auto"/>
        <w:rPr>
          <w:sz w:val="20"/>
          <w:szCs w:val="20"/>
          <w:color w:val="auto"/>
        </w:rPr>
      </w:pPr>
      <w:r>
        <w:rPr>
          <w:rFonts w:ascii="Times New Roman" w:cs="Times New Roman" w:eastAsia="Times New Roman" w:hAnsi="Times New Roman"/>
          <w:sz w:val="17"/>
          <w:szCs w:val="17"/>
          <w:color w:val="auto"/>
        </w:rPr>
        <w:t xml:space="preserve">Section 26. </w:t>
      </w:r>
      <w:r>
        <w:rPr>
          <w:rFonts w:ascii="Times New Roman" w:cs="Times New Roman" w:eastAsia="Times New Roman" w:hAnsi="Times New Roman"/>
          <w:sz w:val="17"/>
          <w:szCs w:val="17"/>
          <w:u w:val="single" w:color="auto"/>
          <w:color w:val="auto"/>
        </w:rPr>
        <w:t>Identical Counterparts.</w:t>
      </w:r>
      <w:r>
        <w:rPr>
          <w:rFonts w:ascii="Times New Roman" w:cs="Times New Roman" w:eastAsia="Times New Roman" w:hAnsi="Times New Roman"/>
          <w:sz w:val="17"/>
          <w:szCs w:val="17"/>
          <w:color w:val="auto"/>
        </w:rPr>
        <w:t xml:space="preserve"> This Agreement may be executed in one or more counterparts, each of which will for all purposes be deemed to be an original but all of which together constitute one and the same Agreement. Only one such counterpart signed by the party against whom enforceability is sought needs to be produced to evidence the existence of this Agreement.</w:t>
      </w:r>
    </w:p>
    <w:p>
      <w:pPr>
        <w:spacing w:after="0" w:line="165" w:lineRule="exact"/>
        <w:rPr>
          <w:sz w:val="20"/>
          <w:szCs w:val="20"/>
          <w:color w:val="auto"/>
        </w:rPr>
      </w:pPr>
    </w:p>
    <w:p>
      <w:pPr>
        <w:ind w:right="40" w:firstLine="417"/>
        <w:spacing w:after="0" w:line="283" w:lineRule="auto"/>
        <w:rPr>
          <w:sz w:val="20"/>
          <w:szCs w:val="20"/>
          <w:color w:val="auto"/>
        </w:rPr>
      </w:pPr>
      <w:r>
        <w:rPr>
          <w:rFonts w:ascii="Times New Roman" w:cs="Times New Roman" w:eastAsia="Times New Roman" w:hAnsi="Times New Roman"/>
          <w:sz w:val="17"/>
          <w:szCs w:val="17"/>
          <w:color w:val="auto"/>
        </w:rPr>
        <w:t xml:space="preserve">Section 27. </w:t>
      </w: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xml:space="preserve"> The headings of this Agreement are inserted for convenience only and do not constitute part of this Agreement or affect the construction thereof.</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0380"/>
          </w:cols>
          <w:pgMar w:left="740" w:top="264" w:right="779" w:bottom="1440" w:gutter="0" w:footer="0" w:header="0"/>
        </w:sectPr>
      </w:pPr>
    </w:p>
    <w:bookmarkStart w:id="437" w:name="page438"/>
    <w:bookmarkEnd w:id="437"/>
    <w:p>
      <w:pPr>
        <w:ind w:left="4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IN WITNESS WHEREOF, the parties have caused this Agreement to be signed as of the day and year first above written.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BOUNDLESS BIO, INC.</w:t>
            </w:r>
          </w:p>
        </w:tc>
        <w:tc>
          <w:tcPr>
            <w:tcW w:w="2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INDEMNITEE</w:t>
            </w:r>
          </w:p>
        </w:tc>
        <w:tc>
          <w:tcPr>
            <w:tcW w:w="0" w:type="dxa"/>
            <w:vAlign w:val="bottom"/>
          </w:tcPr>
          <w:p>
            <w:pPr>
              <w:spacing w:after="0"/>
              <w:rPr>
                <w:sz w:val="1"/>
                <w:szCs w:val="1"/>
                <w:color w:val="auto"/>
              </w:rPr>
            </w:pPr>
          </w:p>
        </w:tc>
      </w:tr>
      <w:tr>
        <w:trPr>
          <w:trHeight w:val="408"/>
        </w:trPr>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By:</w:t>
            </w:r>
          </w:p>
        </w:tc>
        <w:tc>
          <w:tcPr>
            <w:tcW w:w="2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560" w:type="dxa"/>
            <w:vAlign w:val="bottom"/>
            <w:gridSpan w:val="2"/>
            <w:vMerge w:val="continue"/>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80" w:type="dxa"/>
            <w:vAlign w:val="bottom"/>
            <w:gridSpan w:val="4"/>
          </w:tcPr>
          <w:p>
            <w:pPr>
              <w:jc w:val="center"/>
              <w:ind w:right="3020"/>
              <w:spacing w:after="0"/>
              <w:rPr>
                <w:sz w:val="20"/>
                <w:szCs w:val="20"/>
                <w:color w:val="auto"/>
              </w:rPr>
            </w:pPr>
            <w:r>
              <w:rPr>
                <w:rFonts w:ascii="Times New Roman" w:cs="Times New Roman" w:eastAsia="Times New Roman" w:hAnsi="Times New Roman"/>
                <w:sz w:val="17"/>
                <w:szCs w:val="17"/>
                <w:color w:val="auto"/>
                <w:w w:val="96"/>
              </w:rPr>
              <w:t>Name:</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20"/>
                <w:szCs w:val="20"/>
                <w:color w:val="auto"/>
              </w:rPr>
            </w:pPr>
            <w:r>
              <w:rPr>
                <w:rFonts w:ascii="Times New Roman" w:cs="Times New Roman" w:eastAsia="Times New Roman" w:hAnsi="Times New Roman"/>
                <w:sz w:val="17"/>
                <w:szCs w:val="17"/>
                <w:color w:val="auto"/>
                <w:w w:val="88"/>
              </w:rPr>
              <w:t>Name:</w:t>
            </w:r>
          </w:p>
        </w:tc>
        <w:tc>
          <w:tcPr>
            <w:tcW w:w="3140" w:type="dxa"/>
            <w:vAlign w:val="bottom"/>
            <w:tcBorders>
              <w:top w:val="single" w:sz="8" w:color="auto"/>
            </w:tcBorders>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auto"/>
              </w:rPr>
              <w:t>  Address:</w:t>
            </w:r>
          </w:p>
        </w:tc>
        <w:tc>
          <w:tcPr>
            <w:tcW w:w="0" w:type="dxa"/>
            <w:vAlign w:val="bottom"/>
          </w:tcPr>
          <w:p>
            <w:pPr>
              <w:spacing w:after="0"/>
              <w:rPr>
                <w:sz w:val="1"/>
                <w:szCs w:val="1"/>
                <w:color w:val="auto"/>
              </w:rPr>
            </w:pPr>
          </w:p>
        </w:tc>
      </w:tr>
      <w:tr>
        <w:trPr>
          <w:trHeight w:val="210"/>
        </w:trPr>
        <w:tc>
          <w:tcPr>
            <w:tcW w:w="3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Office:</w:t>
            </w:r>
          </w:p>
        </w:tc>
        <w:tc>
          <w:tcPr>
            <w:tcW w:w="2800" w:type="dxa"/>
            <w:vAlign w:val="bottom"/>
          </w:tcPr>
          <w:p>
            <w:pPr>
              <w:ind w:left="270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7"/>
                <w:szCs w:val="7"/>
                <w:color w:val="auto"/>
                <w:w w:val="85"/>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5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w:t>
            </w:r>
          </w:p>
        </w:tc>
        <w:tc>
          <w:tcPr>
            <w:tcW w:w="27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800" w:type="dxa"/>
            <w:vAlign w:val="bottom"/>
          </w:tcPr>
          <w:p>
            <w:pPr>
              <w:ind w:left="270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7"/>
                <w:szCs w:val="7"/>
                <w:color w:val="auto"/>
                <w:w w:val="85"/>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5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w:t>
            </w:r>
          </w:p>
        </w:tc>
        <w:tc>
          <w:tcPr>
            <w:tcW w:w="2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4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800" w:type="dxa"/>
            <w:vAlign w:val="bottom"/>
          </w:tcPr>
          <w:p>
            <w:pPr>
              <w:jc w:val="right"/>
              <w:ind w:right="956"/>
              <w:spacing w:after="0"/>
              <w:rPr>
                <w:sz w:val="20"/>
                <w:szCs w:val="20"/>
                <w:color w:val="auto"/>
              </w:rPr>
            </w:pPr>
            <w:r>
              <w:rPr>
                <w:rFonts w:ascii="Times New Roman" w:cs="Times New Roman" w:eastAsia="Times New Roman" w:hAnsi="Times New Roman"/>
                <w:sz w:val="17"/>
                <w:szCs w:val="17"/>
                <w:color w:val="auto"/>
              </w:rPr>
              <w:t>-17-</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740" w:top="264" w:right="739" w:bottom="1440" w:gutter="0" w:footer="0" w:header="0"/>
        </w:sectPr>
      </w:pPr>
    </w:p>
    <w:bookmarkStart w:id="438" w:name="page439"/>
    <w:bookmarkEnd w:id="438"/>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17" w:lineRule="exact"/>
        <w:rPr>
          <w:sz w:val="20"/>
          <w:szCs w:val="20"/>
          <w:color w:val="auto"/>
        </w:rPr>
      </w:pPr>
    </w:p>
    <w:p>
      <w:pPr>
        <w:ind w:right="80"/>
        <w:spacing w:after="0" w:line="315" w:lineRule="auto"/>
        <w:rPr>
          <w:sz w:val="20"/>
          <w:szCs w:val="20"/>
          <w:color w:val="auto"/>
        </w:rPr>
      </w:pPr>
      <w:r>
        <w:rPr>
          <w:rFonts w:ascii="Times New Roman" w:cs="Times New Roman" w:eastAsia="Times New Roman" w:hAnsi="Times New Roman"/>
          <w:sz w:val="16"/>
          <w:szCs w:val="16"/>
          <w:color w:val="auto"/>
        </w:rPr>
        <w:t>We consent to the use of our report dated March 6, 2024, except for the third paragraph of Note 14, as to which the date is March 21, 2024, with respect to the financial statements of Boundless Bio, Inc., included herein, and to the reference to our firm under the heading “Experts” in the prospectus.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 LLP</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Diego, California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21, 2024</w:t>
      </w:r>
    </w:p>
    <w:p>
      <w:pPr>
        <w:sectPr>
          <w:pgSz w:w="11900" w:h="16838" w:orient="portrait"/>
          <w:cols w:equalWidth="0" w:num="1">
            <w:col w:w="10420"/>
          </w:cols>
          <w:pgMar w:left="740" w:top="119" w:right="739" w:bottom="1440" w:gutter="0" w:footer="0" w:header="0"/>
        </w:sectPr>
      </w:pPr>
    </w:p>
    <w:bookmarkStart w:id="439" w:name="page440"/>
    <w:bookmarkEnd w:id="439"/>
    <w:p>
      <w:pPr>
        <w:jc w:val="right"/>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1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Calculation of Filing Fee Table</w:t>
      </w:r>
    </w:p>
    <w:p>
      <w:pPr>
        <w:spacing w:after="0" w:line="21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Form S-1</w:t>
      </w:r>
    </w:p>
    <w:p>
      <w:pPr>
        <w:spacing w:after="0" w:line="3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color w:val="auto"/>
        </w:rPr>
        <w:t>(Form Type)</w:t>
      </w:r>
    </w:p>
    <w:p>
      <w:pPr>
        <w:spacing w:after="0" w:line="19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Boundless Bio, Inc.</w:t>
      </w:r>
    </w:p>
    <w:p>
      <w:pPr>
        <w:spacing w:after="0" w:line="3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9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Table 1: Newly Registered Securities</w:t>
      </w:r>
    </w:p>
    <w:p>
      <w:pPr>
        <w:spacing w:after="0" w:line="215" w:lineRule="exact"/>
        <w:rPr>
          <w:sz w:val="20"/>
          <w:szCs w:val="20"/>
          <w:color w:val="auto"/>
        </w:rPr>
      </w:pPr>
    </w:p>
    <w:tbl>
      <w:tblPr>
        <w:tblLayout w:type="fixed"/>
        <w:tblInd w:w="9"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Proposed</w:t>
            </w: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114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Amount of</w:t>
            </w:r>
          </w:p>
        </w:tc>
        <w:tc>
          <w:tcPr>
            <w:tcW w:w="0" w:type="dxa"/>
            <w:vAlign w:val="bottom"/>
          </w:tcPr>
          <w:p>
            <w:pPr>
              <w:spacing w:after="0"/>
              <w:rPr>
                <w:sz w:val="1"/>
                <w:szCs w:val="1"/>
                <w:color w:val="auto"/>
              </w:rPr>
            </w:pPr>
          </w:p>
        </w:tc>
      </w:tr>
      <w:tr>
        <w:trPr>
          <w:trHeight w:val="141"/>
        </w:trPr>
        <w:tc>
          <w:tcPr>
            <w:tcW w:w="2720" w:type="dxa"/>
            <w:vAlign w:val="bottom"/>
          </w:tcPr>
          <w:p>
            <w:pPr>
              <w:spacing w:after="0"/>
              <w:rPr>
                <w:sz w:val="12"/>
                <w:szCs w:val="12"/>
                <w:color w:val="auto"/>
              </w:rPr>
            </w:pPr>
          </w:p>
        </w:tc>
        <w:tc>
          <w:tcPr>
            <w:tcW w:w="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Security</w:t>
            </w: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Security</w:t>
            </w:r>
          </w:p>
        </w:tc>
        <w:tc>
          <w:tcPr>
            <w:tcW w:w="840" w:type="dxa"/>
            <w:vAlign w:val="bottom"/>
            <w:gridSpan w:val="2"/>
            <w:vMerge w:val="continue"/>
          </w:tcPr>
          <w:p>
            <w:pPr>
              <w:spacing w:after="0"/>
              <w:rPr>
                <w:sz w:val="12"/>
                <w:szCs w:val="12"/>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4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Offering</w:t>
            </w:r>
          </w:p>
        </w:tc>
        <w:tc>
          <w:tcPr>
            <w:tcW w:w="114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4"/>
              </w:rPr>
              <w:t>Aggregate</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7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4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Calculation</w:t>
            </w:r>
          </w:p>
        </w:tc>
        <w:tc>
          <w:tcPr>
            <w:tcW w:w="920" w:type="dxa"/>
            <w:vAlign w:val="bottom"/>
            <w:gridSpan w:val="2"/>
            <w:vMerge w:val="continue"/>
          </w:tcPr>
          <w:p>
            <w:pPr>
              <w:spacing w:after="0"/>
              <w:rPr>
                <w:sz w:val="12"/>
                <w:szCs w:val="12"/>
                <w:color w:val="auto"/>
              </w:rPr>
            </w:pPr>
          </w:p>
        </w:tc>
        <w:tc>
          <w:tcPr>
            <w:tcW w:w="84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Price Per</w:t>
            </w:r>
          </w:p>
        </w:tc>
        <w:tc>
          <w:tcPr>
            <w:tcW w:w="114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Offering</w:t>
            </w: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Fee Rate</w:t>
            </w:r>
          </w:p>
        </w:tc>
        <w:tc>
          <w:tcPr>
            <w:tcW w:w="9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4"/>
              </w:rPr>
              <w:t>Registration</w:t>
            </w:r>
          </w:p>
        </w:tc>
        <w:tc>
          <w:tcPr>
            <w:tcW w:w="0" w:type="dxa"/>
            <w:vAlign w:val="bottom"/>
          </w:tcPr>
          <w:p>
            <w:pPr>
              <w:spacing w:after="0"/>
              <w:rPr>
                <w:sz w:val="1"/>
                <w:szCs w:val="1"/>
                <w:color w:val="auto"/>
              </w:rPr>
            </w:pPr>
          </w:p>
        </w:tc>
      </w:tr>
      <w:tr>
        <w:trPr>
          <w:trHeight w:val="178"/>
        </w:trPr>
        <w:tc>
          <w:tcPr>
            <w:tcW w:w="2720" w:type="dxa"/>
            <w:vAlign w:val="bottom"/>
          </w:tcPr>
          <w:p>
            <w:pPr>
              <w:spacing w:after="0"/>
              <w:rPr>
                <w:sz w:val="15"/>
                <w:szCs w:val="15"/>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2"/>
              </w:rPr>
              <w:t>Type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Class Title</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Registered</w:t>
            </w:r>
            <w:r>
              <w:rPr>
                <w:rFonts w:ascii="Times New Roman" w:cs="Times New Roman" w:eastAsia="Times New Roman" w:hAnsi="Times New Roman"/>
                <w:sz w:val="10"/>
                <w:szCs w:val="10"/>
                <w:b w:val="1"/>
                <w:bCs w:val="1"/>
                <w:color w:val="auto"/>
                <w:w w:val="98"/>
              </w:rPr>
              <w:t>(1)</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Price</w:t>
            </w:r>
            <w:r>
              <w:rPr>
                <w:rFonts w:ascii="Times New Roman" w:cs="Times New Roman" w:eastAsia="Times New Roman" w:hAnsi="Times New Roman"/>
                <w:sz w:val="10"/>
                <w:szCs w:val="10"/>
                <w:b w:val="1"/>
                <w:bCs w:val="1"/>
                <w:color w:val="auto"/>
                <w:w w:val="98"/>
              </w:rPr>
              <w:t>(2)</w:t>
            </w:r>
          </w:p>
        </w:tc>
        <w:tc>
          <w:tcPr>
            <w:tcW w:w="920" w:type="dxa"/>
            <w:vAlign w:val="bottom"/>
            <w:gridSpan w:val="2"/>
            <w:vMerge w:val="continue"/>
          </w:tcPr>
          <w:p>
            <w:pPr>
              <w:spacing w:after="0"/>
              <w:rPr>
                <w:sz w:val="15"/>
                <w:szCs w:val="15"/>
                <w:color w:val="auto"/>
              </w:rPr>
            </w:pPr>
          </w:p>
        </w:tc>
        <w:tc>
          <w:tcPr>
            <w:tcW w:w="940" w:type="dxa"/>
            <w:vAlign w:val="bottom"/>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vertAlign w:val="subscript"/>
              </w:rPr>
              <w:t>Fee</w:t>
            </w: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181"/>
        </w:trPr>
        <w:tc>
          <w:tcPr>
            <w:tcW w:w="2720" w:type="dxa"/>
            <w:vAlign w:val="bottom"/>
            <w:tcBorders>
              <w:top w:val="single" w:sz="8" w:color="CCEEFF"/>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Fees to</w:t>
            </w: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Common Stock,</w:t>
            </w: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720" w:type="dxa"/>
            <w:vAlign w:val="bottom"/>
            <w:vMerge w:val="continue"/>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center"/>
              <w:ind w:right="100"/>
              <w:spacing w:after="0" w:line="192" w:lineRule="exact"/>
              <w:rPr>
                <w:sz w:val="20"/>
                <w:szCs w:val="20"/>
                <w:color w:val="auto"/>
              </w:rPr>
            </w:pPr>
            <w:r>
              <w:rPr>
                <w:rFonts w:ascii="Times New Roman" w:cs="Times New Roman" w:eastAsia="Times New Roman" w:hAnsi="Times New Roman"/>
                <w:sz w:val="17"/>
                <w:szCs w:val="17"/>
                <w:color w:val="auto"/>
              </w:rPr>
              <w:t>par value $0.0001</w:t>
            </w: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Be Paid</w:t>
            </w:r>
          </w:p>
        </w:tc>
        <w:tc>
          <w:tcPr>
            <w:tcW w:w="640" w:type="dxa"/>
            <w:vAlign w:val="bottom"/>
            <w:tcBorders>
              <w:bottom w:val="single" w:sz="8" w:color="auto"/>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Equity</w:t>
            </w:r>
          </w:p>
        </w:tc>
        <w:tc>
          <w:tcPr>
            <w:tcW w:w="1460" w:type="dxa"/>
            <w:vAlign w:val="bottom"/>
            <w:tcBorders>
              <w:bottom w:val="single" w:sz="8" w:color="auto"/>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per share</w:t>
            </w:r>
          </w:p>
        </w:tc>
        <w:tc>
          <w:tcPr>
            <w:tcW w:w="840" w:type="dxa"/>
            <w:vAlign w:val="bottom"/>
            <w:tcBorders>
              <w:bottom w:val="single" w:sz="8" w:color="auto"/>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9"/>
              </w:rPr>
              <w:t>457(a)</w:t>
            </w:r>
          </w:p>
        </w:tc>
        <w:tc>
          <w:tcPr>
            <w:tcW w:w="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7,187,500</w:t>
            </w: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$17.00</w:t>
            </w: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$122,187,500</w:t>
            </w: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0.0001476</w:t>
            </w: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rPr>
              <w:t>$18,034.88</w:t>
            </w:r>
          </w:p>
        </w:tc>
        <w:tc>
          <w:tcPr>
            <w:tcW w:w="0" w:type="dxa"/>
            <w:vAlign w:val="bottom"/>
          </w:tcPr>
          <w:p>
            <w:pPr>
              <w:spacing w:after="0"/>
              <w:rPr>
                <w:sz w:val="1"/>
                <w:szCs w:val="1"/>
                <w:color w:val="auto"/>
              </w:rPr>
            </w:pPr>
          </w:p>
        </w:tc>
      </w:tr>
      <w:tr>
        <w:trPr>
          <w:trHeight w:val="197"/>
        </w:trPr>
        <w:tc>
          <w:tcPr>
            <w:tcW w:w="2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4"/>
          </w:tcPr>
          <w:p>
            <w:pPr>
              <w:jc w:val="center"/>
              <w:ind w:left="119"/>
              <w:spacing w:after="0"/>
              <w:rPr>
                <w:sz w:val="20"/>
                <w:szCs w:val="20"/>
                <w:color w:val="auto"/>
              </w:rPr>
            </w:pPr>
            <w:r>
              <w:rPr>
                <w:rFonts w:ascii="Times New Roman" w:cs="Times New Roman" w:eastAsia="Times New Roman" w:hAnsi="Times New Roman"/>
                <w:sz w:val="17"/>
                <w:szCs w:val="17"/>
                <w:b w:val="1"/>
                <w:bCs w:val="1"/>
                <w:color w:val="auto"/>
                <w:w w:val="99"/>
              </w:rPr>
              <w:t>Total Offering Amounts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$122,187,500</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$18,034.88</w:t>
            </w:r>
          </w:p>
        </w:tc>
        <w:tc>
          <w:tcPr>
            <w:tcW w:w="0" w:type="dxa"/>
            <w:vAlign w:val="bottom"/>
          </w:tcPr>
          <w:p>
            <w:pPr>
              <w:spacing w:after="0"/>
              <w:rPr>
                <w:sz w:val="1"/>
                <w:szCs w:val="1"/>
                <w:color w:val="auto"/>
              </w:rPr>
            </w:pPr>
          </w:p>
        </w:tc>
      </w:tr>
      <w:tr>
        <w:trPr>
          <w:trHeight w:val="204"/>
        </w:trPr>
        <w:tc>
          <w:tcPr>
            <w:tcW w:w="2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00" w:type="dxa"/>
            <w:vAlign w:val="bottom"/>
            <w:gridSpan w:val="4"/>
            <w:shd w:val="clear" w:color="auto" w:fill="CCEEFF"/>
          </w:tcPr>
          <w:p>
            <w:pPr>
              <w:jc w:val="center"/>
              <w:ind w:left="99"/>
              <w:spacing w:after="0"/>
              <w:rPr>
                <w:sz w:val="20"/>
                <w:szCs w:val="20"/>
                <w:color w:val="auto"/>
              </w:rPr>
            </w:pPr>
            <w:r>
              <w:rPr>
                <w:rFonts w:ascii="Times New Roman" w:cs="Times New Roman" w:eastAsia="Times New Roman" w:hAnsi="Times New Roman"/>
                <w:sz w:val="17"/>
                <w:szCs w:val="17"/>
                <w:b w:val="1"/>
                <w:bCs w:val="1"/>
                <w:color w:val="auto"/>
                <w:w w:val="99"/>
              </w:rPr>
              <w:t>Total Fees Previously Paid</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14,760.00</w:t>
            </w:r>
          </w:p>
        </w:tc>
        <w:tc>
          <w:tcPr>
            <w:tcW w:w="0" w:type="dxa"/>
            <w:vAlign w:val="bottom"/>
          </w:tcPr>
          <w:p>
            <w:pPr>
              <w:spacing w:after="0"/>
              <w:rPr>
                <w:sz w:val="1"/>
                <w:szCs w:val="1"/>
                <w:color w:val="auto"/>
              </w:rPr>
            </w:pPr>
          </w:p>
        </w:tc>
      </w:tr>
      <w:tr>
        <w:trPr>
          <w:trHeight w:val="204"/>
        </w:trPr>
        <w:tc>
          <w:tcPr>
            <w:tcW w:w="2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4"/>
          </w:tcPr>
          <w:p>
            <w:pPr>
              <w:jc w:val="center"/>
              <w:ind w:left="119"/>
              <w:spacing w:after="0"/>
              <w:rPr>
                <w:sz w:val="20"/>
                <w:szCs w:val="20"/>
                <w:color w:val="auto"/>
              </w:rPr>
            </w:pPr>
            <w:r>
              <w:rPr>
                <w:rFonts w:ascii="Times New Roman" w:cs="Times New Roman" w:eastAsia="Times New Roman" w:hAnsi="Times New Roman"/>
                <w:sz w:val="17"/>
                <w:szCs w:val="17"/>
                <w:b w:val="1"/>
                <w:bCs w:val="1"/>
                <w:color w:val="auto"/>
                <w:w w:val="98"/>
              </w:rPr>
              <w:t>Total Fee Offsets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2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00" w:type="dxa"/>
            <w:vAlign w:val="bottom"/>
            <w:gridSpan w:val="4"/>
            <w:shd w:val="clear" w:color="auto" w:fill="CCEEFF"/>
          </w:tcPr>
          <w:p>
            <w:pPr>
              <w:jc w:val="center"/>
              <w:ind w:left="99"/>
              <w:spacing w:after="0"/>
              <w:rPr>
                <w:sz w:val="20"/>
                <w:szCs w:val="20"/>
                <w:color w:val="auto"/>
              </w:rPr>
            </w:pPr>
            <w:r>
              <w:rPr>
                <w:rFonts w:ascii="Times New Roman" w:cs="Times New Roman" w:eastAsia="Times New Roman" w:hAnsi="Times New Roman"/>
                <w:sz w:val="17"/>
                <w:szCs w:val="17"/>
                <w:b w:val="1"/>
                <w:bCs w:val="1"/>
                <w:color w:val="auto"/>
                <w:w w:val="99"/>
              </w:rPr>
              <w:t>Net Fee Due</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$3,274.88</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409" w:hanging="409"/>
        <w:spacing w:after="0"/>
        <w:tabs>
          <w:tab w:leader="none" w:pos="409" w:val="left"/>
        </w:tabs>
        <w:numPr>
          <w:ilvl w:val="0"/>
          <w:numId w:val="3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937,500 shares of common stock that the underwriters have the option to purchase.</w:t>
      </w:r>
    </w:p>
    <w:p>
      <w:pPr>
        <w:spacing w:after="0" w:line="26" w:lineRule="exact"/>
        <w:rPr>
          <w:rFonts w:ascii="Times New Roman" w:cs="Times New Roman" w:eastAsia="Times New Roman" w:hAnsi="Times New Roman"/>
          <w:sz w:val="17"/>
          <w:szCs w:val="17"/>
          <w:color w:val="auto"/>
        </w:rPr>
      </w:pPr>
    </w:p>
    <w:p>
      <w:pPr>
        <w:ind w:left="409" w:right="420" w:hanging="409"/>
        <w:spacing w:after="0" w:line="261" w:lineRule="auto"/>
        <w:tabs>
          <w:tab w:leader="none" w:pos="409" w:val="left"/>
        </w:tabs>
        <w:numPr>
          <w:ilvl w:val="0"/>
          <w:numId w:val="3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solely for the purpose of computing the amount of the registration fee pursuant to Rule 457(a) under the Securities Act of 1933, as amended.</w:t>
      </w:r>
    </w:p>
    <w:sectPr>
      <w:pgSz w:w="11900" w:h="16838" w:orient="portrait"/>
      <w:cols w:equalWidth="0" w:num="1">
        <w:col w:w="10429"/>
      </w:cols>
      <w:pgMar w:left="731" w:top="119"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32AB86"/>
    <w:multiLevelType w:val="hybridMultilevel"/>
    <w:lvl w:ilvl="0">
      <w:lvlJc w:val="left"/>
      <w:lvlText w:val="•"/>
      <w:numFmt w:val="bullet"/>
      <w:start w:val="1"/>
    </w:lvl>
  </w:abstractNum>
  <w:abstractNum w:abstractNumId="1">
    <w:nsid w:val="3F07ACC3"/>
    <w:multiLevelType w:val="hybridMultilevel"/>
    <w:lvl w:ilvl="0">
      <w:lvlJc w:val="left"/>
      <w:lvlText w:val="•"/>
      <w:numFmt w:val="bullet"/>
      <w:start w:val="1"/>
    </w:lvl>
  </w:abstractNum>
  <w:abstractNum w:abstractNumId="2">
    <w:nsid w:val="6B47F63E"/>
    <w:multiLevelType w:val="hybridMultilevel"/>
    <w:lvl w:ilvl="0">
      <w:lvlJc w:val="left"/>
      <w:lvlText w:val="•"/>
      <w:numFmt w:val="bullet"/>
      <w:start w:val="1"/>
    </w:lvl>
  </w:abstractNum>
  <w:abstractNum w:abstractNumId="3">
    <w:nsid w:val="5CB44A05"/>
    <w:multiLevelType w:val="hybridMultilevel"/>
    <w:lvl w:ilvl="0">
      <w:lvlJc w:val="left"/>
      <w:lvlText w:val="•"/>
      <w:numFmt w:val="bullet"/>
      <w:start w:val="1"/>
    </w:lvl>
  </w:abstractNum>
  <w:abstractNum w:abstractNumId="4">
    <w:nsid w:val="16CF80F1"/>
    <w:multiLevelType w:val="hybridMultilevel"/>
    <w:lvl w:ilvl="0">
      <w:lvlJc w:val="left"/>
      <w:lvlText w:val="•"/>
      <w:numFmt w:val="bullet"/>
      <w:start w:val="1"/>
    </w:lvl>
    <w:lvl w:ilvl="1">
      <w:lvlJc w:val="left"/>
      <w:lvlText w:val="•"/>
      <w:numFmt w:val="bullet"/>
      <w:start w:val="1"/>
    </w:lvl>
  </w:abstractNum>
  <w:abstractNum w:abstractNumId="5">
    <w:nsid w:val="1C695DEC"/>
    <w:multiLevelType w:val="hybridMultilevel"/>
    <w:lvl w:ilvl="0">
      <w:lvlJc w:val="left"/>
      <w:lvlText w:val="•"/>
      <w:numFmt w:val="bullet"/>
      <w:start w:val="1"/>
    </w:lvl>
  </w:abstractNum>
  <w:abstractNum w:abstractNumId="6">
    <w:nsid w:val="3FCFAED9"/>
    <w:multiLevelType w:val="hybridMultilevel"/>
    <w:lvl w:ilvl="0">
      <w:lvlJc w:val="left"/>
      <w:lvlText w:val="•"/>
      <w:numFmt w:val="bullet"/>
      <w:start w:val="1"/>
    </w:lvl>
  </w:abstractNum>
  <w:abstractNum w:abstractNumId="7">
    <w:nsid w:val="F856867"/>
    <w:multiLevelType w:val="hybridMultilevel"/>
    <w:lvl w:ilvl="0">
      <w:lvlJc w:val="left"/>
      <w:lvlText w:val="•"/>
      <w:numFmt w:val="bullet"/>
      <w:start w:val="1"/>
    </w:lvl>
  </w:abstractNum>
  <w:abstractNum w:abstractNumId="8">
    <w:nsid w:val="11B1CC33"/>
    <w:multiLevelType w:val="hybridMultilevel"/>
    <w:lvl w:ilvl="0">
      <w:lvlJc w:val="left"/>
      <w:lvlText w:val="•"/>
      <w:numFmt w:val="bullet"/>
      <w:start w:val="1"/>
    </w:lvl>
  </w:abstractNum>
  <w:abstractNum w:abstractNumId="9">
    <w:nsid w:val="2E22FBB7"/>
    <w:multiLevelType w:val="hybridMultilevel"/>
    <w:lvl w:ilvl="0">
      <w:lvlJc w:val="left"/>
      <w:lvlText w:val="(%1)"/>
      <w:numFmt w:val="decimal"/>
      <w:start w:val="1"/>
    </w:lvl>
  </w:abstractNum>
  <w:abstractNum w:abstractNumId="10">
    <w:nsid w:val="29934699"/>
    <w:multiLevelType w:val="hybridMultilevel"/>
    <w:lvl w:ilvl="0">
      <w:lvlJc w:val="left"/>
      <w:lvlText w:val="(%1)"/>
      <w:numFmt w:val="decimal"/>
      <w:start w:val="2"/>
    </w:lvl>
  </w:abstractNum>
  <w:abstractNum w:abstractNumId="11">
    <w:nsid w:val="77485850"/>
    <w:multiLevelType w:val="hybridMultilevel"/>
    <w:lvl w:ilvl="0">
      <w:lvlJc w:val="left"/>
      <w:lvlText w:val="(%1)"/>
      <w:numFmt w:val="decimal"/>
      <w:start w:val="1"/>
    </w:lvl>
  </w:abstractNum>
  <w:abstractNum w:abstractNumId="12">
    <w:nsid w:val="744939A3"/>
    <w:multiLevelType w:val="hybridMultilevel"/>
    <w:lvl w:ilvl="0">
      <w:lvlJc w:val="left"/>
      <w:lvlText w:val="•"/>
      <w:numFmt w:val="bullet"/>
      <w:start w:val="1"/>
    </w:lvl>
  </w:abstractNum>
  <w:abstractNum w:abstractNumId="13">
    <w:nsid w:val="4FA0D2E3"/>
    <w:multiLevelType w:val="hybridMultilevel"/>
    <w:lvl w:ilvl="0">
      <w:lvlJc w:val="left"/>
      <w:lvlText w:val="•"/>
      <w:numFmt w:val="bullet"/>
      <w:start w:val="1"/>
    </w:lvl>
  </w:abstractNum>
  <w:abstractNum w:abstractNumId="14">
    <w:nsid w:val="6B1D2C14"/>
    <w:multiLevelType w:val="hybridMultilevel"/>
    <w:lvl w:ilvl="0">
      <w:lvlJc w:val="left"/>
      <w:lvlText w:val="•"/>
      <w:numFmt w:val="bullet"/>
      <w:start w:val="1"/>
    </w:lvl>
  </w:abstractNum>
  <w:abstractNum w:abstractNumId="15">
    <w:nsid w:val="68B867D3"/>
    <w:multiLevelType w:val="hybridMultilevel"/>
    <w:lvl w:ilvl="0">
      <w:lvlJc w:val="left"/>
      <w:lvlText w:val="•"/>
      <w:numFmt w:val="bullet"/>
      <w:start w:val="1"/>
    </w:lvl>
  </w:abstractNum>
  <w:abstractNum w:abstractNumId="16">
    <w:nsid w:val="3F7F5DD9"/>
    <w:multiLevelType w:val="hybridMultilevel"/>
    <w:lvl w:ilvl="0">
      <w:lvlJc w:val="left"/>
      <w:lvlText w:val="•"/>
      <w:numFmt w:val="bullet"/>
      <w:start w:val="1"/>
    </w:lvl>
  </w:abstractNum>
  <w:abstractNum w:abstractNumId="17">
    <w:nsid w:val="2AE05A34"/>
    <w:multiLevelType w:val="hybridMultilevel"/>
    <w:lvl w:ilvl="0">
      <w:lvlJc w:val="left"/>
      <w:lvlText w:val="•"/>
      <w:numFmt w:val="bullet"/>
      <w:start w:val="1"/>
    </w:lvl>
  </w:abstractNum>
  <w:abstractNum w:abstractNumId="18">
    <w:nsid w:val="32794FF7"/>
    <w:multiLevelType w:val="hybridMultilevel"/>
    <w:lvl w:ilvl="0">
      <w:lvlJc w:val="left"/>
      <w:lvlText w:val="•"/>
      <w:numFmt w:val="bullet"/>
      <w:start w:val="1"/>
    </w:lvl>
  </w:abstractNum>
  <w:abstractNum w:abstractNumId="19">
    <w:nsid w:val="5454945E"/>
    <w:multiLevelType w:val="hybridMultilevel"/>
    <w:lvl w:ilvl="0">
      <w:lvlJc w:val="left"/>
      <w:lvlText w:val="•"/>
      <w:numFmt w:val="bullet"/>
      <w:start w:val="1"/>
    </w:lvl>
  </w:abstractNum>
  <w:abstractNum w:abstractNumId="20">
    <w:nsid w:val="4DEFDFA0"/>
    <w:multiLevelType w:val="hybridMultilevel"/>
    <w:lvl w:ilvl="0">
      <w:lvlJc w:val="left"/>
      <w:lvlText w:val="%1."/>
      <w:numFmt w:val="decimal"/>
      <w:start w:val="355"/>
    </w:lvl>
  </w:abstractNum>
  <w:abstractNum w:abstractNumId="21">
    <w:nsid w:val="2123D5F2"/>
    <w:multiLevelType w:val="hybridMultilevel"/>
    <w:lvl w:ilvl="0">
      <w:lvlJc w:val="left"/>
      <w:lvlText w:val="•"/>
      <w:numFmt w:val="bullet"/>
      <w:start w:val="1"/>
    </w:lvl>
  </w:abstractNum>
  <w:abstractNum w:abstractNumId="22">
    <w:nsid w:val="135B8110"/>
    <w:multiLevelType w:val="hybridMultilevel"/>
    <w:lvl w:ilvl="0">
      <w:lvlJc w:val="left"/>
      <w:lvlText w:val="•"/>
      <w:numFmt w:val="bullet"/>
      <w:start w:val="1"/>
    </w:lvl>
  </w:abstractNum>
  <w:abstractNum w:abstractNumId="23">
    <w:nsid w:val="94927A8"/>
    <w:multiLevelType w:val="hybridMultilevel"/>
    <w:lvl w:ilvl="0">
      <w:lvlJc w:val="left"/>
      <w:lvlText w:val="•"/>
      <w:numFmt w:val="bullet"/>
      <w:start w:val="1"/>
    </w:lvl>
  </w:abstractNum>
  <w:abstractNum w:abstractNumId="24">
    <w:nsid w:val="DCDF8F6"/>
    <w:multiLevelType w:val="hybridMultilevel"/>
    <w:lvl w:ilvl="0">
      <w:lvlJc w:val="left"/>
      <w:lvlText w:val="•"/>
      <w:numFmt w:val="bullet"/>
      <w:start w:val="1"/>
    </w:lvl>
  </w:abstractNum>
  <w:abstractNum w:abstractNumId="25">
    <w:nsid w:val="52D7B105"/>
    <w:multiLevelType w:val="hybridMultilevel"/>
    <w:lvl w:ilvl="0">
      <w:lvlJc w:val="left"/>
      <w:lvlText w:val="•"/>
      <w:numFmt w:val="bullet"/>
      <w:start w:val="1"/>
    </w:lvl>
  </w:abstractNum>
  <w:abstractNum w:abstractNumId="26">
    <w:nsid w:val="2E8A6394"/>
    <w:multiLevelType w:val="hybridMultilevel"/>
    <w:lvl w:ilvl="0">
      <w:lvlJc w:val="left"/>
      <w:lvlText w:val="•"/>
      <w:numFmt w:val="bullet"/>
      <w:start w:val="1"/>
    </w:lvl>
  </w:abstractNum>
  <w:abstractNum w:abstractNumId="27">
    <w:nsid w:val="24E60401"/>
    <w:multiLevelType w:val="hybridMultilevel"/>
    <w:lvl w:ilvl="0">
      <w:lvlJc w:val="left"/>
      <w:lvlText w:val="•"/>
      <w:numFmt w:val="bullet"/>
      <w:start w:val="1"/>
    </w:lvl>
  </w:abstractNum>
  <w:abstractNum w:abstractNumId="28">
    <w:nsid w:val="2A6AD9BE"/>
    <w:multiLevelType w:val="hybridMultilevel"/>
    <w:lvl w:ilvl="0">
      <w:lvlJc w:val="left"/>
      <w:lvlText w:val="•"/>
      <w:numFmt w:val="bullet"/>
      <w:start w:val="1"/>
    </w:lvl>
  </w:abstractNum>
  <w:abstractNum w:abstractNumId="29">
    <w:nsid w:val="BAAC1B4"/>
    <w:multiLevelType w:val="hybridMultilevel"/>
    <w:lvl w:ilvl="0">
      <w:lvlJc w:val="left"/>
      <w:lvlText w:val="•"/>
      <w:numFmt w:val="bullet"/>
      <w:start w:val="1"/>
    </w:lvl>
  </w:abstractNum>
  <w:abstractNum w:abstractNumId="30">
    <w:nsid w:val="36B2ACBC"/>
    <w:multiLevelType w:val="hybridMultilevel"/>
    <w:lvl w:ilvl="0">
      <w:lvlJc w:val="left"/>
      <w:lvlText w:val="•"/>
      <w:numFmt w:val="bullet"/>
      <w:start w:val="1"/>
    </w:lvl>
  </w:abstractNum>
  <w:abstractNum w:abstractNumId="31">
    <w:nsid w:val="779D8544"/>
    <w:multiLevelType w:val="hybridMultilevel"/>
    <w:lvl w:ilvl="0">
      <w:lvlJc w:val="left"/>
      <w:lvlText w:val="•"/>
      <w:numFmt w:val="bullet"/>
      <w:start w:val="1"/>
    </w:lvl>
  </w:abstractNum>
  <w:abstractNum w:abstractNumId="32">
    <w:nsid w:val="4AB26E78"/>
    <w:multiLevelType w:val="hybridMultilevel"/>
    <w:lvl w:ilvl="0">
      <w:lvlJc w:val="left"/>
      <w:lvlText w:val="•"/>
      <w:numFmt w:val="bullet"/>
      <w:start w:val="1"/>
    </w:lvl>
  </w:abstractNum>
  <w:abstractNum w:abstractNumId="33">
    <w:nsid w:val="21FAA2FA"/>
    <w:multiLevelType w:val="hybridMultilevel"/>
    <w:lvl w:ilvl="0">
      <w:lvlJc w:val="left"/>
      <w:lvlText w:val="(%1)"/>
      <w:numFmt w:val="lowerRoman"/>
      <w:start w:val="2"/>
    </w:lvl>
  </w:abstractNum>
  <w:abstractNum w:abstractNumId="34">
    <w:nsid w:val="5451CF49"/>
    <w:multiLevelType w:val="hybridMultilevel"/>
    <w:lvl w:ilvl="0">
      <w:lvlJc w:val="left"/>
      <w:lvlText w:val="•"/>
      <w:numFmt w:val="bullet"/>
      <w:start w:val="1"/>
    </w:lvl>
  </w:abstractNum>
  <w:abstractNum w:abstractNumId="35">
    <w:nsid w:val="6181EF69"/>
    <w:multiLevelType w:val="hybridMultilevel"/>
    <w:lvl w:ilvl="0">
      <w:lvlJc w:val="left"/>
      <w:lvlText w:val="•"/>
      <w:numFmt w:val="bullet"/>
      <w:start w:val="1"/>
    </w:lvl>
  </w:abstractNum>
  <w:abstractNum w:abstractNumId="36">
    <w:nsid w:val="3E6400E6"/>
    <w:multiLevelType w:val="hybridMultilevel"/>
    <w:lvl w:ilvl="0">
      <w:lvlJc w:val="left"/>
      <w:lvlText w:val="•"/>
      <w:numFmt w:val="bullet"/>
      <w:start w:val="1"/>
    </w:lvl>
  </w:abstractNum>
  <w:abstractNum w:abstractNumId="37">
    <w:nsid w:val="14217E23"/>
    <w:multiLevelType w:val="hybridMultilevel"/>
    <w:lvl w:ilvl="0">
      <w:lvlJc w:val="left"/>
      <w:lvlText w:val="•"/>
      <w:numFmt w:val="bullet"/>
      <w:start w:val="1"/>
    </w:lvl>
  </w:abstractNum>
  <w:abstractNum w:abstractNumId="38">
    <w:nsid w:val="710757D0"/>
    <w:multiLevelType w:val="hybridMultilevel"/>
    <w:lvl w:ilvl="0">
      <w:lvlJc w:val="left"/>
      <w:lvlText w:val="•"/>
      <w:numFmt w:val="bullet"/>
      <w:start w:val="1"/>
    </w:lvl>
  </w:abstractNum>
  <w:abstractNum w:abstractNumId="39">
    <w:nsid w:val="5015CD1A"/>
    <w:multiLevelType w:val="hybridMultilevel"/>
    <w:lvl w:ilvl="0">
      <w:lvlJc w:val="left"/>
      <w:lvlText w:val="•"/>
      <w:numFmt w:val="bullet"/>
      <w:start w:val="1"/>
    </w:lvl>
  </w:abstractNum>
  <w:abstractNum w:abstractNumId="40">
    <w:nsid w:val="424479DA"/>
    <w:multiLevelType w:val="hybridMultilevel"/>
    <w:lvl w:ilvl="0">
      <w:lvlJc w:val="left"/>
      <w:lvlText w:val="•"/>
      <w:numFmt w:val="bullet"/>
      <w:start w:val="1"/>
    </w:lvl>
  </w:abstractNum>
  <w:abstractNum w:abstractNumId="41">
    <w:nsid w:val="1A9A9E69"/>
    <w:multiLevelType w:val="hybridMultilevel"/>
    <w:lvl w:ilvl="0">
      <w:lvlJc w:val="left"/>
      <w:lvlText w:val="•"/>
      <w:numFmt w:val="bullet"/>
      <w:start w:val="1"/>
    </w:lvl>
  </w:abstractNum>
  <w:abstractNum w:abstractNumId="42">
    <w:nsid w:val="475E256A"/>
    <w:multiLevelType w:val="hybridMultilevel"/>
    <w:lvl w:ilvl="0">
      <w:lvlJc w:val="left"/>
      <w:lvlText w:val="(%1)"/>
      <w:numFmt w:val="decimal"/>
      <w:start w:val="1"/>
    </w:lvl>
  </w:abstractNum>
  <w:abstractNum w:abstractNumId="43">
    <w:nsid w:val="368DB37E"/>
    <w:multiLevelType w:val="hybridMultilevel"/>
    <w:lvl w:ilvl="0">
      <w:lvlJc w:val="left"/>
      <w:lvlText w:val="•"/>
      <w:numFmt w:val="bullet"/>
      <w:start w:val="1"/>
    </w:lvl>
  </w:abstractNum>
  <w:abstractNum w:abstractNumId="44">
    <w:nsid w:val="6A3B714C"/>
    <w:multiLevelType w:val="hybridMultilevel"/>
    <w:lvl w:ilvl="0">
      <w:lvlJc w:val="left"/>
      <w:lvlText w:val="•"/>
      <w:numFmt w:val="bullet"/>
      <w:start w:val="1"/>
    </w:lvl>
  </w:abstractNum>
  <w:abstractNum w:abstractNumId="45">
    <w:nsid w:val="327B517E"/>
    <w:multiLevelType w:val="hybridMultilevel"/>
    <w:lvl w:ilvl="0">
      <w:lvlJc w:val="left"/>
      <w:lvlText w:val="•"/>
      <w:numFmt w:val="bullet"/>
      <w:start w:val="1"/>
    </w:lvl>
  </w:abstractNum>
  <w:abstractNum w:abstractNumId="46">
    <w:nsid w:val="1F461B51"/>
    <w:multiLevelType w:val="hybridMultilevel"/>
    <w:lvl w:ilvl="0">
      <w:lvlJc w:val="left"/>
      <w:lvlText w:val="•"/>
      <w:numFmt w:val="bullet"/>
      <w:start w:val="1"/>
    </w:lvl>
    <w:lvl w:ilvl="1">
      <w:lvlJc w:val="left"/>
      <w:lvlText w:val="•"/>
      <w:numFmt w:val="bullet"/>
      <w:start w:val="1"/>
    </w:lvl>
  </w:abstractNum>
  <w:abstractNum w:abstractNumId="47">
    <w:nsid w:val="29BACF25"/>
    <w:multiLevelType w:val="hybridMultilevel"/>
    <w:lvl w:ilvl="0">
      <w:lvlJc w:val="left"/>
      <w:lvlText w:val="•"/>
      <w:numFmt w:val="bullet"/>
      <w:start w:val="1"/>
    </w:lvl>
  </w:abstractNum>
  <w:abstractNum w:abstractNumId="48">
    <w:nsid w:val="5D5BABB3"/>
    <w:multiLevelType w:val="hybridMultilevel"/>
    <w:lvl w:ilvl="0">
      <w:lvlJc w:val="left"/>
      <w:lvlText w:val="•"/>
      <w:numFmt w:val="bullet"/>
      <w:start w:val="1"/>
    </w:lvl>
  </w:abstractNum>
  <w:abstractNum w:abstractNumId="49">
    <w:nsid w:val="51BF6B48"/>
    <w:multiLevelType w:val="hybridMultilevel"/>
    <w:lvl w:ilvl="0">
      <w:lvlJc w:val="left"/>
      <w:lvlText w:val="•"/>
      <w:numFmt w:val="bullet"/>
      <w:start w:val="1"/>
    </w:lvl>
  </w:abstractNum>
  <w:abstractNum w:abstractNumId="50">
    <w:nsid w:val="7E0F6384"/>
    <w:multiLevelType w:val="hybridMultilevel"/>
    <w:lvl w:ilvl="0">
      <w:lvlJc w:val="left"/>
      <w:lvlText w:val="•"/>
      <w:numFmt w:val="bullet"/>
      <w:start w:val="1"/>
    </w:lvl>
  </w:abstractNum>
  <w:abstractNum w:abstractNumId="51">
    <w:nsid w:val="2B4B8B53"/>
    <w:multiLevelType w:val="hybridMultilevel"/>
    <w:lvl w:ilvl="0">
      <w:lvlJc w:val="left"/>
      <w:lvlText w:val="•"/>
      <w:numFmt w:val="bullet"/>
      <w:start w:val="1"/>
    </w:lvl>
  </w:abstractNum>
  <w:abstractNum w:abstractNumId="52">
    <w:nsid w:val="72E3413A"/>
    <w:multiLevelType w:val="hybridMultilevel"/>
    <w:lvl w:ilvl="0">
      <w:lvlJc w:val="left"/>
      <w:lvlText w:val="(%1)"/>
      <w:numFmt w:val="lowerRoman"/>
      <w:start w:val="3"/>
    </w:lvl>
  </w:abstractNum>
  <w:abstractNum w:abstractNumId="53">
    <w:nsid w:val="116AE494"/>
    <w:multiLevelType w:val="hybridMultilevel"/>
    <w:lvl w:ilvl="0">
      <w:lvlJc w:val="left"/>
      <w:lvlText w:val="•"/>
      <w:numFmt w:val="bullet"/>
      <w:start w:val="1"/>
    </w:lvl>
  </w:abstractNum>
  <w:abstractNum w:abstractNumId="54">
    <w:nsid w:val="3494B2FB"/>
    <w:multiLevelType w:val="hybridMultilevel"/>
    <w:lvl w:ilvl="0">
      <w:lvlJc w:val="left"/>
      <w:lvlText w:val="•"/>
      <w:numFmt w:val="bullet"/>
      <w:start w:val="1"/>
    </w:lvl>
  </w:abstractNum>
  <w:abstractNum w:abstractNumId="55">
    <w:nsid w:val="B13A31"/>
    <w:multiLevelType w:val="hybridMultilevel"/>
    <w:lvl w:ilvl="0">
      <w:lvlJc w:val="left"/>
      <w:lvlText w:val="•"/>
      <w:numFmt w:val="bullet"/>
      <w:start w:val="1"/>
    </w:lvl>
  </w:abstractNum>
  <w:abstractNum w:abstractNumId="56">
    <w:nsid w:val="64429599"/>
    <w:multiLevelType w:val="hybridMultilevel"/>
    <w:lvl w:ilvl="0">
      <w:lvlJc w:val="left"/>
      <w:lvlText w:val="•"/>
      <w:numFmt w:val="bullet"/>
      <w:start w:val="1"/>
    </w:lvl>
  </w:abstractNum>
  <w:abstractNum w:abstractNumId="57">
    <w:nsid w:val="631F1690"/>
    <w:multiLevelType w:val="hybridMultilevel"/>
    <w:lvl w:ilvl="0">
      <w:lvlJc w:val="left"/>
      <w:lvlText w:val="•"/>
      <w:numFmt w:val="bullet"/>
      <w:start w:val="1"/>
    </w:lvl>
  </w:abstractNum>
  <w:abstractNum w:abstractNumId="58">
    <w:nsid w:val="25973E32"/>
    <w:multiLevelType w:val="hybridMultilevel"/>
    <w:lvl w:ilvl="0">
      <w:lvlJc w:val="left"/>
      <w:lvlText w:val="•"/>
      <w:numFmt w:val="bullet"/>
      <w:start w:val="1"/>
    </w:lvl>
  </w:abstractNum>
  <w:abstractNum w:abstractNumId="59">
    <w:nsid w:val="EAD6F57"/>
    <w:multiLevelType w:val="hybridMultilevel"/>
    <w:lvl w:ilvl="0">
      <w:lvlJc w:val="left"/>
      <w:lvlText w:val="•"/>
      <w:numFmt w:val="bullet"/>
      <w:start w:val="1"/>
    </w:lvl>
    <w:lvl w:ilvl="1">
      <w:lvlJc w:val="left"/>
      <w:lvlText w:val="•"/>
      <w:numFmt w:val="bullet"/>
      <w:start w:val="1"/>
    </w:lvl>
  </w:abstractNum>
  <w:abstractNum w:abstractNumId="60">
    <w:nsid w:val="6EC9D844"/>
    <w:multiLevelType w:val="hybridMultilevel"/>
    <w:lvl w:ilvl="0">
      <w:lvlJc w:val="left"/>
      <w:lvlText w:val="•"/>
      <w:numFmt w:val="bullet"/>
      <w:start w:val="1"/>
    </w:lvl>
    <w:lvl w:ilvl="1">
      <w:lvlJc w:val="left"/>
      <w:lvlText w:val="•"/>
      <w:numFmt w:val="bullet"/>
      <w:start w:val="1"/>
    </w:lvl>
  </w:abstractNum>
  <w:abstractNum w:abstractNumId="61">
    <w:nsid w:val="5C49EAEE"/>
    <w:multiLevelType w:val="hybridMultilevel"/>
    <w:lvl w:ilvl="0">
      <w:lvlJc w:val="left"/>
      <w:lvlText w:val="•"/>
      <w:numFmt w:val="bullet"/>
      <w:start w:val="1"/>
    </w:lvl>
  </w:abstractNum>
  <w:abstractNum w:abstractNumId="62">
    <w:nsid w:val="64AF49B"/>
    <w:multiLevelType w:val="hybridMultilevel"/>
    <w:lvl w:ilvl="0">
      <w:lvlJc w:val="left"/>
      <w:lvlText w:val="•"/>
      <w:numFmt w:val="bullet"/>
      <w:start w:val="1"/>
    </w:lvl>
  </w:abstractNum>
  <w:abstractNum w:abstractNumId="63">
    <w:nsid w:val="397C46BC"/>
    <w:multiLevelType w:val="hybridMultilevel"/>
    <w:lvl w:ilvl="0">
      <w:lvlJc w:val="left"/>
      <w:lvlText w:val="•"/>
      <w:numFmt w:val="bullet"/>
      <w:start w:val="1"/>
    </w:lvl>
  </w:abstractNum>
  <w:abstractNum w:abstractNumId="64">
    <w:nsid w:val="7E448DE9"/>
    <w:multiLevelType w:val="hybridMultilevel"/>
    <w:lvl w:ilvl="0">
      <w:lvlJc w:val="left"/>
      <w:lvlText w:val="•"/>
      <w:numFmt w:val="bullet"/>
      <w:start w:val="1"/>
    </w:lvl>
  </w:abstractNum>
  <w:abstractNum w:abstractNumId="65">
    <w:nsid w:val="5A9CC3E5"/>
    <w:multiLevelType w:val="hybridMultilevel"/>
    <w:lvl w:ilvl="0">
      <w:lvlJc w:val="left"/>
      <w:lvlText w:val="•"/>
      <w:numFmt w:val="bullet"/>
      <w:start w:val="1"/>
    </w:lvl>
  </w:abstractNum>
  <w:abstractNum w:abstractNumId="66">
    <w:nsid w:val="1AFE3625"/>
    <w:multiLevelType w:val="hybridMultilevel"/>
    <w:lvl w:ilvl="0">
      <w:lvlJc w:val="left"/>
      <w:lvlText w:val="•"/>
      <w:numFmt w:val="bullet"/>
      <w:start w:val="1"/>
    </w:lvl>
  </w:abstractNum>
  <w:abstractNum w:abstractNumId="67">
    <w:nsid w:val="3CA88ECF"/>
    <w:multiLevelType w:val="hybridMultilevel"/>
    <w:lvl w:ilvl="0">
      <w:lvlJc w:val="left"/>
      <w:lvlText w:val="•"/>
      <w:numFmt w:val="bullet"/>
      <w:start w:val="1"/>
    </w:lvl>
  </w:abstractNum>
  <w:abstractNum w:abstractNumId="68">
    <w:nsid w:val="6EBE4208"/>
    <w:multiLevelType w:val="hybridMultilevel"/>
    <w:lvl w:ilvl="0">
      <w:lvlJc w:val="left"/>
      <w:lvlText w:val="•"/>
      <w:numFmt w:val="bullet"/>
      <w:start w:val="1"/>
    </w:lvl>
  </w:abstractNum>
  <w:abstractNum w:abstractNumId="69">
    <w:nsid w:val="C058DF5"/>
    <w:multiLevelType w:val="hybridMultilevel"/>
    <w:lvl w:ilvl="0">
      <w:lvlJc w:val="left"/>
      <w:lvlText w:val="(%1)"/>
      <w:numFmt w:val="decimal"/>
      <w:start w:val="1"/>
    </w:lvl>
  </w:abstractNum>
  <w:abstractNum w:abstractNumId="70">
    <w:nsid w:val="CBE5BE9"/>
    <w:multiLevelType w:val="hybridMultilevel"/>
    <w:lvl w:ilvl="0">
      <w:lvlJc w:val="left"/>
      <w:lvlText w:val="•"/>
      <w:numFmt w:val="bullet"/>
      <w:start w:val="1"/>
    </w:lvl>
  </w:abstractNum>
  <w:abstractNum w:abstractNumId="71">
    <w:nsid w:val="3102BBE2"/>
    <w:multiLevelType w:val="hybridMultilevel"/>
    <w:lvl w:ilvl="0">
      <w:lvlJc w:val="left"/>
      <w:lvlText w:val="•"/>
      <w:numFmt w:val="bullet"/>
      <w:start w:val="1"/>
    </w:lvl>
  </w:abstractNum>
  <w:abstractNum w:abstractNumId="72">
    <w:nsid w:val="26A02C5E"/>
    <w:multiLevelType w:val="hybridMultilevel"/>
    <w:lvl w:ilvl="0">
      <w:lvlJc w:val="left"/>
      <w:lvlText w:val="•"/>
      <w:numFmt w:val="bullet"/>
      <w:start w:val="1"/>
    </w:lvl>
  </w:abstractNum>
  <w:abstractNum w:abstractNumId="73">
    <w:nsid w:val="541C8153"/>
    <w:multiLevelType w:val="hybridMultilevel"/>
    <w:lvl w:ilvl="0">
      <w:lvlJc w:val="left"/>
      <w:lvlText w:val="•"/>
      <w:numFmt w:val="bullet"/>
      <w:start w:val="1"/>
    </w:lvl>
  </w:abstractNum>
  <w:abstractNum w:abstractNumId="74">
    <w:nsid w:val="67906F60"/>
    <w:multiLevelType w:val="hybridMultilevel"/>
    <w:lvl w:ilvl="0">
      <w:lvlJc w:val="left"/>
      <w:lvlText w:val="(%1)"/>
      <w:numFmt w:val="decimal"/>
      <w:start w:val="1"/>
    </w:lvl>
  </w:abstractNum>
  <w:abstractNum w:abstractNumId="75">
    <w:nsid w:val="10DB9DAA"/>
    <w:multiLevelType w:val="hybridMultilevel"/>
    <w:lvl w:ilvl="0">
      <w:lvlJc w:val="left"/>
      <w:lvlText w:val="(%1)"/>
      <w:numFmt w:val="decimal"/>
      <w:start w:val="1"/>
    </w:lvl>
  </w:abstractNum>
  <w:abstractNum w:abstractNumId="76">
    <w:nsid w:val="697D2D2"/>
    <w:multiLevelType w:val="hybridMultilevel"/>
    <w:lvl w:ilvl="0">
      <w:lvlJc w:val="left"/>
      <w:lvlText w:val="•"/>
      <w:numFmt w:val="bullet"/>
      <w:start w:val="1"/>
    </w:lvl>
  </w:abstractNum>
  <w:abstractNum w:abstractNumId="77">
    <w:nsid w:val="6D68AB2"/>
    <w:multiLevelType w:val="hybridMultilevel"/>
    <w:lvl w:ilvl="0">
      <w:lvlJc w:val="left"/>
      <w:lvlText w:val="•"/>
      <w:numFmt w:val="bullet"/>
      <w:start w:val="1"/>
    </w:lvl>
  </w:abstractNum>
  <w:abstractNum w:abstractNumId="78">
    <w:nsid w:val="3A966CD0"/>
    <w:multiLevelType w:val="hybridMultilevel"/>
    <w:lvl w:ilvl="0">
      <w:lvlJc w:val="left"/>
      <w:lvlText w:val="•"/>
      <w:numFmt w:val="bullet"/>
      <w:start w:val="1"/>
    </w:lvl>
  </w:abstractNum>
  <w:abstractNum w:abstractNumId="79">
    <w:nsid w:val="63F37E85"/>
    <w:multiLevelType w:val="hybridMultilevel"/>
    <w:lvl w:ilvl="0">
      <w:lvlJc w:val="left"/>
      <w:lvlText w:val="•"/>
      <w:numFmt w:val="bullet"/>
      <w:start w:val="1"/>
    </w:lvl>
    <w:lvl w:ilvl="1">
      <w:lvlJc w:val="left"/>
      <w:lvlText w:val="•"/>
      <w:numFmt w:val="bullet"/>
      <w:start w:val="1"/>
    </w:lvl>
  </w:abstractNum>
  <w:abstractNum w:abstractNumId="80">
    <w:nsid w:val="5895F5FA"/>
    <w:multiLevelType w:val="hybridMultilevel"/>
    <w:lvl w:ilvl="0">
      <w:lvlJc w:val="left"/>
      <w:lvlText w:val="•"/>
      <w:numFmt w:val="bullet"/>
      <w:start w:val="1"/>
    </w:lvl>
  </w:abstractNum>
  <w:abstractNum w:abstractNumId="81">
    <w:nsid w:val="38A5D054"/>
    <w:multiLevelType w:val="hybridMultilevel"/>
    <w:lvl w:ilvl="0">
      <w:lvlJc w:val="left"/>
      <w:lvlText w:val="•"/>
      <w:numFmt w:val="bullet"/>
      <w:start w:val="1"/>
    </w:lvl>
  </w:abstractNum>
  <w:abstractNum w:abstractNumId="82">
    <w:nsid w:val="F3F09D8"/>
    <w:multiLevelType w:val="hybridMultilevel"/>
    <w:lvl w:ilvl="0">
      <w:lvlJc w:val="left"/>
      <w:lvlText w:val="•"/>
      <w:numFmt w:val="bullet"/>
      <w:start w:val="1"/>
    </w:lvl>
    <w:lvl w:ilvl="1">
      <w:lvlJc w:val="left"/>
      <w:lvlText w:val="•"/>
      <w:numFmt w:val="bullet"/>
      <w:start w:val="1"/>
    </w:lvl>
  </w:abstractNum>
  <w:abstractNum w:abstractNumId="83">
    <w:nsid w:val="4B793735"/>
    <w:multiLevelType w:val="hybridMultilevel"/>
    <w:lvl w:ilvl="0">
      <w:lvlJc w:val="left"/>
      <w:lvlText w:val="•"/>
      <w:numFmt w:val="bullet"/>
      <w:start w:val="1"/>
    </w:lvl>
  </w:abstractNum>
  <w:abstractNum w:abstractNumId="84">
    <w:nsid w:val="4A10B4E8"/>
    <w:multiLevelType w:val="hybridMultilevel"/>
    <w:lvl w:ilvl="0">
      <w:lvlJc w:val="left"/>
      <w:lvlText w:val="(%1)"/>
      <w:numFmt w:val="decimal"/>
      <w:start w:val="1"/>
    </w:lvl>
  </w:abstractNum>
  <w:abstractNum w:abstractNumId="85">
    <w:nsid w:val="43D3BCD4"/>
    <w:multiLevelType w:val="hybridMultilevel"/>
    <w:lvl w:ilvl="0">
      <w:lvlJc w:val="left"/>
      <w:lvlText w:val="•"/>
      <w:numFmt w:val="bullet"/>
      <w:start w:val="1"/>
    </w:lvl>
  </w:abstractNum>
  <w:abstractNum w:abstractNumId="86">
    <w:nsid w:val="4C2A7166"/>
    <w:multiLevelType w:val="hybridMultilevel"/>
    <w:lvl w:ilvl="0">
      <w:lvlJc w:val="left"/>
      <w:lvlText w:val="(%1)"/>
      <w:numFmt w:val="decimal"/>
      <w:start w:val="1"/>
    </w:lvl>
  </w:abstractNum>
  <w:abstractNum w:abstractNumId="87">
    <w:nsid w:val="2E534A82"/>
    <w:multiLevelType w:val="hybridMultilevel"/>
    <w:lvl w:ilvl="0">
      <w:lvlJc w:val="left"/>
      <w:lvlText w:val="(%1)"/>
      <w:numFmt w:val="decimal"/>
      <w:start w:val="2"/>
    </w:lvl>
  </w:abstractNum>
  <w:abstractNum w:abstractNumId="88">
    <w:nsid w:val="26F2D364"/>
    <w:multiLevelType w:val="hybridMultilevel"/>
    <w:lvl w:ilvl="0">
      <w:lvlJc w:val="left"/>
      <w:lvlText w:val="•"/>
      <w:numFmt w:val="bullet"/>
      <w:start w:val="1"/>
    </w:lvl>
  </w:abstractNum>
  <w:abstractNum w:abstractNumId="89">
    <w:nsid w:val="71C1AF98"/>
    <w:multiLevelType w:val="hybridMultilevel"/>
    <w:lvl w:ilvl="0">
      <w:lvlJc w:val="left"/>
      <w:lvlText w:val="*"/>
      <w:numFmt w:val="bullet"/>
      <w:start w:val="1"/>
    </w:lvl>
  </w:abstractNum>
  <w:abstractNum w:abstractNumId="90">
    <w:nsid w:val="3D00B9D9"/>
    <w:multiLevelType w:val="hybridMultilevel"/>
    <w:lvl w:ilvl="0">
      <w:lvlJc w:val="left"/>
      <w:lvlText w:val="(%1)"/>
      <w:numFmt w:val="decimal"/>
      <w:start w:val="1"/>
    </w:lvl>
  </w:abstractNum>
  <w:abstractNum w:abstractNumId="91">
    <w:nsid w:val="15BCABA8"/>
    <w:multiLevelType w:val="hybridMultilevel"/>
    <w:lvl w:ilvl="0">
      <w:lvlJc w:val="left"/>
      <w:lvlText w:val="(%1)"/>
      <w:numFmt w:val="decimal"/>
      <w:start w:val="3"/>
    </w:lvl>
  </w:abstractNum>
  <w:abstractNum w:abstractNumId="92">
    <w:nsid w:val="4E0B9A87"/>
    <w:multiLevelType w:val="hybridMultilevel"/>
    <w:lvl w:ilvl="0">
      <w:lvlJc w:val="left"/>
      <w:lvlText w:val="(%1)"/>
      <w:numFmt w:val="lowerRoman"/>
      <w:start w:val="4"/>
    </w:lvl>
  </w:abstractNum>
  <w:abstractNum w:abstractNumId="93">
    <w:nsid w:val="434BAE75"/>
    <w:multiLevelType w:val="hybridMultilevel"/>
    <w:lvl w:ilvl="0">
      <w:lvlJc w:val="left"/>
      <w:lvlText w:val="•"/>
      <w:numFmt w:val="bullet"/>
      <w:start w:val="1"/>
    </w:lvl>
  </w:abstractNum>
  <w:abstractNum w:abstractNumId="94">
    <w:nsid w:val="4F38F265"/>
    <w:multiLevelType w:val="hybridMultilevel"/>
    <w:lvl w:ilvl="0">
      <w:lvlJc w:val="left"/>
      <w:lvlText w:val="•"/>
      <w:numFmt w:val="bullet"/>
      <w:start w:val="1"/>
    </w:lvl>
  </w:abstractNum>
  <w:abstractNum w:abstractNumId="95">
    <w:nsid w:val="4C502870"/>
    <w:multiLevelType w:val="hybridMultilevel"/>
    <w:lvl w:ilvl="0">
      <w:lvlJc w:val="left"/>
      <w:lvlText w:val="•"/>
      <w:numFmt w:val="bullet"/>
      <w:start w:val="1"/>
    </w:lvl>
  </w:abstractNum>
  <w:abstractNum w:abstractNumId="96">
    <w:nsid w:val="1DE8725A"/>
    <w:multiLevelType w:val="hybridMultilevel"/>
    <w:lvl w:ilvl="0">
      <w:lvlJc w:val="left"/>
      <w:lvlText w:val="•"/>
      <w:numFmt w:val="bullet"/>
      <w:start w:val="1"/>
    </w:lvl>
  </w:abstractNum>
  <w:abstractNum w:abstractNumId="97">
    <w:nsid w:val="6A37288A"/>
    <w:multiLevelType w:val="hybridMultilevel"/>
    <w:lvl w:ilvl="0">
      <w:lvlJc w:val="left"/>
      <w:lvlText w:val="&amp;"/>
      <w:numFmt w:val="bullet"/>
      <w:start w:val="1"/>
    </w:lvl>
  </w:abstractNum>
  <w:abstractNum w:abstractNumId="98">
    <w:nsid w:val="8F8B73F"/>
    <w:multiLevelType w:val="hybridMultilevel"/>
    <w:lvl w:ilvl="0">
      <w:lvlJc w:val="left"/>
      <w:lvlText w:val="(%1)"/>
      <w:numFmt w:val="lowerRoman"/>
      <w:start w:val="1"/>
    </w:lvl>
  </w:abstractNum>
  <w:abstractNum w:abstractNumId="99">
    <w:nsid w:val="CA6B462"/>
    <w:multiLevelType w:val="hybridMultilevel"/>
    <w:lvl w:ilvl="0">
      <w:lvlJc w:val="left"/>
      <w:lvlText w:val="(%1)"/>
      <w:numFmt w:val="lowerRoman"/>
      <w:start w:val="1"/>
    </w:lvl>
  </w:abstractNum>
  <w:abstractNum w:abstractNumId="100">
    <w:nsid w:val="763CB680"/>
    <w:multiLevelType w:val="hybridMultilevel"/>
    <w:lvl w:ilvl="0">
      <w:lvlJc w:val="left"/>
      <w:lvlText w:val="%1."/>
      <w:numFmt w:val="decimal"/>
      <w:start w:val="1"/>
    </w:lvl>
  </w:abstractNum>
  <w:abstractNum w:abstractNumId="101">
    <w:nsid w:val="15B71329"/>
    <w:multiLevelType w:val="hybridMultilevel"/>
    <w:lvl w:ilvl="0">
      <w:lvlJc w:val="left"/>
      <w:lvlText w:val="%1."/>
      <w:numFmt w:val="decimal"/>
      <w:start w:val="2"/>
    </w:lvl>
  </w:abstractNum>
  <w:abstractNum w:abstractNumId="102">
    <w:nsid w:val="3DA97044"/>
    <w:multiLevelType w:val="hybridMultilevel"/>
    <w:lvl w:ilvl="0">
      <w:lvlJc w:val="left"/>
      <w:lvlText w:val="•"/>
      <w:numFmt w:val="bullet"/>
      <w:start w:val="1"/>
    </w:lvl>
  </w:abstractNum>
  <w:abstractNum w:abstractNumId="103">
    <w:nsid w:val="1CDCE2DE"/>
    <w:multiLevelType w:val="hybridMultilevel"/>
    <w:lvl w:ilvl="0">
      <w:lvlJc w:val="left"/>
      <w:lvlText w:val="%1."/>
      <w:numFmt w:val="decimal"/>
      <w:start w:val="3"/>
    </w:lvl>
  </w:abstractNum>
  <w:abstractNum w:abstractNumId="104">
    <w:nsid w:val="69D3947C"/>
    <w:multiLevelType w:val="hybridMultilevel"/>
    <w:lvl w:ilvl="0">
      <w:lvlJc w:val="left"/>
      <w:lvlText w:val="(%1)"/>
      <w:numFmt w:val="decimal"/>
      <w:start w:val="1"/>
    </w:lvl>
  </w:abstractNum>
  <w:abstractNum w:abstractNumId="105">
    <w:nsid w:val="2539DFA5"/>
    <w:multiLevelType w:val="hybridMultilevel"/>
    <w:lvl w:ilvl="0">
      <w:lvlJc w:val="left"/>
      <w:lvlText w:val="(%1)"/>
      <w:numFmt w:val="decimal"/>
      <w:start w:val="1"/>
    </w:lvl>
  </w:abstractNum>
  <w:abstractNum w:abstractNumId="106">
    <w:nsid w:val="2DB88089"/>
    <w:multiLevelType w:val="hybridMultilevel"/>
    <w:lvl w:ilvl="0">
      <w:lvlJc w:val="left"/>
      <w:lvlText w:val="%1."/>
      <w:numFmt w:val="decimal"/>
      <w:start w:val="4"/>
    </w:lvl>
  </w:abstractNum>
  <w:abstractNum w:abstractNumId="107">
    <w:nsid w:val="706B674E"/>
    <w:multiLevelType w:val="hybridMultilevel"/>
    <w:lvl w:ilvl="0">
      <w:lvlJc w:val="left"/>
      <w:lvlText w:val="%1."/>
      <w:numFmt w:val="decimal"/>
      <w:start w:val="5"/>
    </w:lvl>
  </w:abstractNum>
  <w:abstractNum w:abstractNumId="108">
    <w:nsid w:val="2C106A57"/>
    <w:multiLevelType w:val="hybridMultilevel"/>
    <w:lvl w:ilvl="0">
      <w:lvlJc w:val="left"/>
      <w:lvlText w:val="%1."/>
      <w:numFmt w:val="decimal"/>
      <w:start w:val="6"/>
    </w:lvl>
  </w:abstractNum>
  <w:abstractNum w:abstractNumId="109">
    <w:nsid w:val="684EED59"/>
    <w:multiLevelType w:val="hybridMultilevel"/>
    <w:lvl w:ilvl="0">
      <w:lvlJc w:val="left"/>
      <w:lvlText w:val="%1."/>
      <w:numFmt w:val="decimal"/>
      <w:start w:val="7"/>
    </w:lvl>
  </w:abstractNum>
  <w:abstractNum w:abstractNumId="110">
    <w:nsid w:val="545EE5D3"/>
    <w:multiLevelType w:val="hybridMultilevel"/>
    <w:lvl w:ilvl="0">
      <w:lvlJc w:val="left"/>
      <w:lvlText w:val="%1."/>
      <w:numFmt w:val="decimal"/>
      <w:start w:val="8"/>
    </w:lvl>
  </w:abstractNum>
  <w:abstractNum w:abstractNumId="111">
    <w:nsid w:val="4A66051"/>
    <w:multiLevelType w:val="hybridMultilevel"/>
    <w:lvl w:ilvl="0">
      <w:lvlJc w:val="left"/>
      <w:lvlText w:val="%1."/>
      <w:numFmt w:val="decimal"/>
      <w:start w:val="9"/>
    </w:lvl>
  </w:abstractNum>
  <w:abstractNum w:abstractNumId="112">
    <w:nsid w:val="20F4BDAD"/>
    <w:multiLevelType w:val="hybridMultilevel"/>
    <w:lvl w:ilvl="0">
      <w:lvlJc w:val="left"/>
      <w:lvlText w:val="•"/>
      <w:numFmt w:val="bullet"/>
      <w:start w:val="1"/>
    </w:lvl>
  </w:abstractNum>
  <w:abstractNum w:abstractNumId="113">
    <w:nsid w:val="639DEFAC"/>
    <w:multiLevelType w:val="hybridMultilevel"/>
    <w:lvl w:ilvl="0">
      <w:lvlJc w:val="left"/>
      <w:lvlText w:val="%1."/>
      <w:numFmt w:val="decimal"/>
      <w:start w:val="10"/>
    </w:lvl>
  </w:abstractNum>
  <w:abstractNum w:abstractNumId="114">
    <w:nsid w:val="501F9786"/>
    <w:multiLevelType w:val="hybridMultilevel"/>
    <w:lvl w:ilvl="0">
      <w:lvlJc w:val="left"/>
      <w:lvlText w:val="%1."/>
      <w:numFmt w:val="decimal"/>
      <w:start w:val="11"/>
    </w:lvl>
  </w:abstractNum>
  <w:abstractNum w:abstractNumId="115">
    <w:nsid w:val="6B057295"/>
    <w:multiLevelType w:val="hybridMultilevel"/>
    <w:lvl w:ilvl="0">
      <w:lvlJc w:val="left"/>
      <w:lvlText w:val="(%1)"/>
      <w:numFmt w:val="lowerRoman"/>
      <w:start w:val="1"/>
    </w:lvl>
  </w:abstractNum>
  <w:abstractNum w:abstractNumId="116">
    <w:nsid w:val="2771AC80"/>
    <w:multiLevelType w:val="hybridMultilevel"/>
    <w:lvl w:ilvl="0">
      <w:lvlJc w:val="left"/>
      <w:lvlText w:val="(%1)"/>
      <w:numFmt w:val="decimal"/>
      <w:start w:val="1"/>
    </w:lvl>
  </w:abstractNum>
  <w:abstractNum w:abstractNumId="117">
    <w:nsid w:val="1C4A08EC"/>
    <w:multiLevelType w:val="hybridMultilevel"/>
    <w:lvl w:ilvl="0">
      <w:lvlJc w:val="left"/>
      <w:lvlText w:val="%1."/>
      <w:numFmt w:val="decimal"/>
      <w:start w:val="12"/>
    </w:lvl>
  </w:abstractNum>
  <w:abstractNum w:abstractNumId="118">
    <w:nsid w:val="1958BD17"/>
    <w:multiLevelType w:val="hybridMultilevel"/>
    <w:lvl w:ilvl="0">
      <w:lvlJc w:val="left"/>
      <w:lvlText w:val="%1."/>
      <w:numFmt w:val="decimal"/>
      <w:start w:val="13"/>
    </w:lvl>
  </w:abstractNum>
  <w:abstractNum w:abstractNumId="119">
    <w:nsid w:val="4E647FE4"/>
    <w:multiLevelType w:val="hybridMultilevel"/>
    <w:lvl w:ilvl="0">
      <w:lvlJc w:val="left"/>
      <w:lvlText w:val="%1."/>
      <w:numFmt w:val="decimal"/>
      <w:start w:val="14"/>
    </w:lvl>
  </w:abstractNum>
  <w:abstractNum w:abstractNumId="120">
    <w:nsid w:val="E0BB885"/>
    <w:multiLevelType w:val="hybridMultilevel"/>
    <w:lvl w:ilvl="0">
      <w:lvlJc w:val="left"/>
      <w:lvlText w:val="(%1)"/>
      <w:numFmt w:val="lowerLetter"/>
      <w:start w:val="1"/>
    </w:lvl>
    <w:lvl w:ilvl="1">
      <w:lvlJc w:val="left"/>
      <w:lvlText w:val="%2."/>
      <w:numFmt w:val="decimal"/>
      <w:start w:val="1"/>
    </w:lvl>
  </w:abstractNum>
  <w:abstractNum w:abstractNumId="121">
    <w:nsid w:val="565976F1"/>
    <w:multiLevelType w:val="hybridMultilevel"/>
    <w:lvl w:ilvl="0">
      <w:lvlJc w:val="left"/>
      <w:lvlText w:val="(%1)"/>
      <w:numFmt w:val="lowerLetter"/>
      <w:start w:val="2"/>
    </w:lvl>
    <w:lvl w:ilvl="1">
      <w:lvlJc w:val="left"/>
      <w:lvlText w:val="%2."/>
      <w:numFmt w:val="decimal"/>
      <w:start w:val="1"/>
    </w:lvl>
  </w:abstractNum>
  <w:abstractNum w:abstractNumId="122">
    <w:nsid w:val="64212B8C"/>
    <w:multiLevelType w:val="hybridMultilevel"/>
    <w:lvl w:ilvl="0">
      <w:lvlJc w:val="left"/>
      <w:lvlText w:val="(%1)"/>
      <w:numFmt w:val="lowerLetter"/>
      <w:start w:val="3"/>
    </w:lvl>
  </w:abstractNum>
  <w:abstractNum w:abstractNumId="123">
    <w:nsid w:val="5C17530C"/>
    <w:multiLevelType w:val="hybridMultilevel"/>
    <w:lvl w:ilvl="0">
      <w:lvlJc w:val="left"/>
      <w:lvlText w:val="(%1)"/>
      <w:numFmt w:val="decimal"/>
      <w:start w:val="1"/>
    </w:lvl>
  </w:abstractNum>
  <w:abstractNum w:abstractNumId="124">
    <w:nsid w:val="19A52566"/>
    <w:multiLevelType w:val="hybridMultilevel"/>
    <w:lvl w:ilvl="0">
      <w:lvlJc w:val="left"/>
      <w:lvlText w:val=" "/>
      <w:numFmt w:val="bullet"/>
      <w:start w:val="1"/>
    </w:lvl>
  </w:abstractNum>
  <w:abstractNum w:abstractNumId="125">
    <w:nsid w:val="335A1DF1"/>
    <w:multiLevelType w:val="hybridMultilevel"/>
    <w:lvl w:ilvl="0">
      <w:lvlJc w:val="left"/>
      <w:lvlText w:val="%1"/>
      <w:numFmt w:val="decimal"/>
      <w:start w:val="107"/>
    </w:lvl>
  </w:abstractNum>
  <w:abstractNum w:abstractNumId="126">
    <w:nsid w:val="28677B7C"/>
    <w:multiLevelType w:val="hybridMultilevel"/>
    <w:lvl w:ilvl="0">
      <w:lvlJc w:val="left"/>
      <w:lvlText w:val="*"/>
      <w:numFmt w:val="bullet"/>
      <w:start w:val="1"/>
    </w:lvl>
  </w:abstractNum>
  <w:abstractNum w:abstractNumId="127">
    <w:nsid w:val="378D97C0"/>
    <w:multiLevelType w:val="hybridMultilevel"/>
    <w:lvl w:ilvl="0">
      <w:lvlJc w:val="left"/>
      <w:lvlText w:val="#"/>
      <w:numFmt w:val="bullet"/>
      <w:start w:val="1"/>
    </w:lvl>
  </w:abstractNum>
  <w:abstractNum w:abstractNumId="128">
    <w:nsid w:val="1D91467C"/>
    <w:multiLevelType w:val="hybridMultilevel"/>
    <w:lvl w:ilvl="0">
      <w:lvlJc w:val="left"/>
      <w:lvlText w:val="%1."/>
      <w:numFmt w:val="decimal"/>
      <w:start w:val="1"/>
    </w:lvl>
    <w:lvl w:ilvl="1">
      <w:lvlJc w:val="left"/>
      <w:lvlText w:val="(%2)"/>
      <w:numFmt w:val="lowerLetter"/>
      <w:start w:val="1"/>
    </w:lvl>
  </w:abstractNum>
  <w:abstractNum w:abstractNumId="129">
    <w:nsid w:val="316032BB"/>
    <w:multiLevelType w:val="hybridMultilevel"/>
    <w:lvl w:ilvl="0">
      <w:lvlJc w:val="left"/>
      <w:lvlText w:val="(%1)"/>
      <w:numFmt w:val="lowerLetter"/>
      <w:start w:val="2"/>
    </w:lvl>
  </w:abstractNum>
  <w:abstractNum w:abstractNumId="130">
    <w:nsid w:val="44344C22"/>
    <w:multiLevelType w:val="hybridMultilevel"/>
    <w:lvl w:ilvl="0">
      <w:lvlJc w:val="left"/>
      <w:lvlText w:val="%1"/>
      <w:numFmt w:val="lowerLetter"/>
      <w:start w:val="1"/>
    </w:lvl>
    <w:lvl w:ilvl="1">
      <w:lvlJc w:val="left"/>
      <w:lvlText w:val="(%2)"/>
      <w:numFmt w:val="lowerLetter"/>
      <w:start w:val="4"/>
    </w:lvl>
  </w:abstractNum>
  <w:abstractNum w:abstractNumId="131">
    <w:nsid w:val="13CDFCFC"/>
    <w:multiLevelType w:val="hybridMultilevel"/>
    <w:lvl w:ilvl="0">
      <w:lvlJc w:val="left"/>
      <w:lvlText w:val="(%1)"/>
      <w:numFmt w:val="lowerLetter"/>
      <w:start w:val="9"/>
    </w:lvl>
    <w:lvl w:ilvl="1">
      <w:lvlJc w:val="left"/>
      <w:lvlText w:val="%2"/>
      <w:numFmt w:val="lowerLetter"/>
      <w:start w:val="1"/>
    </w:lvl>
  </w:abstractNum>
  <w:abstractNum w:abstractNumId="132">
    <w:nsid w:val="471745E4"/>
    <w:multiLevelType w:val="hybridMultilevel"/>
    <w:lvl w:ilvl="0">
      <w:lvlJc w:val="left"/>
      <w:lvlText w:val="(%1)"/>
      <w:numFmt w:val="lowerLetter"/>
      <w:start w:val="7"/>
    </w:lvl>
  </w:abstractNum>
  <w:abstractNum w:abstractNumId="133">
    <w:nsid w:val="1DDBC66"/>
    <w:multiLevelType w:val="hybridMultilevel"/>
    <w:lvl w:ilvl="0">
      <w:lvlJc w:val="left"/>
      <w:lvlText w:val="(%1)"/>
      <w:numFmt w:val="lowerLetter"/>
      <w:start w:val="13"/>
    </w:lvl>
  </w:abstractNum>
  <w:abstractNum w:abstractNumId="134">
    <w:nsid w:val="30AADFDA"/>
    <w:multiLevelType w:val="hybridMultilevel"/>
    <w:lvl w:ilvl="0">
      <w:lvlJc w:val="left"/>
      <w:lvlText w:val="%1"/>
      <w:numFmt w:val="upperLetter"/>
      <w:start w:val="1"/>
    </w:lvl>
    <w:lvl w:ilvl="1">
      <w:lvlJc w:val="left"/>
      <w:lvlText w:val="(%2)"/>
      <w:numFmt w:val="lowerLetter"/>
      <w:start w:val="17"/>
    </w:lvl>
  </w:abstractNum>
  <w:abstractNum w:abstractNumId="135">
    <w:nsid w:val="30EADA61"/>
    <w:multiLevelType w:val="hybridMultilevel"/>
    <w:lvl w:ilvl="0">
      <w:lvlJc w:val="left"/>
      <w:lvlText w:val="(%1)"/>
      <w:numFmt w:val="upperLetter"/>
      <w:start w:val="1"/>
    </w:lvl>
    <w:lvl w:ilvl="1">
      <w:lvlJc w:val="left"/>
      <w:lvlText w:val="(%2)"/>
      <w:numFmt w:val="lowerLetter"/>
      <w:start w:val="20"/>
    </w:lvl>
  </w:abstractNum>
  <w:abstractNum w:abstractNumId="136">
    <w:nsid w:val="27179C0B"/>
    <w:multiLevelType w:val="hybridMultilevel"/>
    <w:lvl w:ilvl="0">
      <w:lvlJc w:val="left"/>
      <w:lvlText w:val="(%1)"/>
      <w:numFmt w:val="lowerLetter"/>
      <w:start w:val="22"/>
    </w:lvl>
  </w:abstractNum>
  <w:abstractNum w:abstractNumId="137">
    <w:nsid w:val="5E636063"/>
    <w:multiLevelType w:val="hybridMultilevel"/>
    <w:lvl w:ilvl="0">
      <w:lvlJc w:val="left"/>
      <w:lvlText w:val="(%1)"/>
      <w:numFmt w:val="lowerLetter"/>
      <w:start w:val="27"/>
    </w:lvl>
  </w:abstractNum>
  <w:abstractNum w:abstractNumId="138">
    <w:nsid w:val="215641AF"/>
    <w:multiLevelType w:val="hybridMultilevel"/>
    <w:lvl w:ilvl="0">
      <w:lvlJc w:val="left"/>
      <w:lvlText w:val="(%1)"/>
      <w:numFmt w:val="lowerLetter"/>
      <w:start w:val="32"/>
    </w:lvl>
  </w:abstractNum>
  <w:abstractNum w:abstractNumId="139">
    <w:nsid w:val="53280662"/>
    <w:multiLevelType w:val="hybridMultilevel"/>
    <w:lvl w:ilvl="0">
      <w:lvlJc w:val="left"/>
      <w:lvlText w:val="%1"/>
      <w:numFmt w:val="lowerLetter"/>
      <w:start w:val="1"/>
    </w:lvl>
    <w:lvl w:ilvl="1">
      <w:lvlJc w:val="left"/>
      <w:lvlText w:val="(%2)"/>
      <w:numFmt w:val="lowerLetter"/>
      <w:start w:val="33"/>
    </w:lvl>
  </w:abstractNum>
  <w:abstractNum w:abstractNumId="140">
    <w:nsid w:val="46B24DBC"/>
    <w:multiLevelType w:val="hybridMultilevel"/>
    <w:lvl w:ilvl="0">
      <w:lvlJc w:val="left"/>
      <w:lvlText w:val="(%1)"/>
      <w:numFmt w:val="lowerLetter"/>
      <w:start w:val="35"/>
    </w:lvl>
    <w:lvl w:ilvl="1">
      <w:lvlJc w:val="left"/>
      <w:lvlText w:val="%2"/>
      <w:numFmt w:val="lowerLetter"/>
      <w:start w:val="1"/>
    </w:lvl>
  </w:abstractNum>
  <w:abstractNum w:abstractNumId="141">
    <w:nsid w:val="75B52783"/>
    <w:multiLevelType w:val="hybridMultilevel"/>
    <w:lvl w:ilvl="0">
      <w:lvlJc w:val="left"/>
      <w:lvlText w:val="(%1)"/>
      <w:numFmt w:val="lowerLetter"/>
      <w:start w:val="36"/>
    </w:lvl>
  </w:abstractNum>
  <w:abstractNum w:abstractNumId="142">
    <w:nsid w:val="57CE66B4"/>
    <w:multiLevelType w:val="hybridMultilevel"/>
    <w:lvl w:ilvl="0">
      <w:lvlJc w:val="left"/>
      <w:lvlText w:val="(%1)"/>
      <w:numFmt w:val="lowerLetter"/>
      <w:start w:val="39"/>
    </w:lvl>
  </w:abstractNum>
  <w:abstractNum w:abstractNumId="143">
    <w:nsid w:val="67A70B69"/>
    <w:multiLevelType w:val="hybridMultilevel"/>
    <w:lvl w:ilvl="0">
      <w:lvlJc w:val="left"/>
      <w:lvlText w:val="%1"/>
      <w:numFmt w:val="decimal"/>
      <w:start w:val="1"/>
    </w:lvl>
    <w:lvl w:ilvl="1">
      <w:lvlJc w:val="left"/>
      <w:lvlText w:val="(%2)"/>
      <w:numFmt w:val="lowerLetter"/>
      <w:start w:val="43"/>
    </w:lvl>
  </w:abstractNum>
  <w:abstractNum w:abstractNumId="144">
    <w:nsid w:val="5953172F"/>
    <w:multiLevelType w:val="hybridMultilevel"/>
    <w:lvl w:ilvl="0">
      <w:lvlJc w:val="left"/>
      <w:lvlText w:val="(%1)"/>
      <w:numFmt w:val="decimal"/>
      <w:start w:val="3"/>
    </w:lvl>
    <w:lvl w:ilvl="1">
      <w:lvlJc w:val="left"/>
      <w:lvlText w:val="(%2)"/>
      <w:numFmt w:val="lowerLetter"/>
      <w:start w:val="45"/>
    </w:lvl>
  </w:abstractNum>
  <w:abstractNum w:abstractNumId="145">
    <w:nsid w:val="27EDFE3A"/>
    <w:multiLevelType w:val="hybridMultilevel"/>
    <w:lvl w:ilvl="0">
      <w:lvlJc w:val="left"/>
      <w:lvlText w:val="%1"/>
      <w:numFmt w:val="lowerRoman"/>
      <w:start w:val="1"/>
    </w:lvl>
    <w:lvl w:ilvl="1">
      <w:lvlJc w:val="left"/>
      <w:lvlText w:val="(%2)"/>
      <w:numFmt w:val="lowerRoman"/>
      <w:start w:val="20"/>
    </w:lvl>
  </w:abstractNum>
  <w:abstractNum w:abstractNumId="146">
    <w:nsid w:val="52AC7DFF"/>
    <w:multiLevelType w:val="hybridMultilevel"/>
    <w:lvl w:ilvl="0">
      <w:lvlJc w:val="left"/>
      <w:lvlText w:val="(%1)"/>
      <w:numFmt w:val="lowerRoman"/>
      <w:start w:val="8"/>
    </w:lvl>
    <w:lvl w:ilvl="1">
      <w:lvlJc w:val="left"/>
      <w:lvlText w:val="%2"/>
      <w:numFmt w:val="lowerRoman"/>
      <w:start w:val="1"/>
    </w:lvl>
  </w:abstractNum>
  <w:abstractNum w:abstractNumId="147">
    <w:nsid w:val="C4C3AF"/>
    <w:multiLevelType w:val="hybridMultilevel"/>
    <w:lvl w:ilvl="0">
      <w:lvlJc w:val="left"/>
      <w:lvlText w:val="(%1)"/>
      <w:numFmt w:val="lowerLetter"/>
      <w:start w:val="51"/>
    </w:lvl>
  </w:abstractNum>
  <w:abstractNum w:abstractNumId="148">
    <w:nsid w:val="44380727"/>
    <w:multiLevelType w:val="hybridMultilevel"/>
    <w:lvl w:ilvl="0">
      <w:lvlJc w:val="left"/>
      <w:lvlText w:val="(%1)"/>
      <w:numFmt w:val="lowerLetter"/>
      <w:start w:val="53"/>
    </w:lvl>
  </w:abstractNum>
  <w:abstractNum w:abstractNumId="149">
    <w:nsid w:val="6C053B16"/>
    <w:multiLevelType w:val="hybridMultilevel"/>
    <w:lvl w:ilvl="0">
      <w:lvlJc w:val="left"/>
      <w:lvlText w:val="%1."/>
      <w:numFmt w:val="decimal"/>
      <w:start w:val="2"/>
    </w:lvl>
  </w:abstractNum>
  <w:abstractNum w:abstractNumId="150">
    <w:nsid w:val="4F294393"/>
    <w:multiLevelType w:val="hybridMultilevel"/>
    <w:lvl w:ilvl="0">
      <w:lvlJc w:val="left"/>
      <w:lvlText w:val="%1."/>
      <w:numFmt w:val="decimal"/>
      <w:start w:val="3"/>
    </w:lvl>
  </w:abstractNum>
  <w:abstractNum w:abstractNumId="151">
    <w:nsid w:val="5243BFAC"/>
    <w:multiLevelType w:val="hybridMultilevel"/>
    <w:lvl w:ilvl="0">
      <w:lvlJc w:val="left"/>
      <w:lvlText w:val="(%1)"/>
      <w:numFmt w:val="lowerLetter"/>
      <w:start w:val="2"/>
    </w:lvl>
  </w:abstractNum>
  <w:abstractNum w:abstractNumId="152">
    <w:nsid w:val="425EB207"/>
    <w:multiLevelType w:val="hybridMultilevel"/>
    <w:lvl w:ilvl="0">
      <w:lvlJc w:val="left"/>
      <w:lvlText w:val="%1."/>
      <w:numFmt w:val="decimal"/>
      <w:start w:val="5"/>
    </w:lvl>
    <w:lvl w:ilvl="1">
      <w:lvlJc w:val="left"/>
      <w:lvlText w:val="(%2)"/>
      <w:numFmt w:val="lowerLetter"/>
      <w:start w:val="1"/>
    </w:lvl>
  </w:abstractNum>
  <w:abstractNum w:abstractNumId="153">
    <w:nsid w:val="334A6F1F"/>
    <w:multiLevelType w:val="hybridMultilevel"/>
    <w:lvl w:ilvl="0">
      <w:lvlJc w:val="left"/>
      <w:lvlText w:val="(%1)"/>
      <w:numFmt w:val="lowerLetter"/>
      <w:start w:val="3"/>
    </w:lvl>
  </w:abstractNum>
  <w:abstractNum w:abstractNumId="154">
    <w:nsid w:val="2E5B12B8"/>
    <w:multiLevelType w:val="hybridMultilevel"/>
    <w:lvl w:ilvl="0">
      <w:lvlJc w:val="left"/>
      <w:lvlText w:val="(%1)"/>
      <w:numFmt w:val="lowerRoman"/>
      <w:start w:val="2"/>
    </w:lvl>
    <w:lvl w:ilvl="1">
      <w:lvlJc w:val="left"/>
      <w:lvlText w:val="(%2)"/>
      <w:numFmt w:val="decimal"/>
      <w:start w:val="2"/>
    </w:lvl>
  </w:abstractNum>
  <w:abstractNum w:abstractNumId="155">
    <w:nsid w:val="5C03D76D"/>
    <w:multiLevelType w:val="hybridMultilevel"/>
    <w:lvl w:ilvl="0">
      <w:lvlJc w:val="left"/>
      <w:lvlText w:val="(%1)"/>
      <w:numFmt w:val="lowerLetter"/>
      <w:start w:val="6"/>
    </w:lvl>
  </w:abstractNum>
  <w:abstractNum w:abstractNumId="156">
    <w:nsid w:val="66A48D11"/>
    <w:multiLevelType w:val="hybridMultilevel"/>
    <w:lvl w:ilvl="0">
      <w:lvlJc w:val="left"/>
      <w:lvlText w:val="%1"/>
      <w:numFmt w:val="lowerLetter"/>
      <w:start w:val="1"/>
    </w:lvl>
    <w:lvl w:ilvl="1">
      <w:lvlJc w:val="left"/>
      <w:lvlText w:val="(%2)"/>
      <w:numFmt w:val="lowerLetter"/>
      <w:start w:val="12"/>
    </w:lvl>
  </w:abstractNum>
  <w:abstractNum w:abstractNumId="157">
    <w:nsid w:val="56C28E34"/>
    <w:multiLevelType w:val="hybridMultilevel"/>
    <w:lvl w:ilvl="0">
      <w:lvlJc w:val="left"/>
      <w:lvlText w:val="(%1)"/>
      <w:numFmt w:val="lowerLetter"/>
      <w:start w:val="9"/>
    </w:lvl>
    <w:lvl w:ilvl="1">
      <w:lvlJc w:val="left"/>
      <w:lvlText w:val="(%2)"/>
      <w:numFmt w:val="lowerLetter"/>
      <w:start w:val="14"/>
    </w:lvl>
  </w:abstractNum>
  <w:abstractNum w:abstractNumId="158">
    <w:nsid w:val="13916F2D"/>
    <w:multiLevelType w:val="hybridMultilevel"/>
    <w:lvl w:ilvl="0">
      <w:lvlJc w:val="left"/>
      <w:lvlText w:val="%1."/>
      <w:numFmt w:val="decimal"/>
      <w:start w:val="6"/>
    </w:lvl>
    <w:lvl w:ilvl="1">
      <w:lvlJc w:val="left"/>
      <w:lvlText w:val="(%2)"/>
      <w:numFmt w:val="lowerLetter"/>
      <w:start w:val="2"/>
    </w:lvl>
  </w:abstractNum>
  <w:abstractNum w:abstractNumId="159">
    <w:nsid w:val="435D38D"/>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4"/>
    </w:lvl>
  </w:abstractNum>
  <w:abstractNum w:abstractNumId="160">
    <w:nsid w:val="822C0EF"/>
    <w:multiLevelType w:val="hybridMultilevel"/>
    <w:lvl w:ilvl="0">
      <w:lvlJc w:val="left"/>
      <w:lvlText w:val="%1"/>
      <w:numFmt w:val="lowerRoman"/>
      <w:start w:val="1"/>
    </w:lvl>
    <w:lvl w:ilvl="1">
      <w:lvlJc w:val="left"/>
      <w:lvlText w:val="%2."/>
      <w:numFmt w:val="decimal"/>
      <w:start w:val="7"/>
    </w:lvl>
    <w:lvl w:ilvl="2">
      <w:lvlJc w:val="left"/>
      <w:lvlText w:val="%3"/>
      <w:numFmt w:val="lowerLetter"/>
      <w:start w:val="1"/>
    </w:lvl>
  </w:abstractNum>
  <w:abstractNum w:abstractNumId="161">
    <w:nsid w:val="57C5BB4F"/>
    <w:multiLevelType w:val="hybridMultilevel"/>
    <w:lvl w:ilvl="0">
      <w:lvlJc w:val="left"/>
      <w:lvlText w:val="(%1)"/>
      <w:numFmt w:val="lowerRoman"/>
      <w:start w:val="9"/>
    </w:lvl>
    <w:lvl w:ilvl="1">
      <w:lvlJc w:val="left"/>
      <w:lvlText w:val="%2"/>
      <w:numFmt w:val="decimal"/>
      <w:start w:val="1"/>
    </w:lvl>
    <w:lvl w:ilvl="2">
      <w:lvlJc w:val="left"/>
      <w:lvlText w:val="%3"/>
      <w:numFmt w:val="lowerLetter"/>
      <w:start w:val="1"/>
    </w:lvl>
  </w:abstractNum>
  <w:abstractNum w:abstractNumId="162">
    <w:nsid w:val="1803D089"/>
    <w:multiLevelType w:val="hybridMultilevel"/>
    <w:lvl w:ilvl="0">
      <w:lvlJc w:val="left"/>
      <w:lvlText w:val="%1."/>
      <w:numFmt w:val="decimal"/>
      <w:start w:val="8"/>
    </w:lvl>
    <w:lvl w:ilvl="1">
      <w:lvlJc w:val="left"/>
      <w:lvlText w:val="(%2)"/>
      <w:numFmt w:val="lowerLetter"/>
      <w:start w:val="1"/>
    </w:lvl>
  </w:abstractNum>
  <w:abstractNum w:abstractNumId="163">
    <w:nsid w:val="4F3A06D4"/>
    <w:multiLevelType w:val="hybridMultilevel"/>
    <w:lvl w:ilvl="0">
      <w:lvlJc w:val="left"/>
      <w:lvlText w:val="(%1)"/>
      <w:numFmt w:val="lowerLetter"/>
      <w:start w:val="6"/>
    </w:lvl>
  </w:abstractNum>
  <w:abstractNum w:abstractNumId="164">
    <w:nsid w:val="59A377B6"/>
    <w:multiLevelType w:val="hybridMultilevel"/>
    <w:lvl w:ilvl="0">
      <w:lvlJc w:val="left"/>
      <w:lvlText w:val="(%1)"/>
      <w:numFmt w:val="lowerLetter"/>
      <w:start w:val="7"/>
    </w:lvl>
  </w:abstractNum>
  <w:abstractNum w:abstractNumId="165">
    <w:nsid w:val="48AEB063"/>
    <w:multiLevelType w:val="hybridMultilevel"/>
    <w:lvl w:ilvl="0">
      <w:lvlJc w:val="left"/>
      <w:lvlText w:val="%1."/>
      <w:numFmt w:val="decimal"/>
      <w:start w:val="9"/>
    </w:lvl>
  </w:abstractNum>
  <w:abstractNum w:abstractNumId="166">
    <w:nsid w:val="24E135"/>
    <w:multiLevelType w:val="hybridMultilevel"/>
    <w:lvl w:ilvl="0">
      <w:lvlJc w:val="left"/>
      <w:lvlText w:val="(%1)"/>
      <w:numFmt w:val="lowerLetter"/>
      <w:start w:val="2"/>
    </w:lvl>
  </w:abstractNum>
  <w:abstractNum w:abstractNumId="167">
    <w:nsid w:val="BB13C1"/>
    <w:multiLevelType w:val="hybridMultilevel"/>
    <w:lvl w:ilvl="0">
      <w:lvlJc w:val="left"/>
      <w:lvlText w:val="(%1)"/>
      <w:numFmt w:val="lowerRoman"/>
      <w:start w:val="3"/>
    </w:lvl>
  </w:abstractNum>
  <w:abstractNum w:abstractNumId="168">
    <w:nsid w:val="271210C7"/>
    <w:multiLevelType w:val="hybridMultilevel"/>
    <w:lvl w:ilvl="0">
      <w:lvlJc w:val="left"/>
      <w:lvlText w:val="%1"/>
      <w:numFmt w:val="lowerLetter"/>
      <w:start w:val="1"/>
    </w:lvl>
    <w:lvl w:ilvl="1">
      <w:lvlJc w:val="left"/>
      <w:lvlText w:val="(%2)"/>
      <w:numFmt w:val="lowerLetter"/>
      <w:start w:val="4"/>
    </w:lvl>
  </w:abstractNum>
  <w:abstractNum w:abstractNumId="169">
    <w:nsid w:val="217B22E4"/>
    <w:multiLevelType w:val="hybridMultilevel"/>
    <w:lvl w:ilvl="0">
      <w:lvlJc w:val="left"/>
      <w:lvlText w:val="(%1)"/>
      <w:numFmt w:val="lowerLetter"/>
      <w:start w:val="1"/>
    </w:lvl>
    <w:lvl w:ilvl="1">
      <w:lvlJc w:val="left"/>
      <w:lvlText w:val="%2"/>
      <w:numFmt w:val="lowerLetter"/>
      <w:start w:val="1"/>
    </w:lvl>
  </w:abstractNum>
  <w:abstractNum w:abstractNumId="170">
    <w:nsid w:val="53E31A24"/>
    <w:multiLevelType w:val="hybridMultilevel"/>
    <w:lvl w:ilvl="0">
      <w:lvlJc w:val="left"/>
      <w:lvlText w:val="(%1)"/>
      <w:numFmt w:val="lowerLetter"/>
      <w:start w:val="5"/>
    </w:lvl>
  </w:abstractNum>
  <w:abstractNum w:abstractNumId="171">
    <w:nsid w:val="6DC45E83"/>
    <w:multiLevelType w:val="hybridMultilevel"/>
    <w:lvl w:ilvl="0">
      <w:lvlJc w:val="left"/>
      <w:lvlText w:val="%1."/>
      <w:numFmt w:val="decimal"/>
      <w:start w:val="10"/>
    </w:lvl>
  </w:abstractNum>
  <w:abstractNum w:abstractNumId="172">
    <w:nsid w:val="17304A67"/>
    <w:multiLevelType w:val="hybridMultilevel"/>
    <w:lvl w:ilvl="0">
      <w:lvlJc w:val="left"/>
      <w:lvlText w:val="(%1)"/>
      <w:numFmt w:val="lowerLetter"/>
      <w:start w:val="2"/>
    </w:lvl>
  </w:abstractNum>
  <w:abstractNum w:abstractNumId="173">
    <w:nsid w:val="2BB180D8"/>
    <w:multiLevelType w:val="hybridMultilevel"/>
    <w:lvl w:ilvl="0">
      <w:lvlJc w:val="left"/>
      <w:lvlText w:val="%1"/>
      <w:numFmt w:val="lowerLetter"/>
      <w:start w:val="1"/>
    </w:lvl>
    <w:lvl w:ilvl="1">
      <w:lvlJc w:val="left"/>
      <w:lvlText w:val="(%2)"/>
      <w:numFmt w:val="lowerLetter"/>
      <w:start w:val="3"/>
    </w:lvl>
  </w:abstractNum>
  <w:abstractNum w:abstractNumId="174">
    <w:nsid w:val="556B69ED"/>
    <w:multiLevelType w:val="hybridMultilevel"/>
    <w:lvl w:ilvl="0">
      <w:lvlJc w:val="left"/>
      <w:lvlText w:val="(%1)"/>
      <w:numFmt w:val="lowerLetter"/>
      <w:start w:val="2"/>
    </w:lvl>
    <w:lvl w:ilvl="1">
      <w:lvlJc w:val="left"/>
      <w:lvlText w:val="%2"/>
      <w:numFmt w:val="lowerLetter"/>
      <w:start w:val="1"/>
    </w:lvl>
  </w:abstractNum>
  <w:abstractNum w:abstractNumId="175">
    <w:nsid w:val="70836196"/>
    <w:multiLevelType w:val="hybridMultilevel"/>
    <w:lvl w:ilvl="0">
      <w:lvlJc w:val="left"/>
      <w:lvlText w:val="%1."/>
      <w:numFmt w:val="decimal"/>
      <w:start w:val="11"/>
    </w:lvl>
  </w:abstractNum>
  <w:abstractNum w:abstractNumId="176">
    <w:nsid w:val="539F7F12"/>
    <w:multiLevelType w:val="hybridMultilevel"/>
    <w:lvl w:ilvl="0">
      <w:lvlJc w:val="left"/>
      <w:lvlText w:val="%1"/>
      <w:numFmt w:val="lowerRoman"/>
      <w:start w:val="1"/>
    </w:lvl>
    <w:lvl w:ilvl="1">
      <w:lvlJc w:val="left"/>
      <w:lvlText w:val="%2."/>
      <w:numFmt w:val="decimal"/>
      <w:start w:val="14"/>
    </w:lvl>
  </w:abstractNum>
  <w:abstractNum w:abstractNumId="177">
    <w:nsid w:val="2817E7EC"/>
    <w:multiLevelType w:val="hybridMultilevel"/>
    <w:lvl w:ilvl="0">
      <w:lvlJc w:val="left"/>
      <w:lvlText w:val="(%1)"/>
      <w:numFmt w:val="lowerRoman"/>
      <w:start w:val="5"/>
    </w:lvl>
    <w:lvl w:ilvl="1">
      <w:lvlJc w:val="left"/>
      <w:lvlText w:val="%2"/>
      <w:numFmt w:val="decimal"/>
      <w:start w:val="1"/>
    </w:lvl>
  </w:abstractNum>
  <w:abstractNum w:abstractNumId="178">
    <w:nsid w:val="71482545"/>
    <w:multiLevelType w:val="hybridMultilevel"/>
    <w:lvl w:ilvl="0">
      <w:lvlJc w:val="left"/>
      <w:lvlText w:val="%1."/>
      <w:numFmt w:val="decimal"/>
      <w:start w:val="17"/>
    </w:lvl>
    <w:lvl w:ilvl="1">
      <w:lvlJc w:val="left"/>
      <w:lvlText w:val="(%2)"/>
      <w:numFmt w:val="lowerLetter"/>
      <w:start w:val="1"/>
    </w:lvl>
  </w:abstractNum>
  <w:abstractNum w:abstractNumId="179">
    <w:nsid w:val="17D78639"/>
    <w:multiLevelType w:val="hybridMultilevel"/>
    <w:lvl w:ilvl="0">
      <w:lvlJc w:val="left"/>
      <w:lvlText w:val="(%1)"/>
      <w:numFmt w:val="lowerRoman"/>
      <w:start w:val="1"/>
    </w:lvl>
  </w:abstractNum>
  <w:abstractNum w:abstractNumId="180">
    <w:nsid w:val="141D2302"/>
    <w:multiLevelType w:val="hybridMultilevel"/>
    <w:lvl w:ilvl="0">
      <w:lvlJc w:val="left"/>
      <w:lvlText w:val="(%1)"/>
      <w:numFmt w:val="lowerLetter"/>
      <w:start w:val="1"/>
    </w:lvl>
  </w:abstractNum>
  <w:abstractNum w:abstractNumId="181">
    <w:nsid w:val="407168D8"/>
    <w:multiLevelType w:val="hybridMultilevel"/>
    <w:lvl w:ilvl="0">
      <w:lvlJc w:val="left"/>
      <w:lvlText w:val="(%1)"/>
      <w:numFmt w:val="lowerLetter"/>
      <w:start w:val="3"/>
    </w:lvl>
  </w:abstractNum>
  <w:abstractNum w:abstractNumId="182">
    <w:nsid w:val="6A1B45E5"/>
    <w:multiLevelType w:val="hybridMultilevel"/>
    <w:lvl w:ilvl="0">
      <w:lvlJc w:val="left"/>
      <w:lvlText w:val="(%1)"/>
      <w:numFmt w:val="lowerLetter"/>
      <w:start w:val="4"/>
    </w:lvl>
  </w:abstractNum>
  <w:abstractNum w:abstractNumId="183">
    <w:nsid w:val="567BD50A"/>
    <w:multiLevelType w:val="hybridMultilevel"/>
    <w:lvl w:ilvl="0">
      <w:lvlJc w:val="left"/>
      <w:lvlText w:val="(%1)"/>
      <w:numFmt w:val="lowerLetter"/>
      <w:start w:val="1"/>
    </w:lvl>
    <w:lvl w:ilvl="1">
      <w:lvlJc w:val="left"/>
      <w:lvlText w:val="%2."/>
      <w:numFmt w:val="lowerLetter"/>
      <w:start w:val="1"/>
    </w:lvl>
  </w:abstractNum>
  <w:abstractNum w:abstractNumId="184">
    <w:nsid w:val="73BBD7F8"/>
    <w:multiLevelType w:val="hybridMultilevel"/>
    <w:lvl w:ilvl="0">
      <w:lvlJc w:val="left"/>
      <w:lvlText w:val="%1."/>
      <w:numFmt w:val="lowerLetter"/>
      <w:start w:val="7"/>
    </w:lvl>
  </w:abstractNum>
  <w:abstractNum w:abstractNumId="185">
    <w:nsid w:val="1876589D"/>
    <w:multiLevelType w:val="hybridMultilevel"/>
    <w:lvl w:ilvl="0">
      <w:lvlJc w:val="left"/>
      <w:lvlText w:val="(%1)"/>
      <w:numFmt w:val="lowerLetter"/>
      <w:start w:val="2"/>
    </w:lvl>
  </w:abstractNum>
  <w:abstractNum w:abstractNumId="186">
    <w:nsid w:val="327FAC77"/>
    <w:multiLevelType w:val="hybridMultilevel"/>
    <w:lvl w:ilvl="0">
      <w:lvlJc w:val="left"/>
      <w:lvlText w:val="%1."/>
      <w:numFmt w:val="decimal"/>
      <w:start w:val="1"/>
    </w:lvl>
  </w:abstractNum>
  <w:abstractNum w:abstractNumId="187">
    <w:nsid w:val="5A606509"/>
    <w:multiLevelType w:val="hybridMultilevel"/>
    <w:lvl w:ilvl="0">
      <w:lvlJc w:val="left"/>
      <w:lvlText w:val="%1"/>
      <w:numFmt w:val="upperLetter"/>
      <w:start w:val="1"/>
    </w:lvl>
    <w:lvl w:ilvl="1">
      <w:lvlJc w:val="left"/>
      <w:lvlText w:val="%2."/>
      <w:numFmt w:val="decimal"/>
      <w:start w:val="1"/>
    </w:lvl>
  </w:abstractNum>
  <w:abstractNum w:abstractNumId="188">
    <w:nsid w:val="6F38E6D1"/>
    <w:multiLevelType w:val="hybridMultilevel"/>
    <w:lvl w:ilvl="0">
      <w:lvlJc w:val="left"/>
      <w:lvlText w:val="%1."/>
      <w:numFmt w:val="upperLetter"/>
      <w:start w:val="2"/>
    </w:lvl>
    <w:lvl w:ilvl="1">
      <w:lvlJc w:val="left"/>
      <w:lvlText w:val="%2"/>
      <w:numFmt w:val="decimal"/>
      <w:start w:val="1"/>
    </w:lvl>
  </w:abstractNum>
  <w:abstractNum w:abstractNumId="189">
    <w:nsid w:val="46111BA5"/>
    <w:multiLevelType w:val="hybridMultilevel"/>
    <w:lvl w:ilvl="0">
      <w:lvlJc w:val="left"/>
      <w:lvlText w:val="%1."/>
      <w:numFmt w:val="decimal"/>
      <w:start w:val="1"/>
    </w:lvl>
  </w:abstractNum>
  <w:abstractNum w:abstractNumId="190">
    <w:nsid w:val="5E963896"/>
    <w:multiLevelType w:val="hybridMultilevel"/>
    <w:lvl w:ilvl="0">
      <w:lvlJc w:val="left"/>
      <w:lvlText w:val="%1."/>
      <w:numFmt w:val="decimal"/>
      <w:start w:val="2"/>
    </w:lvl>
  </w:abstractNum>
  <w:abstractNum w:abstractNumId="191">
    <w:nsid w:val="775BA7C1"/>
    <w:multiLevelType w:val="hybridMultilevel"/>
    <w:lvl w:ilvl="0">
      <w:lvlJc w:val="left"/>
      <w:lvlText w:val="(%1)"/>
      <w:numFmt w:val="lowerLetter"/>
      <w:start w:val="1"/>
    </w:lvl>
    <w:lvl w:ilvl="1">
      <w:lvlJc w:val="left"/>
      <w:lvlText w:val="(%2)"/>
      <w:numFmt w:val="lowerRoman"/>
      <w:start w:val="1"/>
    </w:lvl>
  </w:abstractNum>
  <w:abstractNum w:abstractNumId="192">
    <w:nsid w:val="1DD6D6F4"/>
    <w:multiLevelType w:val="hybridMultilevel"/>
    <w:lvl w:ilvl="0">
      <w:lvlJc w:val="left"/>
      <w:lvlText w:val="(%1)"/>
      <w:numFmt w:val="lowerLetter"/>
      <w:start w:val="2"/>
    </w:lvl>
  </w:abstractNum>
  <w:abstractNum w:abstractNumId="193">
    <w:nsid w:val="769A091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94">
    <w:nsid w:val="4695AE95"/>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9"/>
    </w:lvl>
  </w:abstractNum>
  <w:abstractNum w:abstractNumId="195">
    <w:nsid w:val="777A4EAA"/>
    <w:multiLevelType w:val="hybridMultilevel"/>
    <w:lvl w:ilvl="0">
      <w:lvlJc w:val="left"/>
      <w:lvlText w:val="(%1)"/>
      <w:numFmt w:val="lowerRoman"/>
      <w:start w:val="2"/>
    </w:lvl>
  </w:abstractNum>
  <w:abstractNum w:abstractNumId="196">
    <w:nsid w:val="3F48B982"/>
    <w:multiLevelType w:val="hybridMultilevel"/>
    <w:lvl w:ilvl="0">
      <w:lvlJc w:val="left"/>
      <w:lvlText w:val="(%1)"/>
      <w:numFmt w:val="lowerLetter"/>
      <w:start w:val="2"/>
    </w:lvl>
    <w:lvl w:ilvl="1">
      <w:lvlJc w:val="left"/>
      <w:lvlText w:val="%2."/>
      <w:numFmt w:val="decimal"/>
      <w:start w:val="3"/>
    </w:lvl>
  </w:abstractNum>
  <w:abstractNum w:abstractNumId="197">
    <w:nsid w:val="46BA8FCA"/>
    <w:multiLevelType w:val="hybridMultilevel"/>
    <w:lvl w:ilvl="0">
      <w:lvlJc w:val="left"/>
      <w:lvlText w:val="(%1)"/>
      <w:numFmt w:val="lowerLetter"/>
      <w:start w:val="5"/>
    </w:lvl>
  </w:abstractNum>
  <w:abstractNum w:abstractNumId="198">
    <w:nsid w:val="7835626C"/>
    <w:multiLevelType w:val="hybridMultilevel"/>
    <w:lvl w:ilvl="0">
      <w:lvlJc w:val="left"/>
      <w:lvlText w:val="%1."/>
      <w:numFmt w:val="decimal"/>
      <w:start w:val="4"/>
    </w:lvl>
  </w:abstractNum>
  <w:abstractNum w:abstractNumId="199">
    <w:nsid w:val="665ACA49"/>
    <w:multiLevelType w:val="hybridMultilevel"/>
    <w:lvl w:ilvl="0">
      <w:lvlJc w:val="left"/>
      <w:lvlText w:val="(%1)"/>
      <w:numFmt w:val="lowerLetter"/>
      <w:start w:val="2"/>
    </w:lvl>
  </w:abstractNum>
  <w:abstractNum w:abstractNumId="200">
    <w:nsid w:val="6835B2AE"/>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
    </w:lvl>
  </w:abstractNum>
  <w:abstractNum w:abstractNumId="201">
    <w:nsid w:val="4C187C90"/>
    <w:multiLevelType w:val="hybridMultilevel"/>
    <w:lvl w:ilvl="0">
      <w:lvlJc w:val="left"/>
      <w:lvlText w:val="(%1)"/>
      <w:numFmt w:val="decimal"/>
      <w:start w:val="2"/>
    </w:lvl>
    <w:lvl w:ilvl="1">
      <w:lvlJc w:val="left"/>
      <w:lvlText w:val="(%2)"/>
      <w:numFmt w:val="lowerRoman"/>
      <w:start w:val="1"/>
    </w:lvl>
    <w:lvl w:ilvl="2">
      <w:lvlJc w:val="left"/>
      <w:lvlText w:val="%3"/>
      <w:numFmt w:val="lowerLetter"/>
      <w:start w:val="1"/>
    </w:lvl>
  </w:abstractNum>
  <w:abstractNum w:abstractNumId="202">
    <w:nsid w:val="541F28CD"/>
    <w:multiLevelType w:val="hybridMultilevel"/>
    <w:lvl w:ilvl="0">
      <w:lvlJc w:val="left"/>
      <w:lvlText w:val="(%1)"/>
      <w:numFmt w:val="lowerRoman"/>
      <w:start w:val="7"/>
    </w:lvl>
  </w:abstractNum>
  <w:abstractNum w:abstractNumId="203">
    <w:nsid w:val="7F65FD16"/>
    <w:multiLevelType w:val="hybridMultilevel"/>
    <w:lvl w:ilvl="0">
      <w:lvlJc w:val="left"/>
      <w:lvlText w:val="(%1)"/>
      <w:numFmt w:val="lowerLetter"/>
      <w:start w:val="1"/>
    </w:lvl>
  </w:abstractNum>
  <w:abstractNum w:abstractNumId="204">
    <w:nsid w:val="77C9FD68"/>
    <w:multiLevelType w:val="hybridMultilevel"/>
    <w:lvl w:ilvl="0">
      <w:lvlJc w:val="left"/>
      <w:lvlText w:val="(%1)"/>
      <w:numFmt w:val="lowerLetter"/>
      <w:start w:val="2"/>
    </w:lvl>
  </w:abstractNum>
  <w:abstractNum w:abstractNumId="205">
    <w:nsid w:val="298A92BA"/>
    <w:multiLevelType w:val="hybridMultilevel"/>
    <w:lvl w:ilvl="0">
      <w:lvlJc w:val="left"/>
      <w:lvlText w:val="(%1)"/>
      <w:numFmt w:val="lowerLetter"/>
      <w:start w:val="4"/>
    </w:lvl>
  </w:abstractNum>
  <w:abstractNum w:abstractNumId="206">
    <w:nsid w:val="6FE95EAC"/>
    <w:multiLevelType w:val="hybridMultilevel"/>
    <w:lvl w:ilvl="0">
      <w:lvlJc w:val="left"/>
      <w:lvlText w:val="(%1)"/>
      <w:numFmt w:val="lowerLetter"/>
      <w:start w:val="3"/>
    </w:lvl>
  </w:abstractNum>
  <w:abstractNum w:abstractNumId="207">
    <w:nsid w:val="4B697C7A"/>
    <w:multiLevelType w:val="hybridMultilevel"/>
    <w:lvl w:ilvl="0">
      <w:lvlJc w:val="left"/>
      <w:lvlText w:val="(%1)"/>
      <w:numFmt w:val="lowerLetter"/>
      <w:start w:val="4"/>
    </w:lvl>
  </w:abstractNum>
  <w:abstractNum w:abstractNumId="208">
    <w:nsid w:val="51A27AA6"/>
    <w:multiLevelType w:val="hybridMultilevel"/>
    <w:lvl w:ilvl="0">
      <w:lvlJc w:val="left"/>
      <w:lvlText w:val="(%1)"/>
      <w:numFmt w:val="lowerLetter"/>
      <w:start w:val="1"/>
    </w:lvl>
    <w:lvl w:ilvl="1">
      <w:lvlJc w:val="left"/>
      <w:lvlText w:val="(%2)"/>
      <w:numFmt w:val="lowerRoman"/>
      <w:start w:val="1"/>
    </w:lvl>
  </w:abstractNum>
  <w:abstractNum w:abstractNumId="209">
    <w:nsid w:val="613183F2"/>
    <w:multiLevelType w:val="hybridMultilevel"/>
    <w:lvl w:ilvl="0">
      <w:lvlJc w:val="left"/>
      <w:lvlText w:val="(%1)"/>
      <w:numFmt w:val="lowerRoman"/>
      <w:start w:val="2"/>
    </w:lvl>
  </w:abstractNum>
  <w:abstractNum w:abstractNumId="210">
    <w:nsid w:val="634102B4"/>
    <w:multiLevelType w:val="hybridMultilevel"/>
    <w:lvl w:ilvl="0">
      <w:lvlJc w:val="left"/>
      <w:lvlText w:val="(%1)"/>
      <w:numFmt w:val="decimal"/>
      <w:start w:val="1"/>
    </w:lvl>
  </w:abstractNum>
  <w:abstractNum w:abstractNumId="211">
    <w:nsid w:val="65BF9DA8"/>
    <w:multiLevelType w:val="hybridMultilevel"/>
    <w:lvl w:ilvl="0">
      <w:lvlJc w:val="left"/>
      <w:lvlText w:val="(%1)"/>
      <w:numFmt w:val="lowerLetter"/>
      <w:start w:val="1"/>
    </w:lvl>
  </w:abstractNum>
  <w:abstractNum w:abstractNumId="212">
    <w:nsid w:val="21A2ECCA"/>
    <w:multiLevelType w:val="hybridMultilevel"/>
    <w:lvl w:ilvl="0">
      <w:lvlJc w:val="left"/>
      <w:lvlText w:val="(%1)"/>
      <w:numFmt w:val="lowerRoman"/>
      <w:start w:val="1"/>
    </w:lvl>
  </w:abstractNum>
  <w:abstractNum w:abstractNumId="213">
    <w:nsid w:val="4D5C4899"/>
    <w:multiLevelType w:val="hybridMultilevel"/>
    <w:lvl w:ilvl="0">
      <w:lvlJc w:val="left"/>
      <w:lvlText w:val="%1."/>
      <w:numFmt w:val="decimal"/>
      <w:start w:val="5"/>
    </w:lvl>
  </w:abstractNum>
  <w:abstractNum w:abstractNumId="214">
    <w:nsid w:val="3C3B72B2"/>
    <w:multiLevelType w:val="hybridMultilevel"/>
    <w:lvl w:ilvl="0">
      <w:lvlJc w:val="left"/>
      <w:lvlText w:val="%1."/>
      <w:numFmt w:val="decimal"/>
      <w:start w:val="6"/>
    </w:lvl>
  </w:abstractNum>
  <w:abstractNum w:abstractNumId="215">
    <w:nsid w:val="155EC4C2"/>
    <w:multiLevelType w:val="hybridMultilevel"/>
    <w:lvl w:ilvl="0">
      <w:lvlJc w:val="left"/>
      <w:lvlText w:val="(%1)"/>
      <w:numFmt w:val="lowerRoman"/>
      <w:start w:val="4"/>
    </w:lvl>
  </w:abstractNum>
  <w:abstractNum w:abstractNumId="216">
    <w:nsid w:val="65D2A137"/>
    <w:multiLevelType w:val="hybridMultilevel"/>
    <w:lvl w:ilvl="0">
      <w:lvlJc w:val="left"/>
      <w:lvlText w:val="%1."/>
      <w:numFmt w:val="decimal"/>
      <w:start w:val="3"/>
    </w:lvl>
  </w:abstractNum>
  <w:abstractNum w:abstractNumId="217">
    <w:nsid w:val="6EBB1F2A"/>
    <w:multiLevelType w:val="hybridMultilevel"/>
    <w:lvl w:ilvl="0">
      <w:lvlJc w:val="left"/>
      <w:lvlText w:val="%1."/>
      <w:numFmt w:val="decimal"/>
      <w:start w:val="1"/>
    </w:lvl>
  </w:abstractNum>
  <w:abstractNum w:abstractNumId="218">
    <w:nsid w:val="6FBF29CB"/>
    <w:multiLevelType w:val="hybridMultilevel"/>
    <w:lvl w:ilvl="0">
      <w:lvlJc w:val="left"/>
      <w:lvlText w:val="%1."/>
      <w:numFmt w:val="decimal"/>
      <w:start w:val="2"/>
    </w:lvl>
  </w:abstractNum>
  <w:abstractNum w:abstractNumId="219">
    <w:nsid w:val="550B8808"/>
    <w:multiLevelType w:val="hybridMultilevel"/>
    <w:lvl w:ilvl="0">
      <w:lvlJc w:val="left"/>
      <w:lvlText w:val="%1."/>
      <w:numFmt w:val="decimal"/>
      <w:start w:val="1"/>
    </w:lvl>
  </w:abstractNum>
  <w:abstractNum w:abstractNumId="220">
    <w:nsid w:val="34CC3ACF"/>
    <w:multiLevelType w:val="hybridMultilevel"/>
    <w:lvl w:ilvl="0">
      <w:lvlJc w:val="left"/>
      <w:lvlText w:val="%1."/>
      <w:numFmt w:val="decimal"/>
      <w:start w:val="1"/>
    </w:lvl>
  </w:abstractNum>
  <w:abstractNum w:abstractNumId="221">
    <w:nsid w:val="4E556261"/>
    <w:multiLevelType w:val="hybridMultilevel"/>
    <w:lvl w:ilvl="0">
      <w:lvlJc w:val="left"/>
      <w:lvlText w:val="%1."/>
      <w:numFmt w:val="decimal"/>
      <w:start w:val="2"/>
    </w:lvl>
  </w:abstractNum>
  <w:abstractNum w:abstractNumId="222">
    <w:nsid w:val="4C672FC9"/>
    <w:multiLevelType w:val="hybridMultilevel"/>
    <w:lvl w:ilvl="0">
      <w:lvlJc w:val="left"/>
      <w:lvlText w:val="%1"/>
      <w:numFmt w:val="upperLetter"/>
      <w:start w:val="1"/>
    </w:lvl>
    <w:lvl w:ilvl="1">
      <w:lvlJc w:val="left"/>
      <w:lvlText w:val="%2."/>
      <w:numFmt w:val="decimal"/>
      <w:start w:val="3"/>
    </w:lvl>
  </w:abstractNum>
  <w:abstractNum w:abstractNumId="223">
    <w:nsid w:val="52A311C3"/>
    <w:multiLevelType w:val="hybridMultilevel"/>
    <w:lvl w:ilvl="0">
      <w:lvlJc w:val="left"/>
      <w:lvlText w:val="%1."/>
      <w:numFmt w:val="upperLetter"/>
      <w:start w:val="2"/>
    </w:lvl>
    <w:lvl w:ilvl="1">
      <w:lvlJc w:val="left"/>
      <w:lvlText w:val="%2"/>
      <w:numFmt w:val="decimal"/>
      <w:start w:val="1"/>
    </w:lvl>
  </w:abstractNum>
  <w:abstractNum w:abstractNumId="224">
    <w:nsid w:val="44EF6B80"/>
    <w:multiLevelType w:val="hybridMultilevel"/>
    <w:lvl w:ilvl="0">
      <w:lvlJc w:val="left"/>
      <w:lvlText w:val="%1"/>
      <w:numFmt w:val="lowerRoman"/>
      <w:start w:val="1"/>
    </w:lvl>
    <w:lvl w:ilvl="1">
      <w:lvlJc w:val="left"/>
      <w:lvlText w:val="(%2)"/>
      <w:numFmt w:val="lowerLetter"/>
      <w:start w:val="1"/>
    </w:lvl>
  </w:abstractNum>
  <w:abstractNum w:abstractNumId="225">
    <w:nsid w:val="12FCDE5E"/>
    <w:multiLevelType w:val="hybridMultilevel"/>
    <w:lvl w:ilvl="0">
      <w:lvlJc w:val="left"/>
      <w:lvlText w:val="(%1)"/>
      <w:numFmt w:val="lowerRoman"/>
      <w:start w:val="2"/>
    </w:lvl>
    <w:lvl w:ilvl="1">
      <w:lvlJc w:val="left"/>
      <w:lvlText w:val="(%2)"/>
      <w:numFmt w:val="lowerLetter"/>
      <w:start w:val="2"/>
    </w:lvl>
  </w:abstractNum>
  <w:abstractNum w:abstractNumId="226">
    <w:nsid w:val="4A1D606E"/>
    <w:multiLevelType w:val="hybridMultilevel"/>
    <w:lvl w:ilvl="0">
      <w:lvlJc w:val="left"/>
      <w:lvlText w:val="(%1)"/>
      <w:numFmt w:val="lowerLetter"/>
      <w:start w:val="3"/>
    </w:lvl>
    <w:lvl w:ilvl="1">
      <w:lvlJc w:val="left"/>
      <w:lvlText w:val="(%2)"/>
      <w:numFmt w:val="lowerRoman"/>
      <w:start w:val="1"/>
    </w:lvl>
  </w:abstractNum>
  <w:abstractNum w:abstractNumId="227">
    <w:nsid w:val="4382503"/>
    <w:multiLevelType w:val="hybridMultilevel"/>
    <w:lvl w:ilvl="0">
      <w:lvlJc w:val="left"/>
      <w:lvlText w:val="%1"/>
      <w:numFmt w:val="upperLetter"/>
      <w:start w:val="1"/>
    </w:lvl>
    <w:lvl w:ilvl="1">
      <w:lvlJc w:val="left"/>
      <w:lvlText w:val="(%2)"/>
      <w:numFmt w:val="lowerRoman"/>
      <w:start w:val="3"/>
    </w:lvl>
  </w:abstractNum>
  <w:abstractNum w:abstractNumId="228">
    <w:nsid w:val="59B76E28"/>
    <w:multiLevelType w:val="hybridMultilevel"/>
    <w:lvl w:ilvl="0">
      <w:lvlJc w:val="left"/>
      <w:lvlText w:val="(%1)"/>
      <w:numFmt w:val="upperLetter"/>
      <w:start w:val="4"/>
    </w:lvl>
    <w:lvl w:ilvl="1">
      <w:lvlJc w:val="left"/>
      <w:lvlText w:val="%2"/>
      <w:numFmt w:val="lowerRoman"/>
      <w:start w:val="1"/>
    </w:lvl>
  </w:abstractNum>
  <w:abstractNum w:abstractNumId="229">
    <w:nsid w:val="4252C2DA"/>
    <w:multiLevelType w:val="hybridMultilevel"/>
    <w:lvl w:ilvl="0">
      <w:lvlJc w:val="left"/>
      <w:lvlText w:val="(%1)"/>
      <w:numFmt w:val="lowerLetter"/>
      <w:start w:val="4"/>
    </w:lvl>
  </w:abstractNum>
  <w:abstractNum w:abstractNumId="230">
    <w:nsid w:val="6A92EF4C"/>
    <w:multiLevelType w:val="hybridMultilevel"/>
    <w:lvl w:ilvl="0">
      <w:lvlJc w:val="left"/>
      <w:lvlText w:val="(%1)"/>
      <w:numFmt w:val="lowerLetter"/>
      <w:start w:val="1"/>
    </w:lvl>
  </w:abstractNum>
  <w:abstractNum w:abstractNumId="231">
    <w:nsid w:val="41ED20D7"/>
    <w:multiLevelType w:val="hybridMultilevel"/>
    <w:lvl w:ilvl="0">
      <w:lvlJc w:val="left"/>
      <w:lvlText w:val="(%1)"/>
      <w:numFmt w:val="lowerLetter"/>
      <w:start w:val="2"/>
    </w:lvl>
  </w:abstractNum>
  <w:abstractNum w:abstractNumId="232">
    <w:nsid w:val="E6B3F6A"/>
    <w:multiLevelType w:val="hybridMultilevel"/>
    <w:lvl w:ilvl="0">
      <w:lvlJc w:val="left"/>
      <w:lvlText w:val="%1"/>
      <w:numFmt w:val="lowerRoman"/>
      <w:start w:val="1"/>
    </w:lvl>
    <w:lvl w:ilvl="1">
      <w:lvlJc w:val="left"/>
      <w:lvlText w:val="(%2)"/>
      <w:numFmt w:val="lowerRoman"/>
      <w:start w:val="2"/>
    </w:lvl>
  </w:abstractNum>
  <w:abstractNum w:abstractNumId="233">
    <w:nsid w:val="3EB21819"/>
    <w:multiLevelType w:val="hybridMultilevel"/>
    <w:lvl w:ilvl="0">
      <w:lvlJc w:val="left"/>
      <w:lvlText w:val="(%1)"/>
      <w:numFmt w:val="lowerRoman"/>
      <w:start w:val="2"/>
    </w:lvl>
    <w:lvl w:ilvl="1">
      <w:lvlJc w:val="left"/>
      <w:lvlText w:val="%2"/>
      <w:numFmt w:val="lowerRoman"/>
      <w:start w:val="1"/>
    </w:lvl>
  </w:abstractNum>
  <w:abstractNum w:abstractNumId="234">
    <w:nsid w:val="41531DED"/>
    <w:multiLevelType w:val="hybridMultilevel"/>
    <w:lvl w:ilvl="0">
      <w:lvlJc w:val="left"/>
      <w:lvlText w:val="(%1)"/>
      <w:numFmt w:val="lowerLetter"/>
      <w:start w:val="3"/>
    </w:lvl>
  </w:abstractNum>
  <w:abstractNum w:abstractNumId="235">
    <w:nsid w:val="6353CD2"/>
    <w:multiLevelType w:val="hybridMultilevel"/>
    <w:lvl w:ilvl="0">
      <w:lvlJc w:val="left"/>
      <w:lvlText w:val="%1"/>
      <w:numFmt w:val="upperLetter"/>
      <w:start w:val="1"/>
    </w:lvl>
    <w:lvl w:ilvl="1">
      <w:lvlJc w:val="left"/>
      <w:lvlText w:val="(%2)"/>
      <w:numFmt w:val="lowerRoman"/>
      <w:start w:val="1"/>
    </w:lvl>
  </w:abstractNum>
  <w:abstractNum w:abstractNumId="236">
    <w:nsid w:val="683CAAD3"/>
    <w:multiLevelType w:val="hybridMultilevel"/>
    <w:lvl w:ilvl="0">
      <w:lvlJc w:val="left"/>
      <w:lvlText w:val="(%1)"/>
      <w:numFmt w:val="upperLetter"/>
      <w:start w:val="1"/>
    </w:lvl>
    <w:lvl w:ilvl="1">
      <w:lvlJc w:val="left"/>
      <w:lvlText w:val="%2"/>
      <w:numFmt w:val="lowerRoman"/>
      <w:start w:val="1"/>
    </w:lvl>
  </w:abstractNum>
  <w:abstractNum w:abstractNumId="237">
    <w:nsid w:val="313C7C99"/>
    <w:multiLevelType w:val="hybridMultilevel"/>
    <w:lvl w:ilvl="0">
      <w:lvlJc w:val="left"/>
      <w:lvlText w:val="(%1)"/>
      <w:numFmt w:val="lowerLetter"/>
      <w:start w:val="4"/>
    </w:lvl>
  </w:abstractNum>
  <w:abstractNum w:abstractNumId="238">
    <w:nsid w:val="519EB94C"/>
    <w:multiLevelType w:val="hybridMultilevel"/>
    <w:lvl w:ilvl="0">
      <w:lvlJc w:val="left"/>
      <w:lvlText w:val="(%1)"/>
      <w:numFmt w:val="lowerLetter"/>
      <w:start w:val="6"/>
    </w:lvl>
  </w:abstractNum>
  <w:abstractNum w:abstractNumId="239">
    <w:nsid w:val="39DF2579"/>
    <w:multiLevelType w:val="hybridMultilevel"/>
    <w:lvl w:ilvl="0">
      <w:lvlJc w:val="left"/>
      <w:lvlText w:val="(%1)"/>
      <w:numFmt w:val="lowerLetter"/>
      <w:start w:val="1"/>
    </w:lvl>
  </w:abstractNum>
  <w:abstractNum w:abstractNumId="240">
    <w:nsid w:val="126E008B"/>
    <w:multiLevelType w:val="hybridMultilevel"/>
    <w:lvl w:ilvl="0">
      <w:lvlJc w:val="left"/>
      <w:lvlText w:val="(%1)"/>
      <w:numFmt w:val="lowerLetter"/>
      <w:start w:val="2"/>
    </w:lvl>
  </w:abstractNum>
  <w:abstractNum w:abstractNumId="241">
    <w:nsid w:val="34DFBC00"/>
    <w:multiLevelType w:val="hybridMultilevel"/>
    <w:lvl w:ilvl="0">
      <w:lvlJc w:val="left"/>
      <w:lvlText w:val="(%1)"/>
      <w:numFmt w:val="lowerLetter"/>
      <w:start w:val="5"/>
    </w:lvl>
  </w:abstractNum>
  <w:abstractNum w:abstractNumId="242">
    <w:nsid w:val="1F9EC322"/>
    <w:multiLevelType w:val="hybridMultilevel"/>
    <w:lvl w:ilvl="0">
      <w:lvlJc w:val="left"/>
      <w:lvlText w:val="(%1)"/>
      <w:numFmt w:val="decimal"/>
      <w:start w:val="3"/>
    </w:lvl>
  </w:abstractNum>
  <w:abstractNum w:abstractNumId="243">
    <w:nsid w:val="3410ED56"/>
    <w:multiLevelType w:val="hybridMultilevel"/>
    <w:lvl w:ilvl="0">
      <w:lvlJc w:val="left"/>
      <w:lvlText w:val="(%1)"/>
      <w:numFmt w:val="lowerRoman"/>
      <w:start w:val="1"/>
    </w:lvl>
  </w:abstractNum>
  <w:abstractNum w:abstractNumId="244">
    <w:nsid w:val="23C049A"/>
    <w:multiLevelType w:val="hybridMultilevel"/>
    <w:lvl w:ilvl="0">
      <w:lvlJc w:val="left"/>
      <w:lvlText w:val="(%1)"/>
      <w:numFmt w:val="lowerRoman"/>
      <w:start w:val="1"/>
    </w:lvl>
  </w:abstractNum>
  <w:abstractNum w:abstractNumId="245">
    <w:nsid w:val="5BDA35D4"/>
    <w:multiLevelType w:val="hybridMultilevel"/>
    <w:lvl w:ilvl="0">
      <w:lvlJc w:val="left"/>
      <w:lvlText w:val="(%1)"/>
      <w:numFmt w:val="lowerRoman"/>
      <w:start w:val="1"/>
    </w:lvl>
  </w:abstractNum>
  <w:abstractNum w:abstractNumId="246">
    <w:nsid w:val="496FB218"/>
    <w:multiLevelType w:val="hybridMultilevel"/>
    <w:lvl w:ilvl="0">
      <w:lvlJc w:val="left"/>
      <w:lvlText w:val="(%1)"/>
      <w:numFmt w:val="lowerRoman"/>
      <w:start w:val="1"/>
    </w:lvl>
  </w:abstractNum>
  <w:abstractNum w:abstractNumId="247">
    <w:nsid w:val="680EA5D1"/>
    <w:multiLevelType w:val="hybridMultilevel"/>
    <w:lvl w:ilvl="0">
      <w:lvlJc w:val="left"/>
      <w:lvlText w:val="(%1)"/>
      <w:numFmt w:val="lowerRoman"/>
      <w:start w:val="1"/>
    </w:lvl>
  </w:abstractNum>
  <w:abstractNum w:abstractNumId="248">
    <w:nsid w:val="4A9554FE"/>
    <w:multiLevelType w:val="hybridMultilevel"/>
    <w:lvl w:ilvl="0">
      <w:lvlJc w:val="left"/>
      <w:lvlText w:val="(%1)"/>
      <w:numFmt w:val="lowerRoman"/>
      <w:start w:val="2"/>
    </w:lvl>
  </w:abstractNum>
  <w:abstractNum w:abstractNumId="249">
    <w:nsid w:val="392EDBE4"/>
    <w:multiLevelType w:val="hybridMultilevel"/>
    <w:lvl w:ilvl="0">
      <w:lvlJc w:val="left"/>
      <w:lvlText w:val="(%1)"/>
      <w:numFmt w:val="lowerRoman"/>
      <w:start w:val="1"/>
    </w:lvl>
  </w:abstractNum>
  <w:abstractNum w:abstractNumId="250">
    <w:nsid w:val="3D1A2DD9"/>
    <w:multiLevelType w:val="hybridMultilevel"/>
    <w:lvl w:ilvl="0">
      <w:lvlJc w:val="left"/>
      <w:lvlText w:val="(%1)"/>
      <w:numFmt w:val="lowerRoman"/>
      <w:start w:val="1"/>
    </w:lvl>
  </w:abstractNum>
  <w:abstractNum w:abstractNumId="251">
    <w:nsid w:val="7F618FCD"/>
    <w:multiLevelType w:val="hybridMultilevel"/>
    <w:lvl w:ilvl="0">
      <w:lvlJc w:val="left"/>
      <w:lvlText w:val="(%1)"/>
      <w:numFmt w:val="lowerLetter"/>
      <w:start w:val="1"/>
    </w:lvl>
  </w:abstractNum>
  <w:abstractNum w:abstractNumId="252">
    <w:nsid w:val="7843E45"/>
    <w:multiLevelType w:val="hybridMultilevel"/>
    <w:lvl w:ilvl="0">
      <w:lvlJc w:val="left"/>
      <w:lvlText w:val="(%1)"/>
      <w:numFmt w:val="lowerLetter"/>
      <w:start w:val="2"/>
    </w:lvl>
  </w:abstractNum>
  <w:abstractNum w:abstractNumId="253">
    <w:nsid w:val="9815DA3"/>
    <w:multiLevelType w:val="hybridMultilevel"/>
    <w:lvl w:ilvl="0">
      <w:lvlJc w:val="left"/>
      <w:lvlText w:val="(%1)"/>
      <w:numFmt w:val="lowerLetter"/>
      <w:start w:val="1"/>
    </w:lvl>
  </w:abstractNum>
  <w:abstractNum w:abstractNumId="254">
    <w:nsid w:val="5204A191"/>
    <w:multiLevelType w:val="hybridMultilevel"/>
    <w:lvl w:ilvl="0">
      <w:lvlJc w:val="left"/>
      <w:lvlText w:val="(%1)"/>
      <w:numFmt w:val="lowerLetter"/>
      <w:start w:val="1"/>
    </w:lvl>
  </w:abstractNum>
  <w:abstractNum w:abstractNumId="255">
    <w:nsid w:val="4C73A9C6"/>
    <w:multiLevelType w:val="hybridMultilevel"/>
    <w:lvl w:ilvl="0">
      <w:lvlJc w:val="left"/>
      <w:lvlText w:val="(%1)"/>
      <w:numFmt w:val="lowerLetter"/>
      <w:start w:val="1"/>
    </w:lvl>
  </w:abstractNum>
  <w:abstractNum w:abstractNumId="256">
    <w:nsid w:val="1C7E3C01"/>
    <w:multiLevelType w:val="hybridMultilevel"/>
    <w:lvl w:ilvl="0">
      <w:lvlJc w:val="left"/>
      <w:lvlText w:val="(%1)"/>
      <w:numFmt w:val="lowerLetter"/>
      <w:start w:val="2"/>
    </w:lvl>
  </w:abstractNum>
  <w:abstractNum w:abstractNumId="257">
    <w:nsid w:val="1C2201FF"/>
    <w:multiLevelType w:val="hybridMultilevel"/>
    <w:lvl w:ilvl="0">
      <w:lvlJc w:val="left"/>
      <w:lvlText w:val="(%1)"/>
      <w:numFmt w:val="lowerRoman"/>
      <w:start w:val="2"/>
    </w:lvl>
  </w:abstractNum>
  <w:abstractNum w:abstractNumId="258">
    <w:nsid w:val="50ABCEC9"/>
    <w:multiLevelType w:val="hybridMultilevel"/>
    <w:lvl w:ilvl="0">
      <w:lvlJc w:val="left"/>
      <w:lvlText w:val="(%1)"/>
      <w:numFmt w:val="lowerLetter"/>
      <w:start w:val="1"/>
    </w:lvl>
  </w:abstractNum>
  <w:abstractNum w:abstractNumId="259">
    <w:nsid w:val="7635AA2A"/>
    <w:multiLevelType w:val="hybridMultilevel"/>
    <w:lvl w:ilvl="0">
      <w:lvlJc w:val="left"/>
      <w:lvlText w:val="(%1)"/>
      <w:numFmt w:val="lowerLetter"/>
      <w:start w:val="3"/>
    </w:lvl>
  </w:abstractNum>
  <w:abstractNum w:abstractNumId="260">
    <w:nsid w:val="5E74C4D9"/>
    <w:multiLevelType w:val="hybridMultilevel"/>
    <w:lvl w:ilvl="0">
      <w:lvlJc w:val="left"/>
      <w:lvlText w:val="(%1)"/>
      <w:numFmt w:val="lowerLetter"/>
      <w:start w:val="1"/>
    </w:lvl>
  </w:abstractNum>
  <w:abstractNum w:abstractNumId="261">
    <w:nsid w:val="3B3EBE15"/>
    <w:multiLevelType w:val="hybridMultilevel"/>
    <w:lvl w:ilvl="0">
      <w:lvlJc w:val="left"/>
      <w:lvlText w:val="(%1)"/>
      <w:numFmt w:val="lowerRoman"/>
      <w:start w:val="6"/>
    </w:lvl>
  </w:abstractNum>
  <w:abstractNum w:abstractNumId="262">
    <w:nsid w:val="3822CB01"/>
    <w:multiLevelType w:val="hybridMultilevel"/>
    <w:lvl w:ilvl="0">
      <w:lvlJc w:val="left"/>
      <w:lvlText w:val="(%1)"/>
      <w:numFmt w:val="lowerLetter"/>
      <w:start w:val="1"/>
    </w:lvl>
    <w:lvl w:ilvl="1">
      <w:lvlJc w:val="left"/>
      <w:lvlText w:val="(%2)"/>
      <w:numFmt w:val="lowerRoman"/>
      <w:start w:val="1"/>
    </w:lvl>
  </w:abstractNum>
  <w:abstractNum w:abstractNumId="263">
    <w:nsid w:val="6CE00443"/>
    <w:multiLevelType w:val="hybridMultilevel"/>
    <w:lvl w:ilvl="0">
      <w:lvlJc w:val="left"/>
      <w:lvlText w:val="(%1)"/>
      <w:numFmt w:val="lowerLetter"/>
      <w:start w:val="2"/>
    </w:lvl>
  </w:abstractNum>
  <w:abstractNum w:abstractNumId="264">
    <w:nsid w:val="79F0D62F"/>
    <w:multiLevelType w:val="hybridMultilevel"/>
    <w:lvl w:ilvl="0">
      <w:lvlJc w:val="left"/>
      <w:lvlText w:val="1"/>
      <w:numFmt w:val="bullet"/>
      <w:start w:val="1"/>
    </w:lvl>
  </w:abstractNum>
  <w:abstractNum w:abstractNumId="265">
    <w:nsid w:val="7975E8EE"/>
    <w:multiLevelType w:val="hybridMultilevel"/>
    <w:lvl w:ilvl="0">
      <w:lvlJc w:val="left"/>
      <w:lvlText w:val="(%1)"/>
      <w:numFmt w:val="lowerLetter"/>
      <w:start w:val="1"/>
    </w:lvl>
  </w:abstractNum>
  <w:abstractNum w:abstractNumId="266">
    <w:nsid w:val="73154115"/>
    <w:multiLevelType w:val="hybridMultilevel"/>
    <w:lvl w:ilvl="0">
      <w:lvlJc w:val="left"/>
      <w:lvlText w:val="(%1)"/>
      <w:numFmt w:val="lowerLetter"/>
      <w:start w:val="1"/>
    </w:lvl>
  </w:abstractNum>
  <w:abstractNum w:abstractNumId="267">
    <w:nsid w:val="622D8102"/>
    <w:multiLevelType w:val="hybridMultilevel"/>
    <w:lvl w:ilvl="0">
      <w:lvlJc w:val="left"/>
      <w:lvlText w:val="(%1)"/>
      <w:numFmt w:val="lowerLetter"/>
      <w:start w:val="1"/>
    </w:lvl>
  </w:abstractNum>
  <w:abstractNum w:abstractNumId="268">
    <w:nsid w:val="2AB26587"/>
    <w:multiLevelType w:val="hybridMultilevel"/>
    <w:lvl w:ilvl="0">
      <w:lvlJc w:val="left"/>
      <w:lvlText w:val="(%1)"/>
      <w:numFmt w:val="lowerLetter"/>
      <w:start w:val="1"/>
    </w:lvl>
  </w:abstractNum>
  <w:abstractNum w:abstractNumId="269">
    <w:nsid w:val="44B3FA61"/>
    <w:multiLevelType w:val="hybridMultilevel"/>
    <w:lvl w:ilvl="0">
      <w:lvlJc w:val="left"/>
      <w:lvlText w:val="%1"/>
      <w:numFmt w:val="decimal"/>
      <w:start w:val="1"/>
    </w:lvl>
    <w:lvl w:ilvl="1">
      <w:lvlJc w:val="left"/>
      <w:lvlText w:val="(%2)"/>
      <w:numFmt w:val="lowerLetter"/>
      <w:start w:val="5"/>
    </w:lvl>
  </w:abstractNum>
  <w:abstractNum w:abstractNumId="270">
    <w:nsid w:val="1C0CA67C"/>
    <w:multiLevelType w:val="hybridMultilevel"/>
    <w:lvl w:ilvl="0">
      <w:lvlJc w:val="left"/>
      <w:lvlText w:val="(%1)"/>
      <w:numFmt w:val="decimal"/>
      <w:start w:val="30"/>
    </w:lvl>
    <w:lvl w:ilvl="1">
      <w:lvlJc w:val="left"/>
      <w:lvlText w:val="%2"/>
      <w:numFmt w:val="lowerLetter"/>
      <w:start w:val="1"/>
    </w:lvl>
  </w:abstractNum>
  <w:abstractNum w:abstractNumId="271">
    <w:nsid w:val="3D206613"/>
    <w:multiLevelType w:val="hybridMultilevel"/>
    <w:lvl w:ilvl="0">
      <w:lvlJc w:val="left"/>
      <w:lvlText w:val="(%1)"/>
      <w:numFmt w:val="lowerLetter"/>
      <w:start w:val="1"/>
    </w:lvl>
    <w:lvl w:ilvl="1">
      <w:lvlJc w:val="left"/>
      <w:lvlText w:val="(%2)"/>
      <w:numFmt w:val="lowerRoman"/>
      <w:start w:val="1"/>
    </w:lvl>
  </w:abstractNum>
  <w:abstractNum w:abstractNumId="272">
    <w:nsid w:val="7993B662"/>
    <w:multiLevelType w:val="hybridMultilevel"/>
    <w:lvl w:ilvl="0">
      <w:lvlJc w:val="left"/>
      <w:lvlText w:val="%1"/>
      <w:numFmt w:val="lowerLetter"/>
      <w:start w:val="1"/>
    </w:lvl>
    <w:lvl w:ilvl="1">
      <w:lvlJc w:val="left"/>
      <w:lvlText w:val="(%2)"/>
      <w:numFmt w:val="lowerRoman"/>
      <w:start w:val="5"/>
    </w:lvl>
  </w:abstractNum>
  <w:abstractNum w:abstractNumId="273">
    <w:nsid w:val="3BAB699E"/>
    <w:multiLevelType w:val="hybridMultilevel"/>
    <w:lvl w:ilvl="0">
      <w:lvlJc w:val="left"/>
      <w:lvlText w:val="(%1)"/>
      <w:numFmt w:val="lowerLetter"/>
      <w:start w:val="3"/>
    </w:lvl>
    <w:lvl w:ilvl="1">
      <w:lvlJc w:val="left"/>
      <w:lvlText w:val="%2"/>
      <w:numFmt w:val="lowerRoman"/>
      <w:start w:val="1"/>
    </w:lvl>
  </w:abstractNum>
  <w:abstractNum w:abstractNumId="274">
    <w:nsid w:val="71315369"/>
    <w:multiLevelType w:val="hybridMultilevel"/>
    <w:lvl w:ilvl="0">
      <w:lvlJc w:val="left"/>
      <w:lvlText w:val="(%1)"/>
      <w:numFmt w:val="lowerLetter"/>
      <w:start w:val="1"/>
    </w:lvl>
  </w:abstractNum>
  <w:abstractNum w:abstractNumId="275">
    <w:nsid w:val="7BCFBAFC"/>
    <w:multiLevelType w:val="hybridMultilevel"/>
    <w:lvl w:ilvl="0">
      <w:lvlJc w:val="left"/>
      <w:lvlText w:val="(%1)"/>
      <w:numFmt w:val="lowerLetter"/>
      <w:start w:val="1"/>
    </w:lvl>
  </w:abstractNum>
  <w:abstractNum w:abstractNumId="276">
    <w:nsid w:val="17859F72"/>
    <w:multiLevelType w:val="hybridMultilevel"/>
    <w:lvl w:ilvl="0">
      <w:lvlJc w:val="left"/>
      <w:lvlText w:val="(%1)"/>
      <w:numFmt w:val="lowerLetter"/>
      <w:start w:val="2"/>
    </w:lvl>
  </w:abstractNum>
  <w:abstractNum w:abstractNumId="277">
    <w:nsid w:val="3AA10581"/>
    <w:multiLevelType w:val="hybridMultilevel"/>
    <w:lvl w:ilvl="0">
      <w:lvlJc w:val="left"/>
      <w:lvlText w:val="%1"/>
      <w:numFmt w:val="upperLetter"/>
      <w:start w:val="1"/>
    </w:lvl>
    <w:lvl w:ilvl="1">
      <w:lvlJc w:val="left"/>
      <w:lvlText w:val="(%2)"/>
      <w:numFmt w:val="lowerLetter"/>
      <w:start w:val="1"/>
    </w:lvl>
  </w:abstractNum>
  <w:abstractNum w:abstractNumId="278">
    <w:nsid w:val="63DE60CD"/>
    <w:multiLevelType w:val="hybridMultilevel"/>
    <w:lvl w:ilvl="0">
      <w:lvlJc w:val="left"/>
      <w:lvlText w:val="(%1)"/>
      <w:numFmt w:val="upperLetter"/>
      <w:start w:val="1"/>
    </w:lvl>
    <w:lvl w:ilvl="1">
      <w:lvlJc w:val="left"/>
      <w:lvlText w:val="%2"/>
      <w:numFmt w:val="lowerLetter"/>
      <w:start w:val="1"/>
    </w:lvl>
  </w:abstractNum>
  <w:abstractNum w:abstractNumId="279">
    <w:nsid w:val="621AF471"/>
    <w:multiLevelType w:val="hybridMultilevel"/>
    <w:lvl w:ilvl="0">
      <w:lvlJc w:val="left"/>
      <w:lvlText w:val="(%1)"/>
      <w:numFmt w:val="lowerLetter"/>
      <w:start w:val="3"/>
    </w:lvl>
  </w:abstractNum>
  <w:abstractNum w:abstractNumId="280">
    <w:nsid w:val="73CFE165"/>
    <w:multiLevelType w:val="hybridMultilevel"/>
    <w:lvl w:ilvl="0">
      <w:lvlJc w:val="left"/>
      <w:lvlText w:val="(%1)"/>
      <w:numFmt w:val="decimal"/>
      <w:start w:val="3"/>
    </w:lvl>
  </w:abstractNum>
  <w:abstractNum w:abstractNumId="281">
    <w:nsid w:val="20F88EA6"/>
    <w:multiLevelType w:val="hybridMultilevel"/>
    <w:lvl w:ilvl="0">
      <w:lvlJc w:val="left"/>
      <w:lvlText w:val="1"/>
      <w:numFmt w:val="bullet"/>
      <w:start w:val="1"/>
    </w:lvl>
  </w:abstractNum>
  <w:abstractNum w:abstractNumId="282">
    <w:nsid w:val="617C843E"/>
    <w:multiLevelType w:val="hybridMultilevel"/>
    <w:lvl w:ilvl="0">
      <w:lvlJc w:val="left"/>
      <w:lvlText w:val="(%1)"/>
      <w:numFmt w:val="lowerLetter"/>
      <w:start w:val="1"/>
    </w:lvl>
  </w:abstractNum>
  <w:abstractNum w:abstractNumId="283">
    <w:nsid w:val="7B541FAB"/>
    <w:multiLevelType w:val="hybridMultilevel"/>
    <w:lvl w:ilvl="0">
      <w:lvlJc w:val="left"/>
      <w:lvlText w:val="(%1)"/>
      <w:numFmt w:val="lowerLetter"/>
      <w:start w:val="1"/>
    </w:lvl>
  </w:abstractNum>
  <w:abstractNum w:abstractNumId="284">
    <w:nsid w:val="2A79EC49"/>
    <w:multiLevelType w:val="hybridMultilevel"/>
    <w:lvl w:ilvl="0">
      <w:lvlJc w:val="left"/>
      <w:lvlText w:val="(%1)"/>
      <w:numFmt w:val="lowerLetter"/>
      <w:start w:val="1"/>
    </w:lvl>
  </w:abstractNum>
  <w:abstractNum w:abstractNumId="285">
    <w:nsid w:val="338125CF"/>
    <w:multiLevelType w:val="hybridMultilevel"/>
    <w:lvl w:ilvl="0">
      <w:lvlJc w:val="left"/>
      <w:lvlText w:val="(%1)"/>
      <w:numFmt w:val="lowerRoman"/>
      <w:start w:val="2"/>
    </w:lvl>
  </w:abstractNum>
  <w:abstractNum w:abstractNumId="286">
    <w:nsid w:val="47C7C971"/>
    <w:multiLevelType w:val="hybridMultilevel"/>
    <w:lvl w:ilvl="0">
      <w:lvlJc w:val="left"/>
      <w:lvlText w:val="(%1)"/>
      <w:numFmt w:val="decimal"/>
      <w:start w:val="1"/>
    </w:lvl>
  </w:abstractNum>
  <w:abstractNum w:abstractNumId="287">
    <w:nsid w:val="46F8284B"/>
    <w:multiLevelType w:val="hybridMultilevel"/>
    <w:lvl w:ilvl="0">
      <w:lvlJc w:val="left"/>
      <w:lvlText w:val="(%1)"/>
      <w:numFmt w:val="lowerLetter"/>
      <w:start w:val="1"/>
    </w:lvl>
  </w:abstractNum>
  <w:abstractNum w:abstractNumId="288">
    <w:nsid w:val="4FA327CE"/>
    <w:multiLevelType w:val="hybridMultilevel"/>
    <w:lvl w:ilvl="0">
      <w:lvlJc w:val="left"/>
      <w:lvlText w:val="(%1)"/>
      <w:numFmt w:val="lowerLetter"/>
      <w:start w:val="1"/>
    </w:lvl>
  </w:abstractNum>
  <w:abstractNum w:abstractNumId="289">
    <w:nsid w:val="1873983A"/>
    <w:multiLevelType w:val="hybridMultilevel"/>
    <w:lvl w:ilvl="0">
      <w:lvlJc w:val="left"/>
      <w:lvlText w:val="(%1)"/>
      <w:numFmt w:val="lowerLetter"/>
      <w:start w:val="1"/>
    </w:lvl>
  </w:abstractNum>
  <w:abstractNum w:abstractNumId="290">
    <w:nsid w:val="3D2DD275"/>
    <w:multiLevelType w:val="hybridMultilevel"/>
    <w:lvl w:ilvl="0">
      <w:lvlJc w:val="left"/>
      <w:lvlText w:val="(%1)"/>
      <w:numFmt w:val="lowerLetter"/>
      <w:start w:val="1"/>
    </w:lvl>
  </w:abstractNum>
  <w:abstractNum w:abstractNumId="291">
    <w:nsid w:val="2E17ECA7"/>
    <w:multiLevelType w:val="hybridMultilevel"/>
    <w:lvl w:ilvl="0">
      <w:lvlJc w:val="left"/>
      <w:lvlText w:val="%1."/>
      <w:numFmt w:val="decimal"/>
      <w:start w:val="1"/>
    </w:lvl>
  </w:abstractNum>
  <w:abstractNum w:abstractNumId="292">
    <w:nsid w:val="53B2564F"/>
    <w:multiLevelType w:val="hybridMultilevel"/>
    <w:lvl w:ilvl="0">
      <w:lvlJc w:val="left"/>
      <w:lvlText w:val="(%1)"/>
      <w:numFmt w:val="lowerLetter"/>
      <w:start w:val="1"/>
    </w:lvl>
    <w:lvl w:ilvl="1">
      <w:lvlJc w:val="left"/>
      <w:lvlText w:val="%2."/>
      <w:numFmt w:val="lowerRoman"/>
      <w:start w:val="1"/>
    </w:lvl>
  </w:abstractNum>
  <w:abstractNum w:abstractNumId="293">
    <w:nsid w:val="75509D76"/>
    <w:multiLevelType w:val="hybridMultilevel"/>
    <w:lvl w:ilvl="0">
      <w:lvlJc w:val="left"/>
      <w:lvlText w:val="%1."/>
      <w:numFmt w:val="lowerRoman"/>
      <w:start w:val="3"/>
    </w:lvl>
  </w:abstractNum>
  <w:abstractNum w:abstractNumId="294">
    <w:nsid w:val="1AF7F0EA"/>
    <w:multiLevelType w:val="hybridMultilevel"/>
    <w:lvl w:ilvl="0">
      <w:lvlJc w:val="left"/>
      <w:lvlText w:val="1"/>
      <w:numFmt w:val="bullet"/>
      <w:start w:val="1"/>
    </w:lvl>
  </w:abstractNum>
  <w:abstractNum w:abstractNumId="295">
    <w:nsid w:val="4DA32C7E"/>
    <w:multiLevelType w:val="hybridMultilevel"/>
    <w:lvl w:ilvl="0">
      <w:lvlJc w:val="left"/>
      <w:lvlText w:val="2"/>
      <w:numFmt w:val="bullet"/>
      <w:start w:val="1"/>
    </w:lvl>
  </w:abstractNum>
  <w:abstractNum w:abstractNumId="296">
    <w:nsid w:val="6EC68664"/>
    <w:multiLevelType w:val="hybridMultilevel"/>
    <w:lvl w:ilvl="0">
      <w:lvlJc w:val="left"/>
      <w:lvlText w:val="(%1)"/>
      <w:numFmt w:val="lowerLetter"/>
      <w:start w:val="2"/>
    </w:lvl>
    <w:lvl w:ilvl="1">
      <w:lvlJc w:val="left"/>
      <w:lvlText w:val="3"/>
      <w:numFmt w:val="bullet"/>
      <w:start w:val="1"/>
    </w:lvl>
  </w:abstractNum>
  <w:abstractNum w:abstractNumId="297">
    <w:nsid w:val="E0D31FF"/>
    <w:multiLevelType w:val="hybridMultilevel"/>
    <w:lvl w:ilvl="0">
      <w:lvlJc w:val="left"/>
      <w:lvlText w:val="%1"/>
      <w:numFmt w:val="lowerLetter"/>
      <w:start w:val="1"/>
    </w:lvl>
    <w:lvl w:ilvl="1">
      <w:lvlJc w:val="left"/>
      <w:lvlText w:val="(%2)"/>
      <w:numFmt w:val="lowerLetter"/>
      <w:start w:val="5"/>
    </w:lvl>
  </w:abstractNum>
  <w:abstractNum w:abstractNumId="298">
    <w:nsid w:val="2FD0AD81"/>
    <w:multiLevelType w:val="hybridMultilevel"/>
    <w:lvl w:ilvl="0">
      <w:lvlJc w:val="left"/>
      <w:lvlText w:val="(%1)"/>
      <w:numFmt w:val="lowerLetter"/>
      <w:start w:val="9"/>
    </w:lvl>
    <w:lvl w:ilvl="1">
      <w:lvlJc w:val="left"/>
      <w:lvlText w:val="(%2)"/>
      <w:numFmt w:val="lowerLetter"/>
      <w:start w:val="7"/>
    </w:lvl>
  </w:abstractNum>
  <w:abstractNum w:abstractNumId="299">
    <w:nsid w:val="1978EBEB"/>
    <w:multiLevelType w:val="hybridMultilevel"/>
    <w:lvl w:ilvl="0">
      <w:lvlJc w:val="left"/>
      <w:lvlText w:val="(%1)"/>
      <w:numFmt w:val="lowerLetter"/>
      <w:start w:val="35"/>
    </w:lvl>
    <w:lvl w:ilvl="1">
      <w:lvlJc w:val="left"/>
      <w:lvlText w:val="(%2)"/>
      <w:numFmt w:val="lowerLetter"/>
      <w:start w:val="8"/>
    </w:lvl>
  </w:abstractNum>
  <w:abstractNum w:abstractNumId="300">
    <w:nsid w:val="52C12C61"/>
    <w:multiLevelType w:val="hybridMultilevel"/>
    <w:lvl w:ilvl="0">
      <w:lvlJc w:val="left"/>
      <w:lvlText w:val="(%1)"/>
      <w:numFmt w:val="lowerLetter"/>
      <w:start w:val="1"/>
    </w:lvl>
  </w:abstractNum>
  <w:abstractNum w:abstractNumId="301">
    <w:nsid w:val="4BDD53FD"/>
    <w:multiLevelType w:val="hybridMultilevel"/>
    <w:lvl w:ilvl="0">
      <w:lvlJc w:val="left"/>
      <w:lvlText w:val="(%1)"/>
      <w:numFmt w:val="lowerLetter"/>
      <w:start w:val="1"/>
    </w:lvl>
    <w:lvl w:ilvl="1">
      <w:lvlJc w:val="left"/>
      <w:lvlText w:val="%2."/>
      <w:numFmt w:val="lowerRoman"/>
      <w:start w:val="1"/>
    </w:lvl>
  </w:abstractNum>
  <w:abstractNum w:abstractNumId="302">
    <w:nsid w:val="569951FE"/>
    <w:multiLevelType w:val="hybridMultilevel"/>
    <w:lvl w:ilvl="0">
      <w:lvlJc w:val="left"/>
      <w:lvlText w:val="(%1)"/>
      <w:numFmt w:val="lowerLetter"/>
      <w:start w:val="2"/>
    </w:lvl>
  </w:abstractNum>
  <w:abstractNum w:abstractNumId="303">
    <w:nsid w:val="4C54E2C3"/>
    <w:multiLevelType w:val="hybridMultilevel"/>
    <w:lvl w:ilvl="0">
      <w:lvlJc w:val="left"/>
      <w:lvlText w:val="(%1)"/>
      <w:numFmt w:val="lowerLetter"/>
      <w:start w:val="1"/>
    </w:lvl>
  </w:abstractNum>
  <w:abstractNum w:abstractNumId="304">
    <w:nsid w:val="788BD9B"/>
    <w:multiLevelType w:val="hybridMultilevel"/>
    <w:lvl w:ilvl="0">
      <w:lvlJc w:val="left"/>
      <w:lvlText w:val="(%1)"/>
      <w:numFmt w:val="lowerLetter"/>
      <w:start w:val="1"/>
    </w:lvl>
    <w:lvl w:ilvl="1">
      <w:lvlJc w:val="left"/>
      <w:lvlText w:val="%2."/>
      <w:numFmt w:val="lowerRoman"/>
      <w:start w:val="1"/>
    </w:lvl>
  </w:abstractNum>
  <w:abstractNum w:abstractNumId="305">
    <w:nsid w:val="47CAA567"/>
    <w:multiLevelType w:val="hybridMultilevel"/>
    <w:lvl w:ilvl="0">
      <w:lvlJc w:val="left"/>
      <w:lvlText w:val="(%1)"/>
      <w:numFmt w:val="lowerLetter"/>
      <w:start w:val="4"/>
    </w:lvl>
  </w:abstractNum>
  <w:abstractNum w:abstractNumId="306">
    <w:nsid w:val="48249DBF"/>
    <w:multiLevelType w:val="hybridMultilevel"/>
    <w:lvl w:ilvl="0">
      <w:lvlJc w:val="left"/>
      <w:lvlText w:val="(%1)"/>
      <w:numFmt w:val="lowerLetter"/>
      <w:start w:val="1"/>
    </w:lvl>
  </w:abstractNum>
  <w:abstractNum w:abstractNumId="307">
    <w:nsid w:val="1F0E5D0D"/>
    <w:multiLevelType w:val="hybridMultilevel"/>
    <w:lvl w:ilvl="0">
      <w:lvlJc w:val="left"/>
      <w:lvlText w:val="(%1)"/>
      <w:numFmt w:val="upperLetter"/>
      <w:start w:val="2"/>
    </w:lvl>
    <w:lvl w:ilvl="1">
      <w:lvlJc w:val="left"/>
      <w:lvlText w:val="(%2)"/>
      <w:numFmt w:val="lowerLetter"/>
      <w:start w:val="3"/>
    </w:lvl>
  </w:abstractNum>
  <w:abstractNum w:abstractNumId="308">
    <w:nsid w:val="26BAAE9"/>
    <w:multiLevelType w:val="hybridMultilevel"/>
    <w:lvl w:ilvl="0">
      <w:lvlJc w:val="left"/>
      <w:lvlText w:val="(%1)"/>
      <w:numFmt w:val="lowerLetter"/>
      <w:start w:val="1"/>
    </w:lvl>
  </w:abstractNum>
  <w:abstractNum w:abstractNumId="309">
    <w:nsid w:val="2C02FE8C"/>
    <w:multiLevelType w:val="hybridMultilevel"/>
    <w:lvl w:ilvl="0">
      <w:lvlJc w:val="left"/>
      <w:lvlText w:val="(%1)"/>
      <w:numFmt w:val="lowerLetter"/>
      <w:start w:val="2"/>
    </w:lvl>
  </w:abstractNum>
  <w:abstractNum w:abstractNumId="310">
    <w:nsid w:val="129517E"/>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311">
    <w:nsid w:val="763B8C4E"/>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4"/>
    </w:lvl>
  </w:abstractNum>
  <w:abstractNum w:abstractNumId="312">
    <w:nsid w:val="4CFB8D32"/>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313">
    <w:nsid w:val="62A5D5BD"/>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314">
    <w:nsid w:val="718FABF9"/>
    <w:multiLevelType w:val="hybridMultilevel"/>
    <w:lvl w:ilvl="0">
      <w:lvlJc w:val="left"/>
      <w:lvlText w:val="(%1)"/>
      <w:numFmt w:val="lowerLetter"/>
      <w:start w:val="4"/>
    </w:lvl>
  </w:abstractNum>
  <w:abstractNum w:abstractNumId="315">
    <w:nsid w:val="7775797C"/>
    <w:multiLevelType w:val="hybridMultilevel"/>
    <w:lvl w:ilvl="0">
      <w:lvlJc w:val="left"/>
      <w:lvlText w:val="(%1)"/>
      <w:numFmt w:val="lowerLetter"/>
      <w:start w:val="1"/>
    </w:lvl>
  </w:abstractNum>
  <w:abstractNum w:abstractNumId="316">
    <w:nsid w:val="1626FB8C"/>
    <w:multiLevelType w:val="hybridMultilevel"/>
    <w:lvl w:ilvl="0">
      <w:lvlJc w:val="left"/>
      <w:lvlText w:val="(%1)"/>
      <w:numFmt w:val="lowerLetter"/>
      <w:start w:val="1"/>
    </w:lvl>
  </w:abstractNum>
  <w:abstractNum w:abstractNumId="317">
    <w:nsid w:val="3957756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62" Type="http://schemas.openxmlformats.org/officeDocument/2006/relationships/image" Target="media/image342.png"/><Relationship Id="rId369" Type="http://schemas.openxmlformats.org/officeDocument/2006/relationships/image" Target="media/image343.png"/><Relationship Id="rId370" Type="http://schemas.openxmlformats.org/officeDocument/2006/relationships/image" Target="media/image344.png"/><Relationship Id="rId371" Type="http://schemas.openxmlformats.org/officeDocument/2006/relationships/image" Target="media/image345.png"/><Relationship Id="rId372" Type="http://schemas.openxmlformats.org/officeDocument/2006/relationships/image" Target="media/image346.png"/><Relationship Id="rId373" Type="http://schemas.openxmlformats.org/officeDocument/2006/relationships/image" Target="media/image347.png"/><Relationship Id="rId374" Type="http://schemas.openxmlformats.org/officeDocument/2006/relationships/image" Target="media/image348.png"/><Relationship Id="rId375" Type="http://schemas.openxmlformats.org/officeDocument/2006/relationships/image" Target="media/image349.png"/><Relationship Id="rId376" Type="http://schemas.openxmlformats.org/officeDocument/2006/relationships/image" Target="media/image350.png"/><Relationship Id="rId377" Type="http://schemas.openxmlformats.org/officeDocument/2006/relationships/image" Target="media/image351.png"/><Relationship Id="rId378" Type="http://schemas.openxmlformats.org/officeDocument/2006/relationships/image" Target="media/image352.png"/><Relationship Id="rId379" Type="http://schemas.openxmlformats.org/officeDocument/2006/relationships/image" Target="media/image353.png"/><Relationship Id="rId380" Type="http://schemas.openxmlformats.org/officeDocument/2006/relationships/image" Target="media/image354.png"/><Relationship Id="rId381" Type="http://schemas.openxmlformats.org/officeDocument/2006/relationships/image" Target="media/image355.png"/><Relationship Id="rId382" Type="http://schemas.openxmlformats.org/officeDocument/2006/relationships/image" Target="media/image356.png"/><Relationship Id="rId383" Type="http://schemas.openxmlformats.org/officeDocument/2006/relationships/image" Target="media/image357.png"/><Relationship Id="rId384" Type="http://schemas.openxmlformats.org/officeDocument/2006/relationships/image" Target="media/image358.png"/><Relationship Id="rId385" Type="http://schemas.openxmlformats.org/officeDocument/2006/relationships/image" Target="media/image359.png"/><Relationship Id="rId386" Type="http://schemas.openxmlformats.org/officeDocument/2006/relationships/image" Target="media/image360.png"/><Relationship Id="rId387" Type="http://schemas.openxmlformats.org/officeDocument/2006/relationships/image" Target="media/image361.png"/><Relationship Id="rId388" Type="http://schemas.openxmlformats.org/officeDocument/2006/relationships/image" Target="media/image362.png"/><Relationship Id="rId389" Type="http://schemas.openxmlformats.org/officeDocument/2006/relationships/image" Target="media/image363.png"/><Relationship Id="rId390" Type="http://schemas.openxmlformats.org/officeDocument/2006/relationships/image" Target="media/image364.png"/><Relationship Id="rId391" Type="http://schemas.openxmlformats.org/officeDocument/2006/relationships/image" Target="media/image365.png"/><Relationship Id="rId392" Type="http://schemas.openxmlformats.org/officeDocument/2006/relationships/image" Target="media/image366.png"/><Relationship Id="rId393" Type="http://schemas.openxmlformats.org/officeDocument/2006/relationships/image" Target="media/image367.png"/><Relationship Id="rId394" Type="http://schemas.openxmlformats.org/officeDocument/2006/relationships/image" Target="media/image368.png"/><Relationship Id="rId395" Type="http://schemas.openxmlformats.org/officeDocument/2006/relationships/image" Target="media/image369.png"/><Relationship Id="rId396" Type="http://schemas.openxmlformats.org/officeDocument/2006/relationships/image" Target="media/image370.png"/><Relationship Id="rId397" Type="http://schemas.openxmlformats.org/officeDocument/2006/relationships/image" Target="media/image371.png"/><Relationship Id="rId398" Type="http://schemas.openxmlformats.org/officeDocument/2006/relationships/image" Target="media/image372.png"/><Relationship Id="rId399" Type="http://schemas.openxmlformats.org/officeDocument/2006/relationships/image" Target="media/image373.png"/><Relationship Id="rId400" Type="http://schemas.openxmlformats.org/officeDocument/2006/relationships/image" Target="media/image374.png"/><Relationship Id="rId401" Type="http://schemas.openxmlformats.org/officeDocument/2006/relationships/image" Target="media/image375.png"/><Relationship Id="rId402" Type="http://schemas.openxmlformats.org/officeDocument/2006/relationships/image" Target="media/image376.png"/><Relationship Id="rId403" Type="http://schemas.openxmlformats.org/officeDocument/2006/relationships/image" Target="media/image377.png"/><Relationship Id="rId404" Type="http://schemas.openxmlformats.org/officeDocument/2006/relationships/image" Target="media/image378.png"/><Relationship Id="rId405" Type="http://schemas.openxmlformats.org/officeDocument/2006/relationships/image" Target="media/image379.png"/><Relationship Id="rId406" Type="http://schemas.openxmlformats.org/officeDocument/2006/relationships/image" Target="media/image380.png"/><Relationship Id="rId407" Type="http://schemas.openxmlformats.org/officeDocument/2006/relationships/image" Target="media/image381.png"/><Relationship Id="rId408" Type="http://schemas.openxmlformats.org/officeDocument/2006/relationships/image" Target="media/image382.png"/><Relationship Id="rId409" Type="http://schemas.openxmlformats.org/officeDocument/2006/relationships/image" Target="media/image383.png"/><Relationship Id="rId410" Type="http://schemas.openxmlformats.org/officeDocument/2006/relationships/image" Target="media/image384.png"/><Relationship Id="rId411" Type="http://schemas.openxmlformats.org/officeDocument/2006/relationships/image" Target="media/image385.png"/><Relationship Id="rId412" Type="http://schemas.openxmlformats.org/officeDocument/2006/relationships/image" Target="media/image386.png"/><Relationship Id="rId413" Type="http://schemas.openxmlformats.org/officeDocument/2006/relationships/image" Target="media/image387.png"/><Relationship Id="rId414" Type="http://schemas.openxmlformats.org/officeDocument/2006/relationships/image" Target="media/image388.png"/><Relationship Id="rId415" Type="http://schemas.openxmlformats.org/officeDocument/2006/relationships/image" Target="media/image389.png"/><Relationship Id="rId416" Type="http://schemas.openxmlformats.org/officeDocument/2006/relationships/image" Target="media/image390.png"/><Relationship Id="rId417" Type="http://schemas.openxmlformats.org/officeDocument/2006/relationships/image" Target="media/image391.png"/><Relationship Id="rId418" Type="http://schemas.openxmlformats.org/officeDocument/2006/relationships/image" Target="media/image392.png"/><Relationship Id="rId419" Type="http://schemas.openxmlformats.org/officeDocument/2006/relationships/image" Target="media/image393.png"/><Relationship Id="rId420" Type="http://schemas.openxmlformats.org/officeDocument/2006/relationships/image" Target="media/image394.png"/><Relationship Id="rId421" Type="http://schemas.openxmlformats.org/officeDocument/2006/relationships/image" Target="media/image395.png"/><Relationship Id="rId422" Type="http://schemas.openxmlformats.org/officeDocument/2006/relationships/image" Target="media/image396.png"/><Relationship Id="rId423" Type="http://schemas.openxmlformats.org/officeDocument/2006/relationships/image" Target="media/image397.png"/><Relationship Id="rId424" Type="http://schemas.openxmlformats.org/officeDocument/2006/relationships/image" Target="media/image398.png"/><Relationship Id="rId425" Type="http://schemas.openxmlformats.org/officeDocument/2006/relationships/image" Target="media/image399.png"/><Relationship Id="rId426" Type="http://schemas.openxmlformats.org/officeDocument/2006/relationships/image" Target="media/image400.png"/><Relationship Id="rId427" Type="http://schemas.openxmlformats.org/officeDocument/2006/relationships/image" Target="media/image401.png"/><Relationship Id="rId428" Type="http://schemas.openxmlformats.org/officeDocument/2006/relationships/image" Target="media/image402.png"/><Relationship Id="rId429" Type="http://schemas.openxmlformats.org/officeDocument/2006/relationships/image" Target="media/image403.png"/><Relationship Id="rId430" Type="http://schemas.openxmlformats.org/officeDocument/2006/relationships/image" Target="media/image404.png"/><Relationship Id="rId431" Type="http://schemas.openxmlformats.org/officeDocument/2006/relationships/image" Target="media/image405.png"/><Relationship Id="rId432" Type="http://schemas.openxmlformats.org/officeDocument/2006/relationships/image" Target="media/image406.png"/><Relationship Id="rId433" Type="http://schemas.openxmlformats.org/officeDocument/2006/relationships/image" Target="media/image407.png"/><Relationship Id="rId434" Type="http://schemas.openxmlformats.org/officeDocument/2006/relationships/image" Target="media/image408.png"/><Relationship Id="rId435" Type="http://schemas.openxmlformats.org/officeDocument/2006/relationships/image" Target="media/image409.png"/><Relationship Id="rId436" Type="http://schemas.openxmlformats.org/officeDocument/2006/relationships/image" Target="media/image410.png"/><Relationship Id="rId437" Type="http://schemas.openxmlformats.org/officeDocument/2006/relationships/image" Target="media/image411.png"/><Relationship Id="rId438" Type="http://schemas.openxmlformats.org/officeDocument/2006/relationships/image" Target="media/image412.png"/><Relationship Id="rId439" Type="http://schemas.openxmlformats.org/officeDocument/2006/relationships/image" Target="media/image413.png"/><Relationship Id="rId440" Type="http://schemas.openxmlformats.org/officeDocument/2006/relationships/image" Target="media/image414.png"/><Relationship Id="rId441" Type="http://schemas.openxmlformats.org/officeDocument/2006/relationships/image" Target="media/image415.png"/><Relationship Id="rId442" Type="http://schemas.openxmlformats.org/officeDocument/2006/relationships/image" Target="media/image416.png"/><Relationship Id="rId443" Type="http://schemas.openxmlformats.org/officeDocument/2006/relationships/image" Target="media/image417.png"/><Relationship Id="rId444" Type="http://schemas.openxmlformats.org/officeDocument/2006/relationships/image" Target="media/image418.png"/><Relationship Id="rId445" Type="http://schemas.openxmlformats.org/officeDocument/2006/relationships/image" Target="media/image419.png"/><Relationship Id="rId446" Type="http://schemas.openxmlformats.org/officeDocument/2006/relationships/image" Target="media/image420.png"/><Relationship Id="rId447" Type="http://schemas.openxmlformats.org/officeDocument/2006/relationships/image" Target="media/image421.png"/><Relationship Id="rId448" Type="http://schemas.openxmlformats.org/officeDocument/2006/relationships/image" Target="media/image422.png"/><Relationship Id="rId449" Type="http://schemas.openxmlformats.org/officeDocument/2006/relationships/image" Target="media/image423.png"/><Relationship Id="rId450" Type="http://schemas.openxmlformats.org/officeDocument/2006/relationships/image" Target="media/image424.png"/><Relationship Id="rId451" Type="http://schemas.openxmlformats.org/officeDocument/2006/relationships/image" Target="media/image425.png"/><Relationship Id="rId452" Type="http://schemas.openxmlformats.org/officeDocument/2006/relationships/image" Target="media/image426.png"/><Relationship Id="rId453" Type="http://schemas.openxmlformats.org/officeDocument/2006/relationships/image" Target="media/image427.png"/><Relationship Id="rId454" Type="http://schemas.openxmlformats.org/officeDocument/2006/relationships/image" Target="media/image428.png"/><Relationship Id="rId455" Type="http://schemas.openxmlformats.org/officeDocument/2006/relationships/image" Target="media/image429.png"/><Relationship Id="rId456" Type="http://schemas.openxmlformats.org/officeDocument/2006/relationships/image" Target="media/image430.png"/><Relationship Id="rId457" Type="http://schemas.openxmlformats.org/officeDocument/2006/relationships/image" Target="media/image431.png"/><Relationship Id="rId458" Type="http://schemas.openxmlformats.org/officeDocument/2006/relationships/image" Target="media/image432.png"/><Relationship Id="rId459" Type="http://schemas.openxmlformats.org/officeDocument/2006/relationships/image" Target="media/image433.png"/><Relationship Id="rId460" Type="http://schemas.openxmlformats.org/officeDocument/2006/relationships/image" Target="media/image434.png"/><Relationship Id="rId461" Type="http://schemas.openxmlformats.org/officeDocument/2006/relationships/image" Target="media/image435.png"/><Relationship Id="rId462" Type="http://schemas.openxmlformats.org/officeDocument/2006/relationships/image" Target="media/image436.png"/><Relationship Id="rId463" Type="http://schemas.openxmlformats.org/officeDocument/2006/relationships/image" Target="media/image437.png"/><Relationship Id="rId464" Type="http://schemas.openxmlformats.org/officeDocument/2006/relationships/image" Target="media/image438.png"/><Relationship Id="rId465" Type="http://schemas.openxmlformats.org/officeDocument/2006/relationships/image" Target="media/image439.png"/><Relationship Id="rId466" Type="http://schemas.openxmlformats.org/officeDocument/2006/relationships/image" Target="media/image440.png"/><Relationship Id="rId467" Type="http://schemas.openxmlformats.org/officeDocument/2006/relationships/image" Target="media/image441.png"/><Relationship Id="rId468" Type="http://schemas.openxmlformats.org/officeDocument/2006/relationships/image" Target="media/image442.png"/><Relationship Id="rId469" Type="http://schemas.openxmlformats.org/officeDocument/2006/relationships/image" Target="media/image443.png"/><Relationship Id="rId470" Type="http://schemas.openxmlformats.org/officeDocument/2006/relationships/image" Target="media/image444.png"/><Relationship Id="rId471" Type="http://schemas.openxmlformats.org/officeDocument/2006/relationships/image" Target="media/image445.png"/><Relationship Id="rId472" Type="http://schemas.openxmlformats.org/officeDocument/2006/relationships/image" Target="media/image446.png"/><Relationship Id="rId473" Type="http://schemas.openxmlformats.org/officeDocument/2006/relationships/image" Target="media/image447.png"/><Relationship Id="rId474" Type="http://schemas.openxmlformats.org/officeDocument/2006/relationships/image" Target="media/image448.png"/><Relationship Id="rId475" Type="http://schemas.openxmlformats.org/officeDocument/2006/relationships/image" Target="media/image449.png"/><Relationship Id="rId476" Type="http://schemas.openxmlformats.org/officeDocument/2006/relationships/image" Target="media/image450.png"/><Relationship Id="rId477" Type="http://schemas.openxmlformats.org/officeDocument/2006/relationships/image" Target="media/image451.png"/><Relationship Id="rId478" Type="http://schemas.openxmlformats.org/officeDocument/2006/relationships/image" Target="media/image452.png"/><Relationship Id="rId479" Type="http://schemas.openxmlformats.org/officeDocument/2006/relationships/image" Target="media/image453.png"/><Relationship Id="rId480" Type="http://schemas.openxmlformats.org/officeDocument/2006/relationships/image" Target="media/image454.png"/><Relationship Id="rId481" Type="http://schemas.openxmlformats.org/officeDocument/2006/relationships/image" Target="media/image455.png"/><Relationship Id="rId482" Type="http://schemas.openxmlformats.org/officeDocument/2006/relationships/image" Target="media/image456.png"/><Relationship Id="rId483" Type="http://schemas.openxmlformats.org/officeDocument/2006/relationships/image" Target="media/image457.png"/><Relationship Id="rId484" Type="http://schemas.openxmlformats.org/officeDocument/2006/relationships/image" Target="media/image458.png"/><Relationship Id="rId485" Type="http://schemas.openxmlformats.org/officeDocument/2006/relationships/image" Target="media/image459.png"/><Relationship Id="rId486" Type="http://schemas.openxmlformats.org/officeDocument/2006/relationships/image" Target="media/image460.png"/><Relationship Id="rId487" Type="http://schemas.openxmlformats.org/officeDocument/2006/relationships/image" Target="media/image461.png"/><Relationship Id="rId488" Type="http://schemas.openxmlformats.org/officeDocument/2006/relationships/image" Target="media/image462.png"/><Relationship Id="rId489" Type="http://schemas.openxmlformats.org/officeDocument/2006/relationships/image" Target="media/image463.jpeg"/><Relationship Id="rId490" Type="http://schemas.openxmlformats.org/officeDocument/2006/relationships/image" Target="media/image464.png"/><Relationship Id="rId491" Type="http://schemas.openxmlformats.org/officeDocument/2006/relationships/image" Target="media/image465.jpeg"/><Relationship Id="rId492" Type="http://schemas.openxmlformats.org/officeDocument/2006/relationships/image" Target="media/image466.png"/><Relationship Id="rId493" Type="http://schemas.openxmlformats.org/officeDocument/2006/relationships/image" Target="media/image467.jpeg"/><Relationship Id="rId494" Type="http://schemas.openxmlformats.org/officeDocument/2006/relationships/image" Target="media/image468.png"/><Relationship Id="rId495" Type="http://schemas.openxmlformats.org/officeDocument/2006/relationships/image" Target="media/image469.png"/><Relationship Id="rId496" Type="http://schemas.openxmlformats.org/officeDocument/2006/relationships/image" Target="media/image470.png"/><Relationship Id="rId497" Type="http://schemas.openxmlformats.org/officeDocument/2006/relationships/image" Target="media/image471.png"/><Relationship Id="rId498" Type="http://schemas.openxmlformats.org/officeDocument/2006/relationships/image" Target="media/image472.png"/><Relationship Id="rId499" Type="http://schemas.openxmlformats.org/officeDocument/2006/relationships/image" Target="media/image473.png"/><Relationship Id="rId500" Type="http://schemas.openxmlformats.org/officeDocument/2006/relationships/image" Target="media/image474.png"/><Relationship Id="rId501" Type="http://schemas.openxmlformats.org/officeDocument/2006/relationships/image" Target="media/image475.png"/><Relationship Id="rId502" Type="http://schemas.openxmlformats.org/officeDocument/2006/relationships/image" Target="media/image476.png"/><Relationship Id="rId503" Type="http://schemas.openxmlformats.org/officeDocument/2006/relationships/image" Target="media/image477.png"/><Relationship Id="rId504" Type="http://schemas.openxmlformats.org/officeDocument/2006/relationships/image" Target="media/image478.png"/><Relationship Id="rId505" Type="http://schemas.openxmlformats.org/officeDocument/2006/relationships/image" Target="media/image479.png"/><Relationship Id="rId506" Type="http://schemas.openxmlformats.org/officeDocument/2006/relationships/image" Target="media/image480.png"/><Relationship Id="rId507" Type="http://schemas.openxmlformats.org/officeDocument/2006/relationships/image" Target="media/image481.png"/><Relationship Id="rId508" Type="http://schemas.openxmlformats.org/officeDocument/2006/relationships/image" Target="media/image482.png"/><Relationship Id="rId509" Type="http://schemas.openxmlformats.org/officeDocument/2006/relationships/image" Target="media/image483.png"/><Relationship Id="rId510" Type="http://schemas.openxmlformats.org/officeDocument/2006/relationships/image" Target="media/image484.png"/><Relationship Id="rId511" Type="http://schemas.openxmlformats.org/officeDocument/2006/relationships/image" Target="media/image485.png"/><Relationship Id="rId512" Type="http://schemas.openxmlformats.org/officeDocument/2006/relationships/image" Target="media/image486.png"/><Relationship Id="rId513" Type="http://schemas.openxmlformats.org/officeDocument/2006/relationships/image" Target="media/image487.png"/><Relationship Id="rId514" Type="http://schemas.openxmlformats.org/officeDocument/2006/relationships/image" Target="media/image488.png"/><Relationship Id="rId515" Type="http://schemas.openxmlformats.org/officeDocument/2006/relationships/image" Target="media/image489.png"/><Relationship Id="rId516" Type="http://schemas.openxmlformats.org/officeDocument/2006/relationships/image" Target="media/image490.png"/><Relationship Id="rId517" Type="http://schemas.openxmlformats.org/officeDocument/2006/relationships/image" Target="media/image491.png"/><Relationship Id="rId518" Type="http://schemas.openxmlformats.org/officeDocument/2006/relationships/image" Target="media/image492.png"/><Relationship Id="rId519" Type="http://schemas.openxmlformats.org/officeDocument/2006/relationships/image" Target="media/image493.png"/><Relationship Id="rId520" Type="http://schemas.openxmlformats.org/officeDocument/2006/relationships/image" Target="media/image494.png"/><Relationship Id="rId521" Type="http://schemas.openxmlformats.org/officeDocument/2006/relationships/image" Target="media/image495.png"/><Relationship Id="rId522" Type="http://schemas.openxmlformats.org/officeDocument/2006/relationships/image" Target="media/image496.png"/><Relationship Id="rId523" Type="http://schemas.openxmlformats.org/officeDocument/2006/relationships/image" Target="media/image497.png"/><Relationship Id="rId524" Type="http://schemas.openxmlformats.org/officeDocument/2006/relationships/image" Target="media/image498.png"/><Relationship Id="rId525" Type="http://schemas.openxmlformats.org/officeDocument/2006/relationships/image" Target="media/image499.png"/><Relationship Id="rId526" Type="http://schemas.openxmlformats.org/officeDocument/2006/relationships/image" Target="media/image500.png"/><Relationship Id="rId527" Type="http://schemas.openxmlformats.org/officeDocument/2006/relationships/image" Target="media/image501.png"/><Relationship Id="rId528" Type="http://schemas.openxmlformats.org/officeDocument/2006/relationships/image" Target="media/image502.png"/><Relationship Id="rId529" Type="http://schemas.openxmlformats.org/officeDocument/2006/relationships/image" Target="media/image503.png"/><Relationship Id="rId530" Type="http://schemas.openxmlformats.org/officeDocument/2006/relationships/image" Target="media/image504.png"/><Relationship Id="rId531" Type="http://schemas.openxmlformats.org/officeDocument/2006/relationships/image" Target="media/image505.png"/><Relationship Id="rId532" Type="http://schemas.openxmlformats.org/officeDocument/2006/relationships/image" Target="media/image506.png"/><Relationship Id="rId533" Type="http://schemas.openxmlformats.org/officeDocument/2006/relationships/image" Target="media/image507.png"/><Relationship Id="rId534" Type="http://schemas.openxmlformats.org/officeDocument/2006/relationships/image" Target="media/image508.png"/><Relationship Id="rId535" Type="http://schemas.openxmlformats.org/officeDocument/2006/relationships/image" Target="media/image509.png"/><Relationship Id="rId536" Type="http://schemas.openxmlformats.org/officeDocument/2006/relationships/image" Target="media/image510.png"/><Relationship Id="rId537" Type="http://schemas.openxmlformats.org/officeDocument/2006/relationships/image" Target="media/image511.png"/><Relationship Id="rId538" Type="http://schemas.openxmlformats.org/officeDocument/2006/relationships/image" Target="media/image512.png"/><Relationship Id="rId539" Type="http://schemas.openxmlformats.org/officeDocument/2006/relationships/image" Target="media/image513.png"/><Relationship Id="rId540" Type="http://schemas.openxmlformats.org/officeDocument/2006/relationships/image" Target="media/image514.png"/><Relationship Id="rId541" Type="http://schemas.openxmlformats.org/officeDocument/2006/relationships/image" Target="media/image515.png"/><Relationship Id="rId542" Type="http://schemas.openxmlformats.org/officeDocument/2006/relationships/image" Target="media/image516.png"/><Relationship Id="rId543" Type="http://schemas.openxmlformats.org/officeDocument/2006/relationships/image" Target="media/image517.png"/><Relationship Id="rId544" Type="http://schemas.openxmlformats.org/officeDocument/2006/relationships/image" Target="media/image518.png"/><Relationship Id="rId545" Type="http://schemas.openxmlformats.org/officeDocument/2006/relationships/image" Target="media/image519.png"/><Relationship Id="rId546" Type="http://schemas.openxmlformats.org/officeDocument/2006/relationships/image" Target="media/image520.png"/><Relationship Id="rId547" Type="http://schemas.openxmlformats.org/officeDocument/2006/relationships/image" Target="media/image521.png"/><Relationship Id="rId548" Type="http://schemas.openxmlformats.org/officeDocument/2006/relationships/image" Target="media/image522.png"/><Relationship Id="rId549" Type="http://schemas.openxmlformats.org/officeDocument/2006/relationships/image" Target="media/image523.png"/><Relationship Id="rId550" Type="http://schemas.openxmlformats.org/officeDocument/2006/relationships/image" Target="media/image524.png"/><Relationship Id="rId551" Type="http://schemas.openxmlformats.org/officeDocument/2006/relationships/image" Target="media/image525.png"/><Relationship Id="rId552" Type="http://schemas.openxmlformats.org/officeDocument/2006/relationships/image" Target="media/image526.png"/><Relationship Id="rId553" Type="http://schemas.openxmlformats.org/officeDocument/2006/relationships/image" Target="media/image527.png"/><Relationship Id="rId554" Type="http://schemas.openxmlformats.org/officeDocument/2006/relationships/image" Target="media/image528.png"/><Relationship Id="rId555" Type="http://schemas.openxmlformats.org/officeDocument/2006/relationships/image" Target="media/image529.png"/><Relationship Id="rId556" Type="http://schemas.openxmlformats.org/officeDocument/2006/relationships/image" Target="media/image530.png"/><Relationship Id="rId557" Type="http://schemas.openxmlformats.org/officeDocument/2006/relationships/image" Target="media/image531.png"/><Relationship Id="rId558" Type="http://schemas.openxmlformats.org/officeDocument/2006/relationships/image" Target="media/image532.png"/><Relationship Id="rId559" Type="http://schemas.openxmlformats.org/officeDocument/2006/relationships/image" Target="media/image533.png"/><Relationship Id="rId560" Type="http://schemas.openxmlformats.org/officeDocument/2006/relationships/image" Target="media/image534.png"/><Relationship Id="rId561" Type="http://schemas.openxmlformats.org/officeDocument/2006/relationships/image" Target="media/image535.png"/><Relationship Id="rId562" Type="http://schemas.openxmlformats.org/officeDocument/2006/relationships/image" Target="media/image536.png"/><Relationship Id="rId563" Type="http://schemas.openxmlformats.org/officeDocument/2006/relationships/image" Target="media/image537.png"/><Relationship Id="rId349" Type="http://schemas.openxmlformats.org/officeDocument/2006/relationships/hyperlink" Target="http://www.sec.gov/Archives/edgar/data/0001782303/000119312524060708/d493037dex32.htm" TargetMode="External"/><Relationship Id="rId350" Type="http://schemas.openxmlformats.org/officeDocument/2006/relationships/hyperlink" Target="http://www.sec.gov/Archives/edgar/data/0001782303/000119312524060708/d493037dex42.htm" TargetMode="External"/><Relationship Id="rId351" Type="http://schemas.openxmlformats.org/officeDocument/2006/relationships/hyperlink" Target="http://www.sec.gov/Archives/edgar/data/0001782303/000119312524060708/d493037dex101.htm" TargetMode="External"/><Relationship Id="rId352" Type="http://schemas.openxmlformats.org/officeDocument/2006/relationships/hyperlink" Target="http://www.sec.gov/Archives/edgar/data/0001782303/000119312524060708/d493037dex105.htm" TargetMode="External"/><Relationship Id="rId353" Type="http://schemas.openxmlformats.org/officeDocument/2006/relationships/hyperlink" Target="http://www.sec.gov/Archives/edgar/data/0001782303/000119312524060708/d493037dex106.htm" TargetMode="External"/><Relationship Id="rId354" Type="http://schemas.openxmlformats.org/officeDocument/2006/relationships/hyperlink" Target="http://www.sec.gov/Archives/edgar/data/0001782303/000119312524060708/d493037dex107.htm" TargetMode="External"/><Relationship Id="rId355" Type="http://schemas.openxmlformats.org/officeDocument/2006/relationships/hyperlink" Target="http://www.sec.gov/Archives/edgar/data/0001782303/000119312524060708/d493037dex108.htm" TargetMode="External"/><Relationship Id="rId356" Type="http://schemas.openxmlformats.org/officeDocument/2006/relationships/hyperlink" Target="http://www.sec.gov/Archives/edgar/data/0001782303/000119312524060708/d493037dex109.htm" TargetMode="External"/><Relationship Id="rId357" Type="http://schemas.openxmlformats.org/officeDocument/2006/relationships/hyperlink" Target="http://www.sec.gov/Archives/edgar/data/0001782303/000119312524060708/d493037dex1010.htm" TargetMode="External"/><Relationship Id="rId358" Type="http://schemas.openxmlformats.org/officeDocument/2006/relationships/hyperlink" Target="http://www.sec.gov/Archives/edgar/data/0001782303/000119312524060708/d493037dex1011.htm" TargetMode="External"/><Relationship Id="rId359" Type="http://schemas.openxmlformats.org/officeDocument/2006/relationships/hyperlink" Target="http://www.sec.gov/Archives/edgar/data/0001782303/000119312524060708/d493037dex1012.htm" TargetMode="External"/><Relationship Id="rId360" Type="http://schemas.openxmlformats.org/officeDocument/2006/relationships/hyperlink" Target="http://www.sec.gov/Archives/edgar/data/0001782303/000119312524060708/d493037dex1013.htm" TargetMode="External"/><Relationship Id="rId361" Type="http://schemas.openxmlformats.org/officeDocument/2006/relationships/hyperlink" Target="http://www.sec.gov/Archives/edgar/data/0001782303/000119312524060708/d493037dex1014.htm" TargetMode="External"/><Relationship Id="rId363" Type="http://schemas.openxmlformats.org/officeDocument/2006/relationships/hyperlink" Target="http://www.sec.gov/Archives/edgar/data/0001782303/000119312524060708/d493037dex1015.htm" TargetMode="External"/><Relationship Id="rId364" Type="http://schemas.openxmlformats.org/officeDocument/2006/relationships/hyperlink" Target="http://www.sec.gov/Archives/edgar/data/0001782303/000119312524060708/d493037dex1016.htm" TargetMode="External"/><Relationship Id="rId365" Type="http://schemas.openxmlformats.org/officeDocument/2006/relationships/hyperlink" Target="http://www.sec.gov/Archives/edgar/data/0001782303/000119312524060708/d493037dex1017.htm" TargetMode="External"/><Relationship Id="rId366" Type="http://schemas.openxmlformats.org/officeDocument/2006/relationships/hyperlink" Target="http://www.sec.gov/Archives/edgar/data/0001782303/000119312524060708/d493037dex1018.htm" TargetMode="External"/><Relationship Id="rId367" Type="http://schemas.openxmlformats.org/officeDocument/2006/relationships/hyperlink" Target="http://www.sec.gov/Archives/edgar/data/0001782303/000119312524060708/d493037dex1020.htm" TargetMode="External"/><Relationship Id="rId368" Type="http://schemas.openxmlformats.org/officeDocument/2006/relationships/hyperlink" Target="http://www.sec.gov/Archives/edgar/data/1782303/000119312524060708/d493037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2024-03-21T05:24:33Z</dcterms:created>
  <dcterms:modified xsi:type="dcterms:W3CDTF">2024-03-21T05:24:33Z</dcterms:modified>
</cp:coreProperties>
</file>